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إنشاء نطاقات خضراء في المداخل والمواقع العامة للقرى.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150,000 — 300,000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مداخل القرى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نطاقات خضراء في المداخل والمواقع العامة للقرى.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