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مالي للحالات الجديدة التي تحتاج تدخلًا سريعًا.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