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محطة مع تضمين التمويل الرأسمالي وعقد تشغيل طويل المدى.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