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محطة مع تضمين التمويل الرأسمالي وعقد تشغيل طويل المدى.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 + 5 سنوات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700,000 — 1,200,000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