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إعادة تأهيل مساحات فقدت غطاءها النباتي نتيجة الجفاف أو الاستخدام المفرط.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18 شهرًا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200,000 — 400,000 ريال.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استعادة الأراضي المتدهورة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غرس الأشجار لمكافحة التصحر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إعادة تأهيل مساحات فقدت غطاءها النباتي نتيجة الجفاف أو الاستخدام المفرط.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18 شهرًا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