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استعادة الغطاء النباتي في الأودية المتدهورة بحلول حصاد مياه الأمطار.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18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600,000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الأودية المتصحرة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استعادة الغطاء النباتي في الأودية المتدهورة بحلول حصاد مياه الأمطار.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