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داخل القر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نطاقات خضراء في المداخل والمواقع العامة للقر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