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أطراف صناعية للأطفال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أطراف صناعية للأطفال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توفير أطراف مع خطة استبدال أو تعديل تراعي النمو.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200,000 — 400,000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أطراف صناعية للأطفال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توفير أطراف مع خطة استبدال أو تعديل تراعي النمو.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