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معايير الاستحقاق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متابعة الالتزام بجلسات الغسيل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app-060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متابعة الالتزام بجلسات الغسيل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جلسات غسيل الكلى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معايير الاستحقاق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الأولوية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دليل الإثبات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قرار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الانطباق على الفئة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الحاجة الفعلية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الدخل/القدرة المالية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عدم الازدواجية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أولوية الحالة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الموافقات الخاصة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تنبيه: لمسارات الزكاة يجب توثيق أهلية المصرف والمستفيد وفق الضوابط المعتمدة لدى الجهة والمنصة.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متابعة الالتزام بجلسات الغسيل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جلسات غسيل الكلى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تمويل الجلسات مع إدارة حالة تتابع الحضور.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250,000 — 450,000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سنة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