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Текст выступления на защите ВКР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Камашев П. «Конкурентная стратегия МТС Юрент на региональных рынках кикшеринга в России»</w:t>
      </w:r>
    </w:p>
    <w:p>
      <w:pPr>
        <w:jc w:val="center"/>
      </w:pPr>
      <w:r>
        <w:rPr>
          <w:rFonts w:ascii="Times New Roman" w:hAnsi="Times New Roman"/>
          <w:i/>
          <w:sz w:val="22"/>
        </w:rPr>
        <w:t>Регламент: 10 минут. Объём: ~1380 слов. Логика — по сетке научника, 12 слайдов.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160" w:after="40"/>
      </w:pPr>
      <w:r>
        <w:rPr>
          <w:rFonts w:ascii="Times New Roman" w:hAnsi="Times New Roman"/>
          <w:b/>
          <w:sz w:val="24"/>
        </w:rPr>
        <w:t>Стартовая фраза</w:t>
      </w:r>
    </w:p>
    <w:p>
      <w:r>
        <w:rPr>
          <w:rFonts w:ascii="Times New Roman" w:hAnsi="Times New Roman"/>
          <w:b w:val="0"/>
          <w:i w:val="0"/>
          <w:sz w:val="24"/>
        </w:rPr>
        <w:t>«Добрый день, уважаемые члены государственной экзаменационной комиссии. Меня зовут Пётр Камашев, я представляю выпускную квалификационную работу на тему "Конкурентная стратегия МТС Юрент на региональных рынках кикшеринга в России". Научный руководитель — профессор Иван Александрович Егоров».</w:t>
      </w:r>
    </w:p>
    <w:p>
      <w:pPr>
        <w:spacing w:before="200" w:after="20"/>
      </w:pPr>
      <w:r>
        <w:rPr>
          <w:rFonts w:ascii="Times New Roman" w:hAnsi="Times New Roman"/>
          <w:b/>
          <w:sz w:val="24"/>
        </w:rPr>
        <w:t>Слайд 1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МТС Юрент столкнулся с одновременным сжатием рынка и расхождением региональных условий</w:t>
      </w:r>
    </w:p>
    <w:p>
      <w:r>
        <w:rPr>
          <w:rFonts w:ascii="Times New Roman" w:hAnsi="Times New Roman"/>
          <w:b w:val="0"/>
          <w:i/>
          <w:sz w:val="24"/>
        </w:rPr>
        <w:t>Ключевая мысль: Текущая логика расширения исчерпала источник нового эффекта.</w:t>
      </w:r>
    </w:p>
    <w:p>
      <w:r>
        <w:rPr>
          <w:rFonts w:ascii="Times New Roman" w:hAnsi="Times New Roman"/>
          <w:b w:val="0"/>
          <w:i w:val="0"/>
          <w:sz w:val="24"/>
        </w:rPr>
        <w:t>Объект исследования — МТС Юрент как оператор кикшеринга на портфеле региональных рынков. Управленческая проблема состоит в том, что российский рынок кикшеринга в 2025 году впервые показал отрицательную динамику: поездки сократились на 6 %, выручка лидера Whoosh упала на 13 %, а EBITDA-маржа кикшеринга у бенчмарк-оператора снизилась с 42 до 28 %. На этом фоне региональные рынки расходятся по структурным условиям: Санкт-Петербург за полугодие прибавил 42 % поездок, Москва потеряла 14 %, а утилизация парка различается между городами в четыре раза. Единая логика присутствия в портфеле теряет управленческую состоятельность, и формализованной процедуры выбора режима по городам у компании сегодня нет.</w:t>
      </w:r>
    </w:p>
    <w:p>
      <w:pPr>
        <w:spacing w:before="200" w:after="20"/>
      </w:pPr>
      <w:r>
        <w:rPr>
          <w:rFonts w:ascii="Times New Roman" w:hAnsi="Times New Roman"/>
          <w:b/>
          <w:sz w:val="24"/>
        </w:rPr>
        <w:t>Слайд 2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Цель — построить систему стратегического выбора и применить её к МТС Юрент</w:t>
      </w:r>
    </w:p>
    <w:p>
      <w:r>
        <w:rPr>
          <w:rFonts w:ascii="Times New Roman" w:hAnsi="Times New Roman"/>
          <w:b w:val="0"/>
          <w:i/>
          <w:sz w:val="24"/>
        </w:rPr>
        <w:t>Ключевая мысль: Работа выстроена как линейная цепочка от диагностики к измеримому эффекту.</w:t>
      </w:r>
    </w:p>
    <w:p>
      <w:r>
        <w:rPr>
          <w:rFonts w:ascii="Times New Roman" w:hAnsi="Times New Roman"/>
          <w:b w:val="0"/>
          <w:i w:val="0"/>
          <w:sz w:val="24"/>
        </w:rPr>
        <w:t>Цель работы — разработать аналитическую систему стратегического выбора оператора кикшеринга в портфеле региональных рынков и применить её к МТС Юрент. Логика работы строится по последовательности: внешняя среда, внутренняя диагностика, стратегические альтернативы, выбор сценария, проектное наполнение, оценка эффекта. Семь задач — от систематизации литературы и диагностики рынка до построения каркаса режимов, проектного инструмента и финансовой модели. Каждая задача — отдельный блок работы. За следующие восемь минут я покажу, как они складываются в одно стратегическое решение.</w:t>
      </w:r>
    </w:p>
    <w:p>
      <w:pPr>
        <w:spacing w:before="200" w:after="20"/>
      </w:pPr>
      <w:r>
        <w:rPr>
          <w:rFonts w:ascii="Times New Roman" w:hAnsi="Times New Roman"/>
          <w:b/>
          <w:sz w:val="24"/>
        </w:rPr>
        <w:t>Слайд 3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Методология: пять теоретических линий и закрытые данные оператора по 86 субъектам РФ</w:t>
      </w:r>
    </w:p>
    <w:p>
      <w:r>
        <w:rPr>
          <w:rFonts w:ascii="Times New Roman" w:hAnsi="Times New Roman"/>
          <w:b w:val="0"/>
          <w:i/>
          <w:sz w:val="24"/>
        </w:rPr>
        <w:t>Ключевая мысль: Выводы опираются на сочетание академической рамки, экспертной перспективы и внутренней операционной отчётности.</w:t>
      </w:r>
    </w:p>
    <w:p>
      <w:r>
        <w:rPr>
          <w:rFonts w:ascii="Times New Roman" w:hAnsi="Times New Roman"/>
          <w:b w:val="0"/>
          <w:i w:val="0"/>
          <w:sz w:val="24"/>
        </w:rPr>
        <w:t>Чтобы обеспечить доказательность выводов, я использовал комбинацию методов. Теоретическая основа — пять линий: ресурсная теория фирмы, концепция динамических способностей, теория платформенной конкуренции, эмпирические исследования рынков шеринговой микромобильности и системная экономика Клейнера. Внешняя среда анализировалась через PESTEL и конкурентный анализ. Эмпирическая база — открытая отчётность МТС и ВУШ Холдинг, отраслевая аналитика, два экспертных информанта. Главный закрытый источник — внутренние поквартальные данные МТС Юрент по 86 субъектам РФ за 2024 и девять месяцев 2025 года. Отдельно отмечу: для обработки источников, форматирования и редактуры я использовал инструменты ИИ — ChatGPT и Claude; стратегические решения, интерпретация данных и параметры финансовой модели — авторские. Декларация ИИ — в Приложении А работы.</w:t>
      </w:r>
    </w:p>
    <w:p>
      <w:pPr>
        <w:spacing w:before="200" w:after="20"/>
      </w:pPr>
      <w:r>
        <w:rPr>
          <w:rFonts w:ascii="Times New Roman" w:hAnsi="Times New Roman"/>
          <w:b/>
          <w:sz w:val="24"/>
        </w:rPr>
        <w:t>Слайд 4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Рынок сжался впервые за пять лет, сезон сократился, капитал подорожал</w:t>
      </w:r>
    </w:p>
    <w:p>
      <w:r>
        <w:rPr>
          <w:rFonts w:ascii="Times New Roman" w:hAnsi="Times New Roman"/>
          <w:b w:val="0"/>
          <w:i/>
          <w:sz w:val="24"/>
        </w:rPr>
        <w:t>Ключевая мысль: Экстенсивная модель расширения не выдерживает экономики покрытия в новых условиях.</w:t>
      </w:r>
    </w:p>
    <w:p>
      <w:r>
        <w:rPr>
          <w:rFonts w:ascii="Times New Roman" w:hAnsi="Times New Roman"/>
          <w:b w:val="0"/>
          <w:i w:val="0"/>
          <w:sz w:val="24"/>
        </w:rPr>
        <w:t>На объект одновременно воздействуют четыре значимых фактора внешней среды. Во-первых, поездки на рынке снизились на 6 %, а у лидера Whoosh — на 7 %; маржа кикшеринга упала с 42 до 28 %. Во-вторых, ключевая ставка ЦБ 21 % в 2025 году существенно повышает стоимость финансирования парка со сроком службы два-три сезона. В-третьих, региональная регуляторика расходится в широком диапазоне — от обязательной верификации через mos.ru в Москве до угроз расторжения соглашений с операторами в Екатеринбурге. В-четвёртых, сезон 2025 года сжался: начался не в марте, а в июне. Совокупный эффект состоит в том, что прежняя логика расширения парка и географии перестаёт быть достаточным основанием конкурентной борьбы.</w:t>
      </w:r>
    </w:p>
    <w:p>
      <w:pPr>
        <w:spacing w:before="200" w:after="20"/>
      </w:pPr>
      <w:r>
        <w:rPr>
          <w:rFonts w:ascii="Times New Roman" w:hAnsi="Times New Roman"/>
          <w:b/>
          <w:sz w:val="24"/>
        </w:rPr>
        <w:t>Слайд 5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Ключевой фактор успеха на зрелой стадии — доступность покрытия; здесь у Юрента системный гэп</w:t>
      </w:r>
    </w:p>
    <w:p>
      <w:r>
        <w:rPr>
          <w:rFonts w:ascii="Times New Roman" w:hAnsi="Times New Roman"/>
          <w:b w:val="0"/>
          <w:i/>
          <w:sz w:val="24"/>
        </w:rPr>
        <w:t>Ключевая мысль: Разрыв с лидером возникает не из-за меньшего парка, а из-за более низкой эффективности уже размещённого парка.</w:t>
      </w:r>
    </w:p>
    <w:p>
      <w:r>
        <w:rPr>
          <w:rFonts w:ascii="Times New Roman" w:hAnsi="Times New Roman"/>
          <w:b w:val="0"/>
          <w:i w:val="0"/>
          <w:sz w:val="24"/>
        </w:rPr>
        <w:t>Конкурентный анализ показал, что на российском рынке к 2025 году сложилась олигополия трёх операторов с долей 96,8 %. Игроки различаются стратегической логикой: Whoosh опирается на масштаб парка и вертикальную интеграцию, МТС Юрент — на экосистему МТС, Яндекс — на трафик суперприложения. Ключевой фактор успеха на зрелой стадии — фактическая доступность самоката в нужной точке и в нужное время. По этому фактору у МТС Юрент системный гэп: выручка на самокат — 49 тысяч рублей в год против 67 тысяч у Whoosh. В разрезе городов разрыв различается в три раза — от 1 073 поездок на самокат в год в Москве до 277 в Новосибирске. Закрытие гэпа не сводится к универсальному наращиванию парка и требует дифференциации действий по типам региональных рынков.</w:t>
      </w:r>
    </w:p>
    <w:p>
      <w:pPr>
        <w:spacing w:before="200" w:after="20"/>
      </w:pPr>
      <w:r>
        <w:rPr>
          <w:rFonts w:ascii="Times New Roman" w:hAnsi="Times New Roman"/>
          <w:b/>
          <w:sz w:val="24"/>
        </w:rPr>
        <w:t>Слайд 6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Внутри сильная экосистема МТС, но централизованное управление 187 локациями</w:t>
      </w:r>
    </w:p>
    <w:p>
      <w:r>
        <w:rPr>
          <w:rFonts w:ascii="Times New Roman" w:hAnsi="Times New Roman"/>
          <w:b w:val="0"/>
          <w:i/>
          <w:sz w:val="24"/>
        </w:rPr>
        <w:t>Ключевая мысль: Ресурсы есть; проблема — в способе их превращения в результат на неоднородной географии.</w:t>
      </w:r>
    </w:p>
    <w:p>
      <w:r>
        <w:rPr>
          <w:rFonts w:ascii="Times New Roman" w:hAnsi="Times New Roman"/>
          <w:b w:val="0"/>
          <w:i w:val="0"/>
          <w:sz w:val="24"/>
        </w:rPr>
        <w:t>Внутренний анализ показал, что Юрент уже обладает ресурсами и компетенциями для дифференцированной стратегии: встроенность в экосистему МТС с 80 миллионами абонентов, технологическая платформа Eleven после приобретения 2024 года, парк около 120 тысяч СИМ в 187 локациях, гибкость пилотирования. Однако управленческая логика остаётся централизованной, формализованной процедуры назначения режимов городам нет, локальная экспертиза в регионах ограничена. В терминах динамических способностей — операционный блок развит, а способность воспроизводимо перестраивать ресурсы под изменения рынка находится в начальной зрелости. Проблема не в отсутствии потенциала, а в том, что текущая модель не превращает имеющиеся ресурсы в устойчивый региональный результат.</w:t>
      </w:r>
    </w:p>
    <w:p>
      <w:pPr>
        <w:spacing w:before="200" w:after="20"/>
      </w:pPr>
      <w:r>
        <w:rPr>
          <w:rFonts w:ascii="Times New Roman" w:hAnsi="Times New Roman"/>
          <w:b/>
          <w:sz w:val="24"/>
        </w:rPr>
        <w:t>Слайд 7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Стратегический диагноз: единая модель присутствия исчерпала источник новой ценности</w:t>
      </w:r>
    </w:p>
    <w:p>
      <w:r>
        <w:rPr>
          <w:rFonts w:ascii="Times New Roman" w:hAnsi="Times New Roman"/>
          <w:b w:val="0"/>
          <w:i/>
          <w:sz w:val="24"/>
        </w:rPr>
        <w:t>Ключевая мысль: Разрыв между неоднородностью рынков и единообразием управленческой логики требует системного, а не локального ответа.</w:t>
      </w:r>
    </w:p>
    <w:p>
      <w:r>
        <w:rPr>
          <w:rFonts w:ascii="Times New Roman" w:hAnsi="Times New Roman"/>
          <w:b w:val="0"/>
          <w:i w:val="0"/>
          <w:sz w:val="24"/>
        </w:rPr>
        <w:t>На основании внешнего и внутреннего анализа стратегический диагноз формулируется следующим образом. Ключевой разрыв состоит в том, что МТС Юрент работает с принципиально неоднородной портфельной средой через единообразную управленческую логику. Этот разрыв вызван тремя причинами: переходом рынка от экстенсивного роста к зрелой стадии, расхождением региональных условий по структурным факторам и слабой формализацией регионального управления внутри компании. Если сохранить текущую модель, оператор столкнётся с ухудшением экономики покрытия и потерей источника новой ценности от расширения. Для систематической работы с этой неоднородностью я ввёл два инструмента: трёхуровневую иерархию факторов различения рынков и пять критериев оценки стратегических сценариев, выводимых из теоретико-методологической основы работы.</w:t>
      </w:r>
    </w:p>
    <w:p>
      <w:pPr>
        <w:spacing w:before="200" w:after="20"/>
      </w:pPr>
      <w:r>
        <w:rPr>
          <w:rFonts w:ascii="Times New Roman" w:hAnsi="Times New Roman"/>
          <w:b/>
          <w:sz w:val="24"/>
        </w:rPr>
        <w:t>Слайд 8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Три сценария обращения с портфелем — критериальное сопоставление S1, S2 и S3</w:t>
      </w:r>
    </w:p>
    <w:p>
      <w:r>
        <w:rPr>
          <w:rFonts w:ascii="Times New Roman" w:hAnsi="Times New Roman"/>
          <w:b w:val="0"/>
          <w:i/>
          <w:sz w:val="24"/>
        </w:rPr>
        <w:t>Ключевая мысль: S3 сильнее по четырём критериям из пяти; единственный проигрыш адресован управленческими компенсаторами.</w:t>
      </w:r>
    </w:p>
    <w:p>
      <w:r>
        <w:rPr>
          <w:rFonts w:ascii="Times New Roman" w:hAnsi="Times New Roman"/>
          <w:b w:val="0"/>
          <w:i w:val="0"/>
          <w:sz w:val="24"/>
        </w:rPr>
        <w:t>На основе диагноза я рассмотрел три стратегических альтернативы. Первая — сохранение текущей единой логики действий, сценарий S1. Вторая — единый режим удержания с операционной адаптацией, сценарий S2. Третья — диверсификация режимов конкурентных действий по сценарно-однородным группам рынков, сценарий S3. Сравнение проводилось по пяти критериям: ресурсная защитимость, согласованность с динамическими способностями, операционная исполнимость, финансово-операционный эффект и профиль риска. Результаты сопоставления показали, что S3 сильнее альтернатив по четырём критериям из пяти. Уступает только по операционной исполнимости в горизонте перестройки, поскольку требует одновременной поддержки нескольких режимов в разных городах. Этот проигрыш не блокирует выбор: для него предусмотрены управленческие компенсаторы — поэтапное внедрение, функция портфельного управления и единообразие на уровне продукта.</w:t>
      </w:r>
    </w:p>
    <w:p>
      <w:pPr>
        <w:spacing w:before="200" w:after="20"/>
      </w:pPr>
      <w:r>
        <w:rPr>
          <w:rFonts w:ascii="Times New Roman" w:hAnsi="Times New Roman"/>
          <w:b/>
          <w:sz w:val="24"/>
        </w:rPr>
        <w:t>Слайд 9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Выбран S3: диверсификация режимов по сценарно-однородным группам рынков</w:t>
      </w:r>
    </w:p>
    <w:p>
      <w:r>
        <w:rPr>
          <w:rFonts w:ascii="Times New Roman" w:hAnsi="Times New Roman"/>
          <w:b w:val="0"/>
          <w:i/>
          <w:sz w:val="24"/>
        </w:rPr>
        <w:t>Ключевая мысль: Оператор переходит от единой логики действий к воспроизводимой процедуре выбора режима по фактическим KPI.</w:t>
      </w:r>
    </w:p>
    <w:p>
      <w:r>
        <w:rPr>
          <w:rFonts w:ascii="Times New Roman" w:hAnsi="Times New Roman"/>
          <w:b w:val="0"/>
          <w:i w:val="0"/>
          <w:sz w:val="24"/>
        </w:rPr>
        <w:t>Выбранная стратегия — диверсификация режимов по портфелю региональных рынков. Её суть состоит в том, что оператор переходит от единой логики действий ко всем рынкам к назначению каждому рынку режима по фактическим параметрам и регулярному пересмотру этого назначения каждый сезон. На демонстрационном портфеле из пяти городов S3 операционализируется так: Москва — режим удержания в ограниченной форме при жёсткой регуляторике; Санкт-Петербург — атака с переходом к удержанию при ужесточении правил; Екатеринбург — атака с пилотом проектного инструмента; Краснодар — атака или удержание по фактической позиции; Новосибирск — атака с приоритетом эффективности при коротком сезоне. Это не статическая кластеризация городов, а воспроизводимая управленческая процедура, которую сложно скопировать конкуренту.</w:t>
      </w:r>
    </w:p>
    <w:p>
      <w:pPr>
        <w:spacing w:before="200" w:after="20"/>
      </w:pPr>
      <w:r>
        <w:rPr>
          <w:rFonts w:ascii="Times New Roman" w:hAnsi="Times New Roman"/>
          <w:b/>
          <w:sz w:val="24"/>
        </w:rPr>
        <w:t>Слайд 10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Режимы R1–R3 и инструмент УПС: стимул в 4,5 раза дешевле физической ребалансировки</w:t>
      </w:r>
    </w:p>
    <w:p>
      <w:r>
        <w:rPr>
          <w:rFonts w:ascii="Times New Roman" w:hAnsi="Times New Roman"/>
          <w:b w:val="0"/>
          <w:i/>
          <w:sz w:val="24"/>
        </w:rPr>
        <w:t>Ключевая мысль: Проектный инструмент адресует ключевой фактор успеха — доступность покрытия — и снижает потребность в физическом перемещении парка.</w:t>
      </w:r>
    </w:p>
    <w:p>
      <w:r>
        <w:rPr>
          <w:rFonts w:ascii="Times New Roman" w:hAnsi="Times New Roman"/>
          <w:b w:val="0"/>
          <w:i w:val="0"/>
          <w:sz w:val="24"/>
        </w:rPr>
        <w:t>Содержательное наполнение S3 — система трёх режимов конкурентных действий и проектный инструмент. Режим «Плацдарм» — закрепление на новом рынке без атаки. Режим «Атака» — рост доли поездок в позиции преследователя при наличии резерва плотности. Режим «Удержание» — защита позиции при приоритете операционной эффективности. Каждый режим описан через однородный набор полей: цель, условия применения, рычаги, KPI, ограничения. Проектный инструмент я назвал «Управление покрытием через стимулы». Это механизм, который замещает часть физической ребалансировки тремя типами стимулов: на стороне точки высадки, на стороне точки посадки и оплачиваемого микрозадания внешнему исполнителю. Ключевая цифра: средневзвешенная стоимость стимула — 26,5 рубля за операцию, стоимость физической ребалансировки — 120 рублей за операцию по данным эксперта МТС. Инструмент в 4,5 раза дешевле и применяется в режимах атаки и удержания.</w:t>
      </w:r>
    </w:p>
    <w:p>
      <w:pPr>
        <w:spacing w:before="200" w:after="20"/>
      </w:pPr>
      <w:r>
        <w:rPr>
          <w:rFonts w:ascii="Times New Roman" w:hAnsi="Times New Roman"/>
          <w:b/>
          <w:sz w:val="24"/>
        </w:rPr>
        <w:t>Слайд 11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Финансовая модель: +25 млн EBITDA в год 1, NPV +134 млн руб. при WACC 20 %</w:t>
      </w:r>
    </w:p>
    <w:p>
      <w:r>
        <w:rPr>
          <w:rFonts w:ascii="Times New Roman" w:hAnsi="Times New Roman"/>
          <w:b w:val="0"/>
          <w:i/>
          <w:sz w:val="24"/>
        </w:rPr>
        <w:t>Ключевая мысль: Проект окупается за один сезон и масштабируется с года 2 при тиражировании УПС.</w:t>
      </w:r>
    </w:p>
    <w:p>
      <w:r>
        <w:rPr>
          <w:rFonts w:ascii="Times New Roman" w:hAnsi="Times New Roman"/>
          <w:b w:val="0"/>
          <w:i w:val="0"/>
          <w:sz w:val="24"/>
        </w:rPr>
        <w:t>Финансовая модель сценария S3 на демонстрационном портфеле из пяти городов даёт следующие результаты. Затраты года 1 — около 48 миллионов рублей; capex составляет всего 8 миллионов на IT-инфраструктуру УПС, остальное — операционные расходы. Эффекты — 73 миллиона EBITDA: 12 миллионов от прироста выручки в R2-городах, 6 миллионов от пилота УПС в Екатеринбурге, 52 миллиона от операционной оптимизации в Москве и 3 миллиона от отказа от инвестиций в нерентабельные локации. Чистый эффект года 1 — плюс 25 миллионов рублей; диапазон чувствительности — от минус 14 до плюс 64. Год 2 при тиражировании УПС на четыре города R2-кластера — плюс 80–100 миллионов рублей. NPV проекта при WACC 20 % на трёхлетнем горизонте — плюс 134 миллиона рублей; период окупаемости — около восьми месяцев, то есть сезон одного пилота. Это делает проект относительно безопасным с точки зрения горизонта стратегического планирования.</w:t>
      </w:r>
    </w:p>
    <w:p>
      <w:pPr>
        <w:spacing w:before="200" w:after="20"/>
      </w:pPr>
      <w:r>
        <w:rPr>
          <w:rFonts w:ascii="Times New Roman" w:hAnsi="Times New Roman"/>
          <w:b/>
          <w:sz w:val="24"/>
        </w:rPr>
        <w:t>Слайд 12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Управленческий вывод: неоднородность регионов превращается из проблемы в основу выбора действий</w:t>
      </w:r>
    </w:p>
    <w:p>
      <w:r>
        <w:rPr>
          <w:rFonts w:ascii="Times New Roman" w:hAnsi="Times New Roman"/>
          <w:b w:val="0"/>
          <w:i/>
          <w:sz w:val="24"/>
        </w:rPr>
        <w:t>Ключевая мысль: МТС Юрент получает рабочий инструментарий для подготовки стратегических решений по портфелю.</w:t>
      </w:r>
    </w:p>
    <w:p>
      <w:pPr>
        <w:spacing w:before="160" w:after="40"/>
      </w:pPr>
      <w:r>
        <w:rPr>
          <w:rFonts w:ascii="Times New Roman" w:hAnsi="Times New Roman"/>
          <w:b/>
          <w:sz w:val="24"/>
        </w:rPr>
        <w:t>Финальная фраза (Слайд 12)</w:t>
      </w:r>
    </w:p>
    <w:p>
      <w:r>
        <w:rPr>
          <w:rFonts w:ascii="Times New Roman" w:hAnsi="Times New Roman"/>
          <w:b w:val="0"/>
          <w:i w:val="0"/>
          <w:sz w:val="24"/>
        </w:rPr>
        <w:t>«Если кратко подвести итог работы. Управленческая проблема МТС Юрент состояла в том, что для портфеля из 187 локаций нет формализованной процедуры выбора режима присутствия. Проведённая диагностика показала, что причина — в исчерпании источника новой ценности от единой логики расширения. Сопоставление трёх сценариев по пяти критериям обосновало выбор стратегии диверсификации режимов. В её рамках предложен проектный инструмент управления покрытием через стимулы и построена портфельная финансовая модель с чистым эффектом плюс 25 миллионов рублей в год 1 и плюс 80–100 миллионов в год 2. Главный практический вклад работы — рабочий инструментарий для подготовки стратегических решений МТС Юрент: диагностический каркас, система режимов R1–R3, проектное решение УПС и шаблон финансовой модели для расширения на остальные города присутствия. Спасибо за внимание, готов к вопросам».</w:t>
      </w:r>
    </w:p>
    <w:p>
      <w:pPr>
        <w:spacing w:before="280" w:after="80"/>
      </w:pPr>
      <w:r>
        <w:rPr>
          <w:rFonts w:ascii="Times New Roman" w:hAnsi="Times New Roman"/>
          <w:b/>
          <w:sz w:val="26"/>
        </w:rPr>
        <w:t>Хронометраж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Старт + Слайд 1: </w:t>
      </w:r>
      <w:r>
        <w:rPr>
          <w:rFonts w:ascii="Times New Roman" w:hAnsi="Times New Roman"/>
          <w:b w:val="0"/>
          <w:sz w:val="22"/>
        </w:rPr>
        <w:t>~1:15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2: </w:t>
      </w:r>
      <w:r>
        <w:rPr>
          <w:rFonts w:ascii="Times New Roman" w:hAnsi="Times New Roman"/>
          <w:b w:val="0"/>
          <w:sz w:val="22"/>
        </w:rPr>
        <w:t>~0:40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3: </w:t>
      </w:r>
      <w:r>
        <w:rPr>
          <w:rFonts w:ascii="Times New Roman" w:hAnsi="Times New Roman"/>
          <w:b w:val="0"/>
          <w:sz w:val="22"/>
        </w:rPr>
        <w:t>~0:55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4: </w:t>
      </w:r>
      <w:r>
        <w:rPr>
          <w:rFonts w:ascii="Times New Roman" w:hAnsi="Times New Roman"/>
          <w:b w:val="0"/>
          <w:sz w:val="22"/>
        </w:rPr>
        <w:t>~0:55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5: </w:t>
      </w:r>
      <w:r>
        <w:rPr>
          <w:rFonts w:ascii="Times New Roman" w:hAnsi="Times New Roman"/>
          <w:b w:val="0"/>
          <w:sz w:val="22"/>
        </w:rPr>
        <w:t>~0:55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6: </w:t>
      </w:r>
      <w:r>
        <w:rPr>
          <w:rFonts w:ascii="Times New Roman" w:hAnsi="Times New Roman"/>
          <w:b w:val="0"/>
          <w:sz w:val="22"/>
        </w:rPr>
        <w:t>~0:50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7: </w:t>
      </w:r>
      <w:r>
        <w:rPr>
          <w:rFonts w:ascii="Times New Roman" w:hAnsi="Times New Roman"/>
          <w:b w:val="0"/>
          <w:sz w:val="22"/>
        </w:rPr>
        <w:t>~0:55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8: </w:t>
      </w:r>
      <w:r>
        <w:rPr>
          <w:rFonts w:ascii="Times New Roman" w:hAnsi="Times New Roman"/>
          <w:b w:val="0"/>
          <w:sz w:val="22"/>
        </w:rPr>
        <w:t>~1:00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9: </w:t>
      </w:r>
      <w:r>
        <w:rPr>
          <w:rFonts w:ascii="Times New Roman" w:hAnsi="Times New Roman"/>
          <w:b w:val="0"/>
          <w:sz w:val="22"/>
        </w:rPr>
        <w:t>~0:55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10: </w:t>
      </w:r>
      <w:r>
        <w:rPr>
          <w:rFonts w:ascii="Times New Roman" w:hAnsi="Times New Roman"/>
          <w:b w:val="0"/>
          <w:sz w:val="22"/>
        </w:rPr>
        <w:t>~1:05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11: </w:t>
      </w:r>
      <w:r>
        <w:rPr>
          <w:rFonts w:ascii="Times New Roman" w:hAnsi="Times New Roman"/>
          <w:b w:val="0"/>
          <w:sz w:val="22"/>
        </w:rPr>
        <w:t>~1:00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12 + финал: </w:t>
      </w:r>
      <w:r>
        <w:rPr>
          <w:rFonts w:ascii="Times New Roman" w:hAnsi="Times New Roman"/>
          <w:b w:val="0"/>
          <w:sz w:val="22"/>
        </w:rPr>
        <w:t>~1:00</w:t>
      </w:r>
    </w:p>
    <w:p>
      <w:pPr>
        <w:spacing w:after="20"/>
      </w:pPr>
      <w:r>
        <w:rPr>
          <w:rFonts w:ascii="Times New Roman" w:hAnsi="Times New Roman"/>
          <w:b/>
          <w:sz w:val="22"/>
        </w:rPr>
        <w:t xml:space="preserve">ИТОГО: </w:t>
      </w:r>
      <w:r>
        <w:rPr>
          <w:rFonts w:ascii="Times New Roman" w:hAnsi="Times New Roman"/>
          <w:b/>
          <w:sz w:val="22"/>
        </w:rPr>
        <w:t>~10:25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Если жмут до 8 минут — режу Слайд 4 (внешний контур) до 30 секунд и Слайд 6 (внутренний) до 30 секунд, освобождаю минуту в сумме.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