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8"/>
        </w:rPr>
        <w:t>Текст выступления на защите ВКР</w:t>
      </w:r>
    </w:p>
    <w:p>
      <w:pPr>
        <w:spacing w:before="40" w:after="40"/>
        <w:jc w:val="center"/>
      </w:pPr>
      <w:r>
        <w:rPr>
          <w:rFonts w:ascii="Times New Roman" w:hAnsi="Times New Roman"/>
          <w:b w:val="0"/>
          <w:sz w:val="24"/>
        </w:rPr>
        <w:t>Камашев П. «Конкурентная стратегия МТС Юрент на региональных рынках кикшеринга в России»</w:t>
      </w:r>
    </w:p>
    <w:p>
      <w:pPr>
        <w:jc w:val="center"/>
      </w:pPr>
      <w:r>
        <w:rPr>
          <w:rFonts w:ascii="Times New Roman" w:hAnsi="Times New Roman"/>
          <w:i/>
          <w:sz w:val="22"/>
        </w:rPr>
        <w:t>Регламент: 15 минут. Объём: ~2 000 слов. 16 слайдов + 5 backup.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pPr>
        <w:spacing w:before="160" w:after="40"/>
      </w:pPr>
      <w:r>
        <w:rPr>
          <w:rFonts w:ascii="Times New Roman" w:hAnsi="Times New Roman"/>
          <w:b/>
          <w:sz w:val="24"/>
        </w:rPr>
        <w:t>Стартовая фраза (Слайд 1)</w:t>
      </w:r>
    </w:p>
    <w:p>
      <w:r>
        <w:rPr>
          <w:rFonts w:ascii="Times New Roman" w:hAnsi="Times New Roman"/>
          <w:b w:val="0"/>
          <w:i w:val="0"/>
          <w:sz w:val="24"/>
        </w:rPr>
        <w:t>«Добрый день, уважаемые члены государственной экзаменационной комиссии. Меня зовут Пётр Камашев, я представляю выпускную квалификационную работу на тему «Конкурентная стратегия МТС Юрент на региональных рынках кикшеринга в России». Научный руководитель — профессор Иван Александрович Егоров. Работа посвящена выбору конкурентной стратегии оператора в условиях, когда региональные рынки кикшеринга становятся неоднородными, а простая логика роста парка и географии уже перестаёт быть достаточной».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2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Рынок впервые сжался, а регионы расходятся — единая логика МТС Юрент по 187 локациям перестаёт работать</w:t>
      </w:r>
    </w:p>
    <w:p>
      <w:r>
        <w:rPr>
          <w:rFonts w:ascii="Times New Roman" w:hAnsi="Times New Roman"/>
          <w:b w:val="0"/>
          <w:i w:val="0"/>
          <w:sz w:val="24"/>
        </w:rPr>
        <w:t>Объект исследования — МТС Юрент как оператор кикшеринга на портфеле региональных рынков России. Управленческая проблема — следующая. Российский рынок кикшеринга в 2025 году впервые показал отрицательную динамику: поездки сократились на 6 %, выручка лидера Whoosh упала на 13 %, а EBITDA-маржа кикшеринга у бенчмарк-оператора снизилась с 42 до 28 процентов. На этом фоне региональные рынки расходятся по структурным условиям: Санкт-Петербург за полугодие прибавил 42 % поездок, Москва потеряла 14 %, а утилизация парка различается между городами в четыре раза. Единая логика присутствия в портфеле теряет управленческую состоятельность, и формализованной процедуры выбора режима по городам у МТС Юрент сегодня нет — стратегические решения принимаются как набор разовых кейсов. Это и есть управленческая проблема, на которую отвечает работа.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3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Цель — построить систему стратегического выбора и применить её к МТС Юрент</w:t>
      </w:r>
    </w:p>
    <w:p>
      <w:r>
        <w:rPr>
          <w:rFonts w:ascii="Times New Roman" w:hAnsi="Times New Roman"/>
          <w:b w:val="0"/>
          <w:i w:val="0"/>
          <w:sz w:val="24"/>
        </w:rPr>
        <w:t>Цель работы — разработать аналитическую систему стратегического выбора оператора кикшеринга в портфеле региональных рынков и применить её к МТС Юрент. Логика работы строится по линейной цепочке: внешняя среда, внутренняя диагностика, стратегические альтернативы, выбор сценария, проектное наполнение, оценка эффекта. Семь задач: систематизация литературы, диагностика рынка, построение иерархии факторов регионального различения, разработка каркаса режимов, сопоставление сценариев, разработка проектного инструмента и построение финансовой модели. Каждая задача — отдельный блок работы; за следующие тринадцать минут я покажу, как они складываются в одно стратегическое решение.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4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Методология: 5 теоретических линий и закрытые данные по 86 субъектам РФ</w:t>
      </w:r>
    </w:p>
    <w:p>
      <w:r>
        <w:rPr>
          <w:rFonts w:ascii="Times New Roman" w:hAnsi="Times New Roman"/>
          <w:b w:val="0"/>
          <w:i w:val="0"/>
          <w:sz w:val="24"/>
        </w:rPr>
        <w:t>Для обеспечения доказательности выводов я использовал комбинацию методов. Теоретическая основа — пять линий: ресурсная теория фирмы Wernerfelt и Barney, концепция динамических способностей Teece, теория платформенной конкуренции, эмпирические исследования рынков шеринговой микромобильности и системная экономика Клейнера как российская рамка управления компанией в системно неоднородной среде. Из этих линий выведены пять критериев оценки стратегических сценариев — к ним я вернусь на Слайде 10. Эмпирическая база — три типа источников: открытая отчётность ПАО «МТС» и ПАО «ВУШ Холдинг» за 2022–2025 годы, отраслевая аналитика и деловая пресса, два экспертных информанта — руководитель подразделения M&amp;A МТС и научный руководитель. Главный закрытый источник — внутренние поквартальные данные МТС Юрент по 86 субъектам РФ за 2024 год и девять месяцев 2025 года. Демонстрационный портфель из пяти городов покрывает 94 % выручки сервиса в России. Отдельно отмечу: для обработки источников, форматирования и редактуры использовал инструменты ИИ — ChatGPT и Claude; стратегические решения, выбор сценария, интерпретация данных и параметры финансовой модели — авторские; полная декларация — в Приложении А ВКР.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5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Внешняя среда: рынок сжался впервые за 5 лет, сезон сократился, капитал подорожал</w:t>
      </w:r>
    </w:p>
    <w:p>
      <w:r>
        <w:rPr>
          <w:rFonts w:ascii="Times New Roman" w:hAnsi="Times New Roman"/>
          <w:b w:val="0"/>
          <w:i w:val="0"/>
          <w:sz w:val="24"/>
        </w:rPr>
        <w:t>На объект одновременно воздействуют четыре фактора внешней среды. Первое — рынок: по данным Платформы ОФД, поездки в России в 2025 году сократились на 6 %, у лидера Whoosh — на 7 %, маржа кикшеринга упала с 42 до 28 процентов. Второе — капитал: ключевая ставка ЦБ 21 % в 2025 году существенно повышает стоимость финансирования парка со сроком службы два-три сезона и стоимостью единицы 60–90 тысяч рублей. Третье — региональная регуляторика: режимы расходятся в широком диапазоне — от обязательной верификации через mos.ru в Москве до угроз расторжения соглашений с операторами в Екатеринбурге. Четвёртое — сезон 2025 года сжался: начался не в марте, а в июне, что лишило операторов первого квартала и повысило чувствительность к погоде. Совокупный эффект — прежняя логика расширения парка и географии перестаёт быть достаточным основанием конкурентной борьбы.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6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Региональная неоднородность: пять рынков расходятся по структурным условиям</w:t>
      </w:r>
    </w:p>
    <w:p>
      <w:r>
        <w:rPr>
          <w:rFonts w:ascii="Times New Roman" w:hAnsi="Times New Roman"/>
          <w:b w:val="0"/>
          <w:i w:val="0"/>
          <w:sz w:val="24"/>
        </w:rPr>
        <w:t>Демонстрационный портфель из пяти городов даёт срез на 94 % выручки оператора в России. Цифры расходятся в разные стороны: утилизация парка от 1 073 поездок на самокат в год в Москве до 277 в Новосибирске — почти четырёхкратный разрыв. Динамика год к году за девять месяцев 2025 года — от минус десяти процентов в Краснодаре до плюс ста двадцати девяти в Новосибирске. Регуляторная среда — от жёсткой в Москве до умеренной в трёх других городах. Позиция МТС Юрент во всех пяти городах одна — преследователь, но условия рынков принципиально разные. Такая неоднородность физически не допускает единого режима по портфелю — на одном слайде видно, почему стратегические решения по этим рынкам не могут приниматься через одну универсальную процедуру.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7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Конкурентная позиция: ключевой фактор успеха — доступность покрытия, у Юрента системный гэп</w:t>
      </w:r>
    </w:p>
    <w:p>
      <w:r>
        <w:rPr>
          <w:rFonts w:ascii="Times New Roman" w:hAnsi="Times New Roman"/>
          <w:b w:val="0"/>
          <w:i w:val="0"/>
          <w:sz w:val="24"/>
        </w:rPr>
        <w:t>Конкурентный анализ показал, что к 2025 году на российском рынке сложилась олигополия трёх операторов с долей 96,8 процента от выручки. Игроки различаются стратегической логикой: Whoosh опирается на масштаб парка и вертикальную интеграцию, МТС Юрент — на экосистему МТС и платформу Eleven, Яндекс — на трафик суперприложения. Ключевой фактор успеха на зрелой стадии рынка — фактическая доступность самоката в нужной точке и в нужное время, качество покрытия с учётом микрогеометрии города. По этому фактору у МТС Юрент системный гэп: выручка на один самокат в год — 49 тысяч рублей против 67 тысяч у Whoosh. Принципиально важно: разрыв возникает не из-за меньшего парка, а из-за более низкой эффективности уже размещённого парка. В разрезе городов разрыв различается в три раза. Закрытие гэпа не сводится к универсальному наращиванию парка и требует дифференциации действий по типам региональных рынков — к этому я ещё вернусь, когда буду показывать проектный инструмент УПС, который напрямую адресует этот ключевой фактор успеха.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8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Внутри сильная экосистема МТС, но централизованная управленческая логика для 187 локаций</w:t>
      </w:r>
    </w:p>
    <w:p>
      <w:r>
        <w:rPr>
          <w:rFonts w:ascii="Times New Roman" w:hAnsi="Times New Roman"/>
          <w:b w:val="0"/>
          <w:i w:val="0"/>
          <w:sz w:val="24"/>
        </w:rPr>
        <w:t>Внутренний анализ показал, что МТС Юрент уже обладает ресурсами для дифференцированной стратегии. Сильные стороны: встроенность в экосистему МТС с 80 миллионами абонентов, единый MTS ID, подписочная модель через Premium, обезличенная геоаналитика; технологическая платформа после приобретения белорусского разработчика Eleven; парк около 120 тысяч СИМ и присутствие в 187 локациях с отстроенными процедурами обслуживания; предпринимательская гибкость — компактная команда, короткий контур принятия решений. Слабые стороны: централизованная управленческая логика, мало чувствительная к различиям регионов; отсутствие формализованной процедуры назначения режимов городам; ограниченная локальная экспертиза; систематическое отставание по утилизации и выручке на самокат относительно лидера. В терминах концепции динамических способностей операционный блок развит, а способность воспроизводимо перестраивать ресурсы под изменения рынка находится в начальной зрелости. То есть проблема не в отсутствии потенциала, а в том, что текущая модель не превращает имеющиеся ресурсы в устойчивый региональный результат.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9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Стратегический диагноз: единая модель присутствия исчерпала источник новой ценности</w:t>
      </w:r>
    </w:p>
    <w:p>
      <w:r>
        <w:rPr>
          <w:rFonts w:ascii="Times New Roman" w:hAnsi="Times New Roman"/>
          <w:b w:val="0"/>
          <w:i w:val="0"/>
          <w:sz w:val="24"/>
        </w:rPr>
        <w:t>Сводный стратегический диагноз формулируется так. Ключевой разрыв состоит в том, что МТС Юрент работает с принципиально неоднородной портфельной средой через единообразную управленческую логику. Этот разрыв вызван тремя причинами: переходом рынка от экстенсивного роста к зрелой конкурентной стадии, расхождением региональных условий по структурным факторам и слабой формализацией регионального управления внутри компании. Если сохранить текущую модель, оператор столкнётся с ухудшением экономики покрытия и потерей источника новой ценности от расширения парка и географии. Поэтому нужен не частный набор улучшений, а целостная стратегия. Для систематической работы с неоднородностью я ввёл два связанных инструмента: трёхуровневую иерархию факторов различения региональных рынков и пять критериев оценки стратегических сценариев, выведенных из теоретической основы. Иерархия позволяет на верхних уровнях выбирать режим присутствия, на нижних — конкретные рычаги. Критерии превращают выбор сценария в воспроизводимую процедуру.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10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Три сценария по 5 критериям — S3 побеждает по четырём из пяти</w:t>
      </w:r>
    </w:p>
    <w:p>
      <w:r>
        <w:rPr>
          <w:rFonts w:ascii="Times New Roman" w:hAnsi="Times New Roman"/>
          <w:b w:val="0"/>
          <w:i w:val="0"/>
          <w:sz w:val="24"/>
        </w:rPr>
        <w:t>На основе диагноза рассмотрены три стратегические альтернативы. Первая — S1, сохранение текущей единой логики действий ко всем регионам. Вторая — S2, единый режим удержания с операционной адаптацией. Третья — S3, диверсификация режимов по сценарно-однородным группам рынков. Сравнение проводилось по пяти критериям: ресурсно-теоретическая защитимость, согласованность с динамическими способностями, операционная исполнимость, финансово-операционный эффект и профиль риска. Результаты сопоставления видны на матрице: S3 сильнее альтернатив по четырём критериям из пяти. Уступает только по операционной исполнимости в горизонте перестройки, поскольку требует одновременной поддержки нескольких режимов в разных городах. Этот проигрыш не блокирует выбор: для него предусмотрены управленческие компенсаторы — поэтапное внедрение, функция портфельного управления и единообразие на уровне продукта при дифференциации операционной модели. Подробно компенсаторы — на Слайде 15.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11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Выбран S3 — диверсификация режимов по сценарно-однородным группам рынков</w:t>
      </w:r>
    </w:p>
    <w:p>
      <w:r>
        <w:rPr>
          <w:rFonts w:ascii="Times New Roman" w:hAnsi="Times New Roman"/>
          <w:b w:val="0"/>
          <w:i w:val="0"/>
          <w:sz w:val="24"/>
        </w:rPr>
        <w:t>Выбранная стратегия — диверсификация режимов по портфелю региональных рынков. Её суть в том, что оператор переходит от единой логики ко всем рынкам к назначению каждому рынку режима по фактическим параметрам и регулярному пересмотру этого назначения каждый сезон. На демонстрационном портфеле из пяти городов S3 операционализируется так: Москва — режим удержания в ограниченной форме при жёсткой регуляторике; Санкт-Петербург — атака с переходом к удержанию при ужесточении регуляторики; Краснодар — атака или удержание по фактической позиции; Екатеринбург — атака с пилотом проектного инструмента, об этом отдельно; Новосибирск — атака с приоритетом эффективности при коротком сезоне. Принципиально важно: S3 — не статическая кластеризация городов, а воспроизводимая управленческая процедура. Именно это делает её сложной для копирования конкурентом. По терминологии Reed и DeFillippi 1990 года — конкурентное преимущество защищается причинной неопределённостью организационного исполнения: конкуренту недостаточно воспроизвести матрицу режимов, нужно создать сопоставимую функцию портфельного управления и локальной адаптации.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12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Каркас режимов R1–R3 покрывает жизненный цикл присутствия оператора на рынке</w:t>
      </w:r>
    </w:p>
    <w:p>
      <w:r>
        <w:rPr>
          <w:rFonts w:ascii="Times New Roman" w:hAnsi="Times New Roman"/>
          <w:b w:val="0"/>
          <w:i w:val="0"/>
          <w:sz w:val="24"/>
        </w:rPr>
        <w:t>Содержательное наполнение S3 — система трёх режимов конкурентных действий. R1 «Плацдарм» — закрепление на новом или слабо освоенном рынке без агрессивной экспансии; назначается при доле меньше 15 процентов; рычаги — минимально достаточный парк и отстройка процессов. R2 «Атака» — рост доли поездок в позиции преследователя при наличии резерва плотности; назначается при доле 15–35 процентов; рычаги — расширение покрытия, активная ценовая политика и проектный инструмент УПС. R3 «Удержание» — защита позиции при приоритете операционной эффективности; назначается при доле больше 35 процентов или при жёсткой регуляторике в ограниченной форме; рычаги — дисциплина расстановки, оптимизация OpEx, УПС. Каждый режим описан через однородный набор полей: цель, условия применения, рычаги, KPI и ограничения. Именно однородность полей делает диагностики разных городов сопоставимыми между собой и с действиями лидера рынка.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13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Проектный инструмент УПС: стимул в 4,5× дешевле физической ребалансировки</w:t>
      </w:r>
    </w:p>
    <w:p>
      <w:r>
        <w:rPr>
          <w:rFonts w:ascii="Times New Roman" w:hAnsi="Times New Roman"/>
          <w:b w:val="0"/>
          <w:i w:val="0"/>
          <w:sz w:val="24"/>
        </w:rPr>
        <w:t>Проектным выходом работы стал инструмент «Управление покрытием через стимулы», УПС. Он адресует ключевой фактор успеха со Слайда 7 — фактическую доступность самоката в нужной точке. Идея инструмента — снизить долю физической ребалансировки в общем объёме операций оператора, замещая её тремя типами стимулов. Первый механизм — стимул на стороне точки высадки: пользователю, завершающему поездку, предлагается небольшая выгода за выбор точки завершения в зоне дефицита. Второй — стимул на стороне точки посадки: скидка за выбор самоката из зоны переизбытка, это снижает плотность в перенасыщенных зонах. Третий — оплачиваемое микрозадание внешнему исполнителю в случаях, где пользовательских стимулов недостаточно. Ключевая цифра: средневзвешенная стоимость стимула — 26,5 рубля за операцию, стоимость физической ребалансировки — 120 рублей за операцию по данным эксперта МТС. Инструмент в 4,5 раза дешевле. УПС применяется в составе сценария S3 в режимах R2 и R3 — снижает потребность в физическом перемещении парка, не отменяя его полностью.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14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Финансовая модель: +25 млн ₽ EBITDA в год 1, NPV +134 млн при WACC 20 %</w:t>
      </w:r>
    </w:p>
    <w:p>
      <w:r>
        <w:rPr>
          <w:rFonts w:ascii="Times New Roman" w:hAnsi="Times New Roman"/>
          <w:b w:val="0"/>
          <w:i w:val="0"/>
          <w:sz w:val="24"/>
        </w:rPr>
        <w:t>Финансовая модель сценария S3 на демонстрационном портфеле даёт следующие результаты. Затраты года 1 — около 48 миллионов рублей: блок A, региональное управление — 22 миллиона; блок B, маркетинг — 7; блок C, инфраструктура и пилот УПС — 16, в том числе capex 8 миллионов; накладные — 3 миллиона. Эффекты EBITDA — 73 миллиона: прирост выручки в R2-городах от дифференциации даёт 12 миллионов; УПС-пилот в Екатеринбурге — 6 миллионов; оптимизация OpEx в режиме R3 в Москве — 52 миллиона за счёт сокращения зон с отрицательной предельной экономикой; экономия капвложений в нерентабельных малых городах — 3 миллиона. Чистый эффект года 1 относительно базовой линии S1 — плюс 25 миллионов рублей; диапазон чувствительности по консервативному и оптимистичному сценариям — от минус четырнадцати до плюс шестидесяти четырёх. Год 2 при тиражировании УПС на четыре города R2-кластера — плюс 80–100 миллионов. NPV проекта при ставке дисконтирования 20 процентов на трёхлетнем горизонте — плюс 134 миллиона рублей; период окупаемости — около восьми месяцев, то есть сезон одного пилота; ROI года 1 — 52 процента. Капитальная интенсивность проекта низкая — всего 8 миллионов на IT-инфраструктуру УПС; это делает проект безопасным с точки зрения горизонта стратегического планирования.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15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Поэтапное внедрение: пилот в Екатеринбурге → масштабирование на R2-кластер в год 2</w:t>
      </w:r>
    </w:p>
    <w:p>
      <w:r>
        <w:rPr>
          <w:rFonts w:ascii="Times New Roman" w:hAnsi="Times New Roman"/>
          <w:b w:val="0"/>
          <w:i w:val="0"/>
          <w:sz w:val="24"/>
        </w:rPr>
        <w:t>Внедрение S3 идёт через пилот УПС в Екатеринбурге на горизонте 12 месяцев. Первый месяц — диагностика: фиксация чувствительных микролокаций и базовых значений KPI. Второй — запуск механизмов М1 и М2, стимулов для пользователей. Третий — подключение М3, микрозаданий внешним исполнителям. Четвёртый — калибровка параметров стимулов и расширение зоны. Пятый — итоги пилота и решение о тиражировании на Санкт-Петербург, Краснодар и Новосибирск с года 2. Управленческие риски S3 — шесть штук, у каждого предусмотрен компенсатор. Рассинхронизация режимов снимается функцией портфельного управления; потеря единого пользовательского опыта — единообразием на уровне продукта; кадровая нагрузка — поэтапностью внедрения; регуляторный шок — встроенными правилами перехода между режимами; ошибка диагностики — регулярным пересмотром по KPI; универсализация УПС — фиксацией условий применимости только в R2 и R3. Главное: S3 не требует одномоментной перестройки всей компании, запускается через пилот и расширяется при подтверждении экономики.</w:t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Слайд 16. Управленческий вывод (финальная фраза)</w:t>
      </w:r>
    </w:p>
    <w:p>
      <w:r>
        <w:rPr>
          <w:rFonts w:ascii="Times New Roman" w:hAnsi="Times New Roman"/>
          <w:b w:val="0"/>
          <w:i w:val="0"/>
          <w:sz w:val="24"/>
        </w:rPr>
        <w:t>«Если кратко подвести итог работы. Управленческая проблема МТС Юрент состояла в том, что для портфеля из 187 локаций нет формализованной процедуры выбора режима присутствия. Проведённая диагностика показала, что причина — в исчерпании источника новой ценности от единой логики расширения. Сопоставление трёх сценариев по пяти критериям обосновало выбор стратегии диверсификации режимов. В её рамках предложен проектный инструмент управления покрытием через стимулы и построена портфельная финансовая модель с чистым эффектом плюс 25 миллионов рублей в год 1 и плюс 80–100 миллионов в год 2 при тиражировании. Главный практический вклад работы — рабочий инструментарий для подготовки стратегических решений МТС Юрент: диагностический каркас, система режимов R1–R3, проектное решение УПС и шаблон финансовой модели для расширения на остальные города присутствия. Спасибо за внимание, готов к вопросам».</w:t>
      </w:r>
    </w:p>
    <w:p>
      <w:pPr>
        <w:spacing w:before="280" w:after="80"/>
      </w:pPr>
      <w:r>
        <w:rPr>
          <w:rFonts w:ascii="Times New Roman" w:hAnsi="Times New Roman"/>
          <w:b/>
          <w:sz w:val="26"/>
        </w:rPr>
        <w:t>Хронометраж по слайдам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Старт + Слайд 1: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2 (проблема):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3 (цель): </w:t>
      </w:r>
      <w:r>
        <w:rPr>
          <w:rFonts w:ascii="Times New Roman" w:hAnsi="Times New Roman"/>
          <w:b w:val="0"/>
          <w:sz w:val="22"/>
        </w:rPr>
        <w:t>~0:45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4 (методология):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5 (внешняя среда):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6 (региональная неоднородность):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7 (конкурентная позиция): </w:t>
      </w:r>
      <w:r>
        <w:rPr>
          <w:rFonts w:ascii="Times New Roman" w:hAnsi="Times New Roman"/>
          <w:b w:val="0"/>
          <w:sz w:val="22"/>
        </w:rPr>
        <w:t>~1:05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8 (внутренняя диагностика):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9 (сводный диагноз):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10 (сценарии): </w:t>
      </w:r>
      <w:r>
        <w:rPr>
          <w:rFonts w:ascii="Times New Roman" w:hAnsi="Times New Roman"/>
          <w:b w:val="0"/>
          <w:sz w:val="22"/>
        </w:rPr>
        <w:t>~1:10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11 (выбран S3):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12 (режимы):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13 (УПС):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14 (финмодель): </w:t>
      </w:r>
      <w:r>
        <w:rPr>
          <w:rFonts w:ascii="Times New Roman" w:hAnsi="Times New Roman"/>
          <w:b w:val="0"/>
          <w:sz w:val="22"/>
        </w:rPr>
        <w:t>~1:30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15 (план + риски):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16 (финал): </w:t>
      </w:r>
      <w:r>
        <w:rPr>
          <w:rFonts w:ascii="Times New Roman" w:hAnsi="Times New Roman"/>
          <w:b w:val="0"/>
          <w:sz w:val="22"/>
        </w:rPr>
        <w:t>~0:45</w:t>
      </w:r>
    </w:p>
    <w:p>
      <w:pPr>
        <w:spacing w:after="20"/>
      </w:pPr>
      <w:r>
        <w:rPr>
          <w:rFonts w:ascii="Times New Roman" w:hAnsi="Times New Roman"/>
          <w:b/>
          <w:sz w:val="22"/>
        </w:rPr>
        <w:t xml:space="preserve">ИТОГО: </w:t>
      </w:r>
      <w:r>
        <w:rPr>
          <w:rFonts w:ascii="Times New Roman" w:hAnsi="Times New Roman"/>
          <w:b/>
          <w:sz w:val="22"/>
        </w:rPr>
        <w:t>~15:00</w:t>
      </w:r>
    </w:p>
    <w:p>
      <w:pPr>
        <w:spacing w:before="280" w:after="80"/>
      </w:pPr>
      <w:r>
        <w:rPr>
          <w:rFonts w:ascii="Times New Roman" w:hAnsi="Times New Roman"/>
          <w:b/>
          <w:sz w:val="26"/>
        </w:rPr>
        <w:t>Подсказки по защите</w:t>
      </w:r>
    </w:p>
    <w:p>
      <w:r>
        <w:rPr>
          <w:rFonts w:ascii="Times New Roman" w:hAnsi="Times New Roman"/>
          <w:b w:val="0"/>
          <w:i w:val="0"/>
          <w:sz w:val="24"/>
        </w:rPr>
        <w:t>— Стартовая и финальная фразы — выучить наизусть.</w:t>
      </w:r>
    </w:p>
    <w:p>
      <w:r>
        <w:rPr>
          <w:rFonts w:ascii="Times New Roman" w:hAnsi="Times New Roman"/>
          <w:b w:val="0"/>
          <w:i w:val="0"/>
          <w:sz w:val="24"/>
        </w:rPr>
        <w:t>— Слайды 9 и 14 — сердце доклада, на них не торопись.</w:t>
      </w:r>
    </w:p>
    <w:p>
      <w:r>
        <w:rPr>
          <w:rFonts w:ascii="Times New Roman" w:hAnsi="Times New Roman"/>
          <w:b w:val="0"/>
          <w:i w:val="0"/>
          <w:sz w:val="24"/>
        </w:rPr>
        <w:t>— Стиль речи: «анализ показал», «отчётность говорит», «ключевой разрыв заключается в», «оптимальной является стратегия».</w:t>
      </w:r>
    </w:p>
    <w:p>
      <w:r>
        <w:rPr>
          <w:rFonts w:ascii="Times New Roman" w:hAnsi="Times New Roman"/>
          <w:b w:val="0"/>
          <w:i w:val="0"/>
          <w:sz w:val="24"/>
        </w:rPr>
        <w:t>— Никакого «я подумал» и «мне кажется». Только стратегический язык.</w:t>
      </w:r>
    </w:p>
    <w:p>
      <w:r>
        <w:rPr>
          <w:rFonts w:ascii="Times New Roman" w:hAnsi="Times New Roman"/>
          <w:b w:val="0"/>
          <w:i w:val="0"/>
          <w:sz w:val="24"/>
        </w:rPr>
        <w:t>— Упоминание ИИ встроено в Слайд 4 — это снимает у комиссии вопрос заранее.</w:t>
      </w:r>
    </w:p>
    <w:p>
      <w:r>
        <w:rPr>
          <w:rFonts w:ascii="Times New Roman" w:hAnsi="Times New Roman"/>
          <w:b w:val="0"/>
          <w:i w:val="0"/>
          <w:sz w:val="24"/>
        </w:rPr>
        <w:t>— Кадры backup-слайдов готовь под Q&amp;A: подробная матрица сценариев (B2), детализация финмодели (B3), расчёт УПС (B4), декларация ИИ (B5).</w:t>
      </w:r>
    </w:p>
    <w:p>
      <w:r>
        <w:rPr>
          <w:rFonts w:ascii="Times New Roman" w:hAnsi="Times New Roman"/>
          <w:b w:val="0"/>
          <w:i w:val="0"/>
          <w:sz w:val="24"/>
        </w:rPr>
        <w:t>— Зрительный контакт с 2–3 «доброжелательными» лицами в комиссии, не со слайдами.</w:t>
      </w:r>
    </w:p>
    <w:p>
      <w:r>
        <w:rPr>
          <w:rFonts w:ascii="Times New Roman" w:hAnsi="Times New Roman"/>
          <w:b w:val="0"/>
          <w:i w:val="0"/>
          <w:sz w:val="24"/>
        </w:rPr>
        <w:t>— Прорепетируй вслух с секундомером минимум 3 раза — текст уляжется в 15 минут с запасом.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