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2024 году на 7%,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оператор кикшеринга МТС Юрент в условиях стагнации и неоднородности российского рынка.</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не опирается на внутреннюю управленческую отчётность ПАО «МТС» и ООО «ЮрентБайк.ру» – этот массив данных недоступен автору в полном объёме. Количественные оценки по МТС Юрент строятся на публичных показателях, бенчмарке ПАО «ВУШ Холдинг», отдельных оценках, согласованных с экспертом А., и сценарных допущениях. Открытых данных и экспертных оценок достаточно для предварительного сопоставления сценариев, выбора сценария и оценки эффекта проектного решения; полноценная апробация и калибровка параметров требуют доступа к внутренним данным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эффекта сценария S3 (+31 млн руб. за год 1 в базовом сценарии, +115–140 млн руб. за год 2 при тиражировании)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Ресурсная теория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Пять критериев применяются не как формальное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весам критериев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По мере развития рынка стратегическое значение приобретает не само расширение присутствия, а его экономический смысл: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Однако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(R2), в других – режим удержания (R3), в третьих – удержание в ограниченной форме (на регуляторно тяжёлых рынках) или плацдарм (R1) при выходе в новые локации.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преимущества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проверяет, опирается ли сценарий на реальную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проверяет реализуемость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Компенсаторы для этого ограничения рассмотрены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«Удержание» – стабилизация маржи через дисциплину расстановки; в рынках с R3 в ограниченной форме (Москва) – снижение операционной нагрузки без потери существенной выручки за счёт исключения зон с отрицательной предельной экономикой. Демонстрационный портфель §2.1.3.6 и финансовая модель §3.4 показывают направления и порядок этой динамики,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неопределённых ресурсов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весам критериев.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§2.3 рассмотрены три сценария – сохранение текущей единой логики действий, единый режим с операционной адаптацией и диверсификация режимов по регионам, – из которых обоснован выбор сценария S3. В Главе 3 этот сценарий переводится в проектное содержание: каркас режимов R1–R3, проектный инструмент УПС, финансовая модель и риски.</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ограниченной формой для регуляторно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w:t>
      </w:r>
    </w:p>
    <w:p>
      <w:pPr>
        <w:jc w:val="both"/>
      </w:pPr>
      <w:r>
        <w:t>–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четырёх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§3.3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§2.1.3.6: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§3.2.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§3.2. Ограниченная: УПС работает там, где стоит задача защиты доступности в чувствительных микролокациях. В режиме R3 число таких микролокаций невелико, и инструмент применяется выборочно.</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§3.2.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УПС</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УПС (§3.2).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§3.2.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§3.2.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§3.2.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 (огранич.)</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ограниченная</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«Управление покрытием через стимулы» рассмотрено в §3.2; ожидаемый совокупный финансовый эффект сценария S3 на портфеле оценивается в §3.4.</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на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2 626</w:t>
            </w:r>
          </w:p>
        </w:tc>
        <w:tc>
          <w:tcPr>
            <w:tcW w:type="dxa" w:w="1246"/>
          </w:tcPr>
          <w:p>
            <w:pPr>
              <w:spacing w:line="276" w:lineRule="auto" w:before="0" w:after="0"/>
              <w:ind w:firstLine="0"/>
            </w:pPr>
            <w:r/>
            <w:r>
              <w:rPr>
                <w:rFonts w:ascii="Times New Roman" w:hAnsi="Times New Roman" w:eastAsia="Times New Roman" w:cs="Times New Roman"/>
                <w:sz w:val="22"/>
              </w:rPr>
              <w:t>30 488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1 073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9 909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14 658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6 448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2 920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4 171</w:t>
            </w:r>
          </w:p>
        </w:tc>
        <w:tc>
          <w:tcPr>
            <w:tcW w:type="dxa" w:w="1246"/>
          </w:tcPr>
          <w:p>
            <w:pPr>
              <w:spacing w:line="276" w:lineRule="auto" w:before="0" w:after="0"/>
              <w:ind w:firstLine="0"/>
            </w:pPr>
            <w:r/>
            <w:r>
              <w:rPr>
                <w:rFonts w:ascii="Times New Roman" w:hAnsi="Times New Roman" w:eastAsia="Times New Roman" w:cs="Times New Roman"/>
                <w:sz w:val="22"/>
              </w:rPr>
              <w:t>64 423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чистый эффект ≈ 11,7 млн руб. за сезон, складывающийся из чистой экономии после замещения (≈ 3,5 млн руб.) и дополнительной выручки от устранения локальных разрывов покрытия (≈ 8,2 млн руб.). Это нижний край ожидания: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Год 1: эффект УПС только от Екатеринбурга ≈ 12 млн руб.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20 % замещения + 6 % восст. поездок</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+79</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+31</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–5 до +10 млн руб. в консервативном варианте (нижние границы всех допущений; риск работы «в ноль» при сохранении капвложений в УПС), +31 млн руб. в базовом сценарии (точечные оценки выше), +75 … +95 млн руб. в оптимистичном (верхние границы).</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эффект УПС в R2-городе пропорционален его базовому объёму поездок; для оценки масштабирования взято консервативное соотношение «эффект на 1 млн сезонных поездок» из расчёта по Екатеринбургу (11,7 / 1,82 ≈ 6,4 млн руб. эффекта на 1 млн поездок Q2+Q3).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~150–175 млн руб., чистый эффект +115 … +140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+20 … +40 млн руб.; год 2: +115 … +140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и подтверждают, что даже в консервативном варианте сценарий S3 не приводит к отрицательному совокупному эффекту относительно базовой линии S1.</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пяти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в случае резкого ужесточения локальной регуляторики или R3 → R3 в ограниченной форме при дальнейшем сужении регуляторного окна),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к ограниченной форме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§3.5, где предложены управленческие компенсаторы: функция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(§2.1.3),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Главы 1 и систему различения рынков Главы 2 в стратегическое решение и проектное содержание для МТС Юрент. Выбор сценария,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в ограниченной форме применяется на регуляторно тяжёлых рынках (Москва), где полноформатное удержание сильной позиции экономически нецелесообразно.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(в полной или ограниченной форме)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чистый эффект ≈ 11,7 млн руб. за сезон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(59 % выручки сервиса в России), что делает их репрезентативным срезом для портфельного решения.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эффект – ~79 млн руб. EBITDA (прирост выручки в R2-городах 12 млн, УПС-пилот в Екатеринбурге 12 млн, оптимизация OpEx в Москве 52 млн, экономия капвложений в нерентабельных локациях 3 млн). Чистый эффект S3 относительно базовой линии S1 в базовом сценарии – +31 млн руб. за год 1; диапазон чувствительности от –5 до +95 млн руб. в зависимости от поведенческих и операционных допущений. В год 2 при тиражировании УПС на три города R2-кластера чистый эффект расширяется до +115–140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полную карту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 ChatGPT (OpenAI, модели GPT-4o, GPT-5) и Claude (Anthropic, модели Sonnet 4 и Opus 4) — большие языковые модели общего назначения; доступ через стандартные веб-интерфейсы (chat.openai.com, claude.ai) и интегрированные среды (Cursor IDE).</w:t>
      </w:r>
    </w:p>
    <w:p>
      <w:pPr>
        <w:jc w:val="both"/>
      </w:pPr>
      <w:r>
        <w:t>Цели и характер использования.</w:t>
      </w:r>
    </w:p>
    <w:p>
      <w:pPr>
        <w:jc w:val="both"/>
      </w:pPr>
      <w:r>
        <w:t>1. Поиск и навигация по литературе. Поиск релевантных академических источников по тематике микромобильности, ресурсной теории фирмы, динамических способностей, платформенной конкуренции, регулирования СИМ; первичная фильтрация результатов поиска. Все процитированные источники проверены автором по оригинальным публикациям; библиографические записи в Списке литературы оформлены автором по ГОСТ 7.0.5–2008. Эффективность: сокращение времени поиска источников приблизительно на 40 % относительно ручного.</w:t>
      </w:r>
    </w:p>
    <w:p>
      <w:pPr>
        <w:jc w:val="both"/>
      </w:pPr>
      <w:r>
        <w:t>2.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 обсуждение вариантов формулировок проблемы и стратегического выбора. Содержательные решения о постановке проблемы, выборе методологии, критериев оценки сценариев и проектного инструмента приняты автором самостоятельно по итогам консультаций с научным руководителем (экспертом Б.) и экспертом А. Эффективность: средняя.</w:t>
      </w:r>
    </w:p>
    <w:p>
      <w:pPr>
        <w:jc w:val="both"/>
      </w:pPr>
      <w:r>
        <w:t>3. Стилистическая и редакторская работа. Проверка орфографии, согласованности падежей, переформулировка тяжеловесных конструкций; устранение повторов и шероховатостей. Все правки внесены в текст автором после ручной верификации. Эффективность: высокая.</w:t>
      </w:r>
    </w:p>
    <w:p>
      <w:pPr>
        <w:jc w:val="both"/>
      </w:pPr>
      <w:r>
        <w:t>4. Оформление библиографических записей. Перевод сырых ссылок в формат ГОСТ 7.0.5–2008; авторская сверка деталей выходных данных по оригиналам публикаций. Эффективность: высокая.</w:t>
      </w:r>
    </w:p>
    <w:p>
      <w:pPr>
        <w:jc w:val="both"/>
      </w:pPr>
      <w:r>
        <w:t>5. Вспомогательные расчёты при подготовке финансовой модели (§3.4). Проверка арифметики, форматирование расчётных таблиц по предоставленным автором исходным данным (внутренние данные МТС Юрент от эксперта А., публичная отчётность ПАО «ВУШ Холдинг»). Все параметры модели, допущения, диапазоны чувствительности и интерпретация результатов сформулированы автором самостоятельно. Эффективность: средняя.</w:t>
      </w:r>
    </w:p>
    <w:p>
      <w:pPr>
        <w:jc w:val="both"/>
      </w:pPr>
      <w:r>
        <w:t>Что НЕ передавалось инструментам ИИ и где их участие было исключено: содержательные решения по постановке проблемы, выбору методологии и стратегического выбора; интерпретация данных от эксперта А., материалов интервью и оригинальных научных публикаций; стратегические решения по выбору сценария S3, режимам конкурентных действий R1–R3 и проектному инструменту УПС; содержание Приложений с расшифровками интервью.</w:t>
      </w:r>
    </w:p>
    <w:p>
      <w:pPr>
        <w:jc w:val="both"/>
      </w:pPr>
      <w:r>
        <w:t>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