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к 2024 году на 7 %,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МТС Юрент как оператор кикшеринга, действующий на портфеле неоднородных региональных рынков России в условиях рыночной стагнации.</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разработать аналитическую систему стратегического выбора оператора кикшеринга в портфеле региональных рынков и применить её к МТС Юрент: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обосновать выбор сценария, предложить проектный инструментарий для ключевых режимов в его составе и количественно оценить ожидаемый эффект на демонстрационном портфеле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финансово-операционный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jc w:val="both"/>
      </w:pPr>
      <w:r>
        <w:t>– 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jc w:val="both"/>
      </w:pPr>
      <w:r>
        <w:t>– вторичный анализ отраслевой аналитики (TrueSharing, деловая пресса, отчёты международных урбанистических ассоциаций NACTO и ITDP);</w:t>
      </w:r>
    </w:p>
    <w:p>
      <w:pPr>
        <w:jc w:val="both"/>
      </w:pPr>
      <w:r>
        <w:t>– экспертные консультации с двумя информантами. Эксперт А. – руководитель подразделения M&amp;A ПАО «МТС», непосредственно вовлечён в управление активом МТС Юрент; обеспечивает доступ к внутренней управленческой перспективе компании и к внутренней поквартальной операционно-финансовой отчётности оператора по регионам РФ за 2024–2025 гг., использованной в финансово-операционной карте §3.3 и финансовой модели §3.4. Эксперт Б. – отраслевой эксперт с многолетним опытом топ-уровня в ПАО «МТС», в настоящее время научный руководитель ВКР. Основные содержательные выводы работы строятся на публичных данных и на консультациях с экспертом А.; эксперту Б. в эмпирической базе отведена калибровочная функция: 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w:t>
      </w:r>
    </w:p>
    <w:p>
      <w:pPr>
        <w:jc w:val="both"/>
      </w:pPr>
      <w:r>
        <w:t>На стадии сопоставления и выбора используются:</w:t>
      </w:r>
    </w:p>
    <w:p>
      <w:pPr>
        <w:jc w:val="both"/>
      </w:pPr>
      <w:r>
        <w:t>– иерархическая декомпозиция факторов регионального различения (I, II и III уровни);</w:t>
      </w:r>
    </w:p>
    <w:p>
      <w:pPr>
        <w:jc w:val="both"/>
      </w:pPr>
      <w:r>
        <w:t>– построение каркаса режимов через однородный набор полей описания (цель, условия применения, рычаги, KPI, ограничения);</w:t>
      </w:r>
    </w:p>
    <w:p>
      <w:pPr>
        <w:jc w:val="both"/>
      </w:pPr>
      <w:r>
        <w:t>– критериальное сопоставление трёх альтернативных сценариев по пяти критериям, выводимым из теоретико-методологической основы работы;</w:t>
      </w:r>
    </w:p>
    <w:p>
      <w:pPr>
        <w:jc w:val="both"/>
      </w:pPr>
      <w:r>
        <w:t>– сопоставление с международным опытом управления зрелыми платформенными рынками (Coenegrachts et al., 2024; Shah et al., 2022; Bobičić, Esztergar-Kiss, 2024).</w:t>
      </w:r>
    </w:p>
    <w:p>
      <w:pPr>
        <w:jc w:val="both"/>
      </w:pPr>
      <w:r>
        <w:t>На стадии проектного наполнения и оценки эффекта используются:</w:t>
      </w:r>
    </w:p>
    <w:p>
      <w:pPr>
        <w:jc w:val="both"/>
      </w:pPr>
      <w:r>
        <w:t>– 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jc w:val="both"/>
      </w:pPr>
      <w:r>
        <w:t>– 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опирается на агрегированные поквартальные показатели МТС Юрент по регионам РФ (выручка, поездки, парк, активные пользователи), предоставленные экспертом А. в форме сводной отчётности по 86 субъектам РФ за 2024 г. и 9 месяцев 2025 г. При этом автор не имеет доступа к полной внутренней управленческой отчётности оператора: детальной структуре операционных расходов, маршрутам ребалансировки, микрозонам распределения парка, фактическому числу операций физической ребалансировки и поведению пользователей в чувствительных микролокациях. Поэтому финансовая модель §3.4 сочетает агрегированные данные МТС Юрент, публичный бенчмарк ПАО «ВУШ Холдинг» (МСФО, для калибровки OpEx/выручка и EBITDA-маржи) и явно маркированные сценарные допущения по поведенческим и операционным параметрам. Открытых и агрегированных данных достаточно для предварительного сопоставления сценариев, выбора сценария и оценки порядка эффекта проектного решения; полноценная апробация и калибровка параметров требуют подключения детальных внутренних данных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построена на пяти линиях.</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Ресурсная теория позволяет описать различия между операторами не только через размер ресурсной базы, но и через способность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(Coenegrachts et al., 2024; Shah et al., 2022; Bobičić, Esztergar-Kiss, 2024) – используются для калибровки модели регионального различения и выбора рычагов внутри режимов.</w:t>
      </w:r>
    </w:p>
    <w:p>
      <w:pPr>
        <w:jc w:val="both"/>
      </w:pPr>
      <w:r>
        <w:t>Пятая – системная экономика фирмы Г. Б. Клейнера (Клейнер, 2013; 2021) – используется как российская теоретическая рамка управления компанией в условиях системной неоднородности её внешней среды. Прикладной тезис, заимствуемый из этой линии: управление портфелем неоднородных рынков продуктивнее строить через согласованное действие нескольких управленческих контуров (стратегического, операционного, локально-адаптационного), чем через единое правило, применяемое ко всем элементам портфеля. Этот тезис используется в работе при обосновании сценария S3 (§2.3) и при анализе ограничений централизованной управленческой логики МТС Юрент (§2.2).</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финансово-операционный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 отраслевую аналитику и деловую прессу (материалы TrueSharing 2023–2024 гг., публикации Коммерсантъ, РБК, Forbes за 2022–2025 гг., международные отчёты NACTO, INRIX, McKinsey по микромобильности); экспертные интервью с двумя информантами (см. описание метода выше) и внутреннюю поквартальную отчётность МТС Юрент по 86 субъектам РФ за 2024 и 9 месяцев 2025 года, предоставленную экспертом А.</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его динамическими способностями и неоднородностью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 Проектный инструмент УПС (§3.2)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EBITDA-эффекта сценария S3 (+25 млн руб. за год 1 в базовом сценарии, +80…+100 млн руб. за год 2 при тиражировании УПС на четыре города R2-кластера) и шаблон расчёта для расширения на остальные города присутствия (§3.4).</w:t>
      </w:r>
    </w:p>
    <w:p>
      <w:pPr>
        <w:jc w:val="both"/>
      </w:pPr>
      <w:r>
        <w:t>Все элементы решения построены на сочетании публичных данных, внутренней поквартальной отчётности МТС Юрент по регионам (эксперт А.) и сценарных допущениях; этого достаточно для предварительной оценки эффекта и дизайна пилота. Сама апробация инструмента требует подключения внутренних операционных данных оператора на этапе пилота.</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управление покрытием через стимулы – комбинацию трёх механизмов (на стороне точки высадки, точки посадки, внешнего исполнителя), пилотируемую в одном городе-архетипе с измеримыми KPI и сценарной экономикой. В режиме плацдарма и в ограниченной форме режима удержания на регуляторно тяжёлых рынках (Москва)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Понятие uneven development описывает неравномерное развитие рынка, проявляющееся не только в темпах расширения парка, но и в характере его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et al., 2025).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оказалась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говорит о постепенном изменении логики рынка: кикшеринг всё в большей степени используется как инструмент повседневной мобильности, что для оператора-преследователя означает смещение конкуренции с сезонной аудитории на удержание устойчивой пользовательской базы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Ресурсная теория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2025;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Пять критериев применяются не как формальное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весам критериев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финансово-операционный эффект и профиль риска (§1.6). Эти критерии применяются в §2.3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pStyle w:val="Heading3"/>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сдвигают фокус с расширения парка на рост его утилизации и операционную эффективность.</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(Dias, Ribeiro, Arsénio, 2024; Bobičić, Esztergar-Kiss, 2024).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pStyle w:val="Heading3"/>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пользовательского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Однако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pStyle w:val="Heading3"/>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pStyle w:val="Heading4"/>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pStyle w:val="Heading4"/>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По мере развития рынка стратегическое значение приобретает не само расширение присутствия, а его экономический смысл: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pStyle w:val="Heading4"/>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pStyle w:val="Heading4"/>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pStyle w:val="Heading4"/>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pStyle w:val="Heading4"/>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Однако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 В терминах системной экономики фирмы (Клейнер, 2013; 2021) это типичный сигнал о том, что объект управления стал системно неоднородным быстрее, чем сама управленческая модель: единый набор управленческих процедур перестаёт быть достаточным, и устойчивость результата начинает зависеть от согласованного действия нескольких управленческих контуров – центрального стратегического, регионального адаптационного и операционно-исполнительского.</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jc w:val="both"/>
      </w:pPr>
      <w:r>
        <w:t>– 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jc w:val="both"/>
      </w:pPr>
      <w:r>
        <w:t>– 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jc w:val="both"/>
      </w:pPr>
      <w:r>
        <w:t>– 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jc w:val="both"/>
      </w:pPr>
      <w:r>
        <w:t>– 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jc w:val="both"/>
      </w:pPr>
      <w:r>
        <w:t>– 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jc w:val="both"/>
      </w:pPr>
      <w:r>
        <w:t>– 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jc w:val="both"/>
      </w:pPr>
      <w:r>
        <w:t>– ограниченная локальная управленческая инфраструктура: дефицит выделенных функций региональной экспертизы и координации;</w:t>
      </w:r>
    </w:p>
    <w:p>
      <w:pPr>
        <w:jc w:val="both"/>
      </w:pPr>
      <w:r>
        <w:t>– 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(R2), в других – режим удержания (R3), в третьих – удержание в ограниченной форме (на регуляторно тяжёлых рынках) или плацдарм (R1) при выходе в новые локации.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pStyle w:val="Heading3"/>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финансово-операционный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преимущества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проверяет, опирается ли сценарий на реальную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проверяет реализуемость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Компенсаторы для этого ограничения рассмотрены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«Удержание» – стабилизация маржи через дисциплину расстановки; в рынках с R3 в ограниченной форме (Москва) – снижение операционной нагрузки без потери существенной выручки за счёт исключения зон с отрицательной предельной экономикой. Демонстрационный портфель §2.1.3.6 и финансовая модель §3.4 показывают направления и порядок этой динамики,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неопределённых ресурсов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весам критериев.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§2.3 рассмотрены три сценария – сохранение текущей единой логики действий, единый режим с операционной адаптацией и диверсификация режимов по регионам, – из которых обоснован выбор сценария S3. В Главе 3 этот сценарий переводится в проектное содержание: каркас режимов R1–R3, проектный инструмент УПС, финансовая модель и риски.</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регуляторно ограниченной конфигурацией для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Финансово-операционный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w:t>
      </w:r>
    </w:p>
    <w:p>
      <w:pPr>
        <w:jc w:val="both"/>
      </w:pPr>
      <w:r>
        <w:t>–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четырёх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§3.3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Расчётная цепочка построена в четыре шага. Шаг 1: выручка сезона Q2+Q3 в Екатеринбурге = поездки × средний чек = 1 819 014 × 75 ≈ 136,4 млн руб. Шаг 2: OpEx сезона = выручка × OpEx-доля = 136,4 × 0,55 ≈ 75,0 млн руб.; расходы на физическую ребалансировку = OpEx × доля ребалансировки = 75,0 × 0,30 ≈ 22,5 млн руб.; базовое число операций физической ребалансировки за сезон = 22 500 000 / 120 ≈ 187 600 операций, где 120 руб./операция – стоимость одной физической ребалансировки самоката (данные эксперта А.). Шаг 3: при замещении 20 % операций стимулами (базовый сценарий B) замещается ≈ 37 500 операций; чистая экономия после замещения = (стоимость физической ребалансировки – средневзвешенная стоимость стимула) × замещ. операций = (120 – 26,5) × 37 500 / 1 000 ≈ 3,5 млн руб. Шаг 4: дополнительная выручка от восстановленных поездок в чувствительных микролокациях при допущении +6 % к поездкам пилотных зон = 1 819 014 × 0,06 × 75 / 1 000 ≈ 8,2 млн руб.</w:t>
      </w:r>
    </w:p>
    <w:p>
      <w:pPr>
        <w:jc w:val="both"/>
      </w:pPr>
      <w:r>
        <w:t>Результаты сценарного расчёта (1 сезон, Екатеринбург): в консервативном сценарии A (10 % замещения, +3 % восстановленных поездок) чистый эффект ≈ 5,8 млн руб.; в базовом сценарии B (20 % замещения, +6 %) ≈ 11,7 млн руб. (≈ 3,5 млн чистой экономии после замещения + 8,2 млн дополнительной выручки от устранения локальных разрывов покрытия); в оптимистичном C (30 % замещения, +9 %) ≈ 17,5 млн руб. Расчёт калиброван на Екатеринбург с утилизацией 319 поездок/самокат – самой низкой в портфеле; в городах с более высокой утилизацией (Москва 1 073, СПб 609, Краснодар 564) абсолютный эффект пропорционально выше.</w:t>
      </w:r>
    </w:p>
    <w:p>
      <w:pPr>
        <w:jc w:val="both"/>
      </w:pPr>
      <w:r>
        <w:t>Методическое уточнение. В шаге 4 значение 8,2 млн руб. отражает дополнительную выручку от восстановленных поездок в чувствительных микролокациях. В сводной финансовой модели §3.4 эта сумма пересчитывается в маржинальный EBITDA-вклад через консервативную маржу 25 % (см. §3.4, эффект 2), что обеспечивает консистентность с подходом ко всем остальным эффектам сценария S3. Чистый эффект УПС-пилота в год 1 в финмодели – округлённо 12 млн руб., складывающийся из чистой экономии после замещения ребалансировки (≈ 3,5 млн руб.) и приведённой к марже дополнительной выручки от восстановленных поездок (≈ 8,2 млн руб. выручки × 25 % ≈ 2,05 млн руб. EBITDA, с округлением и поправкой на расширение зоны действия пилота в год 1).</w:t>
      </w:r>
    </w:p>
    <w:p>
      <w:pPr>
        <w:jc w:val="both"/>
      </w:pPr>
      <w:r>
        <w:t>Ключевое соотношение, обеспечивающее устойчиво положительный эффект во всех трёх сценариях: средневзвешенная стоимость стимула (26,5 руб./операция) в 4,5 раза ниже стоимости физической ребалансировки (120 руб./операция). Расчёт не претендует на точность финансовой модели и подлежит калибровке на этапе пилота с подключением внутренней операционной отчётности МТС Юрент; его функция – фиксация порядка величин и обоснование экономической состоятельности инструмента.</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§2.1.3.6: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§3.2.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§3.2. Высокая по содержанию, ограниченная по горизонту: проблема локальной доступности в Москве выражена остро, однако из-за жёсткой регуляторики (mos.ru-верификация, ограничения парковки и зон) пилот в год 1 не планируется. УПС адаптируется к московскому режиму и тиражируется на Москву в год 2 после подтверждения эффективности на Екатеринбургском пилоте.</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§3.2.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УПС</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УПС (§3.2).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§3.2.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§3.2.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§3.2.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 (огранич.)</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высокая, отложено на год 2</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«Управление покрытием через стимулы» рассмотрено в §3.2; ожидаемый совокупный финансовый эффект сценария S3 на портфеле оценивается в §3.4.</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 Москва теряет объём (выручка –7,9 %, поездки –6,6 %) — это зрелый регуляторно перегруженный рынок. Санкт-Петербург в активной фазе атаки с резервом плотности (выручка +41,1 %, поездки +42,3 %). Краснодар при длинном сезоне и высокой конкуренции тоже теряет объём (выручка –5,6 %, поездки –10,2 %). Екатеринбург — позиция преследователя с резервом плотности и стагнацией выручки (–4,3 %) при медленно растущих поездках (+4,1 %). Новосибирск находится в фазе активного роста на стадии плацдарм / ранний R2 (выручка +143,2 %, поездки +128,9 %).</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на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2 626</w:t>
            </w:r>
          </w:p>
        </w:tc>
        <w:tc>
          <w:tcPr>
            <w:tcW w:type="dxa" w:w="1246"/>
          </w:tcPr>
          <w:p>
            <w:pPr>
              <w:spacing w:line="276" w:lineRule="auto" w:before="0" w:after="0"/>
              <w:ind w:firstLine="0"/>
            </w:pPr>
            <w:r/>
            <w:r>
              <w:rPr>
                <w:rFonts w:ascii="Times New Roman" w:hAnsi="Times New Roman" w:eastAsia="Times New Roman" w:cs="Times New Roman"/>
                <w:sz w:val="22"/>
              </w:rPr>
              <w:t>30 488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1 073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9 909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14 658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6 448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2 920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4 171</w:t>
            </w:r>
          </w:p>
        </w:tc>
        <w:tc>
          <w:tcPr>
            <w:tcW w:type="dxa" w:w="1246"/>
          </w:tcPr>
          <w:p>
            <w:pPr>
              <w:spacing w:line="276" w:lineRule="auto" w:before="0" w:after="0"/>
              <w:ind w:firstLine="0"/>
            </w:pPr>
            <w:r/>
            <w:r>
              <w:rPr>
                <w:rFonts w:ascii="Times New Roman" w:hAnsi="Times New Roman" w:eastAsia="Times New Roman" w:cs="Times New Roman"/>
                <w:sz w:val="22"/>
              </w:rPr>
              <w:t>64 423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1,0 млн руб.); резерв на масштабирование стимульной кампании ~2,2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 в год 1 — около 48 млн руб. (в том числе ~8 млн capex на инфраструктуру УПС); в год 2 при тиражировании УПС на три дополнительных города R2-кластера и сохранении блоков A, B, D — около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прирост восстановленных поездок +6 %) даёт чистую экономию после замещения ≈ 3,5 млн руб. (это прямой EBITDA-эффект: оператор перестаёт платить за физическую ребалансировку и начинает платить за стимулы, разница попадает на нижнюю строку) и дополнительную выручку от устранения локальных разрывов покрытия ≈ 8,2 млн руб., которая в маржинальном выражении при EBITDA-маржинальности 25 % даёт ~2,1 млн руб. EBITDA-вклада. Совокупный EBITDA-эффект УПС-пилота в год 1 ≈ 5,5–6,0 млн руб., округляется до 6 млн руб. в сводной модели.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+6</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B: 3,5 млн чистой экономии + 2,1 млн EBITDA от доп. выручки</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+73</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+25</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дают диапазон чистого эффекта S3 vs S1 в год 1 от –10 до +5 млн руб. в консервативном варианте (нижние границы всех допущений; риск работы «в ноль» при сохранении капвложений в УПС), +25 млн руб. в базовом сценарии (точечные оценки выше), +65 … +85 млн руб. в оптимистичном (верхние границы).</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EBITDA-эффект УПС в R2-городе пропорционален его базовому объёму сезонных поездок; для оценки масштабирования взято консервативное соотношение «EBITDA-эффект на 1 млн сезонных поездок Q2+Q3» из расчёта по Екатеринбургу (5,5 / 1,82 ≈ 3,0 млн руб. EBITDA на 1 млн поездок). Суммарный сезонный объём поездок четырёх R2-городов (СПб, Краснодар, Новосибирск, Екатеринбург) ≈ 13 млн, что даёт ожидаемый EBITDA-эффект УПС в год 2 ≈ 40 млн руб.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~115–135 млн руб., чистый эффект +80 … +100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jc w:val="both"/>
      </w:pPr>
      <w:r>
        <w:t>– KPI 1. Чистый годовой эффект S3 vs S1 (целевой коридор год 1: +15 … +30 млн руб.; год 2: +80 … +100 млн руб.);</w:t>
      </w:r>
    </w:p>
    <w:p>
      <w:pPr>
        <w:jc w:val="both"/>
      </w:pPr>
      <w:r>
        <w:t>– KPI 2. Темп выручки YoY в R2-городах (целевое отклонение от S1 не менее +3 п.п. в год 1, +5 п.п. в год 2);</w:t>
      </w:r>
    </w:p>
    <w:p>
      <w:pPr>
        <w:jc w:val="both"/>
      </w:pPr>
      <w:r>
        <w:t>– KPI 3. Доля физической ребалансировки в OpEx в R2- и R3-городах (целевое снижение в пилотных городах на 15–25 % за сезон);</w:t>
      </w:r>
    </w:p>
    <w:p>
      <w:pPr>
        <w:jc w:val="both"/>
      </w:pPr>
      <w:r>
        <w:t>– KPI 4. EBITDA-маржа сегмента в Москве (целевая стабилизация на горизонте года 1; рост в год 2).</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в консервативном варианте эффект близок к нулю или слабо отрицателен (–10 … +5 млн руб.), что находится в пределах погрешности модели и не блокирует реализацию S3; в базовом и оптимистичном сценариях S3 даёт устойчиво положительный совокупный эффект (+25 и +65 … +85 млн руб. соответственно).</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пяти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в случае резкого ужесточения локальной регуляторики или R3 → R3 в ограниченной форме при дальнейшем сужении регуляторного окна),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к ограниченной форме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финансово-операционного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§3.5, где предложены управленческие компенсаторы: функция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(§2.1.3),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Главы 1 и систему различения рынков Главы 2 в стратегическое решение и проектное содержание для МТС Юрент. Выбор сценария,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системной экономики фирмы (Клейнер, 2013; 2021)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«Удержание» в регуляторно ограниченной конфигурации применяется на тяжёлых рынках (Москва), где полноформатное удержание сильной позиции экономически нецелесообразно.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(в полной или ограниченной форме)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 11,7 млн руб. денежного эффекта за сезон (≈ 6 млн руб. в EBITDA-выражении при пересчёте дополнительной выручки на маржу 25 %)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 значимый демонстрационный срез, покрывающий 59 % выручки сервиса в России.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EBITDA-эффект – ~73 млн руб. (прирост выручки в R2-городах 12 млн EBITDA, УПС-пилот в Екатеринбурге 6 млн EBITDA, оптимизация OpEx в Москве 52 млн, экономия капвложений в нерентабельных локациях 3 млн). Чистый эффект S3 относительно базовой линии S1 в базовом сценарии – +25 млн руб. за год 1; диапазон чувствительности от –10 до +85 млн руб. в зависимости от поведенческих и операционных допущений. В год 2 при тиражировании УПС на три города R2-кластера чистый эффект расширяется до +80…+100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полную карту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Barney J. Firm Resources and Sustained Competitive Advantage // Journal of Management. 1991. Vol. 17, no. 1. P. 99–120. DOI: 10.1177/014920639101700108.</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Gábor Š., Novotný L., Pregi L. Revealing Spatial Patterns of Dockless Shared Micromobility: A Case Study of Košice, Slovakia // Urban Science. 2025. Vol. 9, no. 4. Art. 107. DOI: 10.3390/urbansci9040107.</w:t>
      </w:r>
    </w:p>
    <w:p>
      <w:pPr>
        <w:jc w:val="both"/>
      </w:pPr>
      <w:r>
        <w:t>Hollingsworth J., Copeland B., Johnson J. X. Are e-scooters polluters? The environmental impacts of shared dockless electric scooters // Environmental Research Letters. 2019. Vol. 14, no. 8. Art. 084031. DOI: 10.1088/1748-9326/ab2da8.</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Johnson G., Whittington R., Scholes K., Angwin D., Regnér P. Exploring Strategy: Text and Cases. 11th ed. Harlow: Pearson, 2017. 832 p.</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Reed R., DeFillippi R. J. Causal Ambiguity, Barriers to Imitation, and Sustainable Competitive Advantage // Academy of Management Review. 1990. Vol. 15, no. 1. P. 88–102.</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Explicating Dynamic Capabilities: The Nature and Microfoundations of (Sustainable) Enterprise Performance // Strategic Management Journal. 2007. Vol. 28, no. 13. P. 1319–1350. DOI: 10.1002/smj.640.</w:t>
      </w:r>
    </w:p>
    <w:p>
      <w:pPr>
        <w:jc w:val="both"/>
      </w:pPr>
      <w:r>
        <w:t>Teece D. J., Pisano G., Shuen A. Dynamic Capabilities and Strategic Management // Strategic Management Journal. 1997. Vol. 18, no. 7. P. 509–533. DOI: 10.1002/(SICI)1097-0266(199708)18:7&lt;509::AID-SMJ882&gt;3,0.CO;2-Z.</w:t>
      </w:r>
    </w:p>
    <w:p>
      <w:pPr>
        <w:jc w:val="both"/>
      </w:pPr>
      <w:r>
        <w:t>Wernerfelt B. A Resource-Based View of the Firm // Strategic Management Journal. 1984. Vol. 5, no. 2. P. 171–180. DOI: 10.1002/smj.4250050207.</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Клейнер Г. Б. Системная экономика как платформа развития современной экономической теории // Вопросы экономики. 2013. № 6. С. 4–28.</w:t>
      </w:r>
    </w:p>
    <w:p>
      <w:pPr>
        <w:jc w:val="both"/>
      </w:pPr>
      <w:r>
        <w:t>Клейнер Г. Б. Системная экономика: шаги развития: монография / Центральный экономико-математический институт РАН. М.: Научная библиотека, 2021. 746 с. ISBN 978-5-907242-87-6.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pPr>
        <w:jc w:val="both"/>
      </w:pPr>
      <w:r>
        <w:t>Эксперт. В России спрос на аренду самокатов снизился на 6 % [Электронный ресурс]. – 2025. – URL: https://expert.ru/news/v-rossii-spros-na-arendu-samokatov-snizilsya-na-6/ (дата обращения: 15,05.2026).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Используемые инструменты: ChatGPT (OpenAI, модели GPT-4o, GPT-5) и Claude (Anthropic, модели Sonnet 4 и Opus 4) — большие языковые модели общего назначения; доступ через стандартные веб-интерфейсы (chat.openai.com, claude.ai) и интегрированные среды (Cursor IDE).</w:t>
      </w:r>
    </w:p>
    <w:p>
      <w:pPr>
        <w:jc w:val="both"/>
      </w:pPr>
      <w:r>
        <w:t>Цели и характер использования. Инструменты ИИ применялись на следующих этапах работы:</w:t>
      </w:r>
    </w:p>
    <w:p>
      <w:pPr>
        <w:jc w:val="both"/>
      </w:pPr>
      <w:r>
        <w:t>– первичный поиск релевантной академической литературы и навигация по источникам (с последующей сверкой по оригинальным публикациям и оформлением библиографии по ГОСТ 7.0.5–2008 автором);</w:t>
      </w:r>
    </w:p>
    <w:p>
      <w:pPr>
        <w:jc w:val="both"/>
      </w:pPr>
      <w:r>
        <w:t>– структурирование черновых версий текста: формирование плана глав и параграфов, перестановка логических блоков, проверка согласованности структуры с авторскими построениями;</w:t>
      </w:r>
    </w:p>
    <w:p>
      <w:pPr>
        <w:jc w:val="both"/>
      </w:pPr>
      <w:r>
        <w:t>– стилистическая и редакторская работа: проверка орфографии, согласованности падежей, переформулировка тяжеловесных конструкций, устранение повторов;</w:t>
      </w:r>
    </w:p>
    <w:p>
      <w:pPr>
        <w:jc w:val="both"/>
      </w:pPr>
      <w:r>
        <w:t>– проверка арифметики и форматирование расчётных таблиц финансовой модели §3.4 по предоставленным автором исходным данным (внутренняя отчётность МТС Юрент от эксперта А., публичная отчётность ПАО «ВУШ Холдинг»);</w:t>
      </w:r>
    </w:p>
    <w:p>
      <w:pPr>
        <w:jc w:val="both"/>
      </w:pPr>
      <w:r>
        <w:t>– оформление библиографических записей по ГОСТ 7.0.5–2008.</w:t>
      </w:r>
    </w:p>
    <w:p>
      <w:pPr>
        <w:jc w:val="both"/>
      </w:pPr>
      <w:r>
        <w:t>Что не передавалось инструментам ИИ и где их участие было исключено: содержательные решения по постановке проблемы и выбору методологии; интерпретация данных от эксперта А., материалов интервью и оригинальных научных публикаций; стратегические решения по выбору сценария S3, режимам конкурентных действий R1–R3, проектному инструменту УПС и параметрам финансовой модели; содержание Приложений с расшифровками интервью.</w:t>
      </w:r>
    </w:p>
    <w:p>
      <w:pPr>
        <w:jc w:val="both"/>
      </w:pPr>
      <w:r>
        <w:t>Все сгенерированные с участием ИИ фрагменты проверены и отредактированы автором. 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