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(+31 млн руб. за год 1 в базовом сценарии, +115–140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Иначе говоря,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Логика ресурсного подхода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Применение пяти критериев в §2.3 строится не как простое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смещению акцента между критериями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Для оператора кикшеринга стратегическое значение по мере развития рынка приобретает экономический смысл продолжения расширения присутствия. Вопрос состоит в том,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в других – режим удержания, в третьих – режим сокращения.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стоимости позиции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оценивает, насколько сценарий предполагает реальную, а не декларативную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нужен для рассмотрения реализуемости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Это та область, где S3 имеет управленческое ограничение и где компенсаторные механизмы рассматриваются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 стабилизация маржи через дисциплину расстановки, в рынках R3 – снижение операционной нагрузки без потери существенной выручки. Демонстрационный портфель §2.3.1 показывает направления этой динамики качественно,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неопределённые resources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смещению акцента между критериями.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Главе 3 рассматриваются три сценария – сохранение текущей единой логики действий, единый режим с операционной адаптацией и сценарий диверсификации режимов по регионам, – после чего внутри выбранного сценария к разным городам применяются разные режимы конкурентных действий.</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трёх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§3.2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Управленческая логика УПС допускает количественную оценку порядка экономического эффекта в формате сценарного расчёта с явно маркированными допущениями. Для расчёта используются отраслевые данные по Екатеринбургу – пилотному рынку демонстрационного портфеля. Парк (6 448 самокатов), поездки (1 819 014 за сезон Q2+Q3), средний чек (75 руб.) и утилизация (319 поездок/самокат/год) взяты из отраслевых данных 2024 г. Операционные расходы калиброваны по публичной отчётности ВУШ Холдинг (МСФО, 9 мес. 2024): OpEx/выручка = 55 % (Whoosh 48 % + 7 п.п. поправка на масштаб). Доля ребалансировки в OpEx ≈ 30 % [сценарное допущение, оценка автора], стоимость физической ребалансировки = 120 руб./операция (отраслевая оценка). Средневзвешенная стоимость стимула = 26,5 руб., складывается из трёх типов: стимул-высадка (15 руб., 50 % операций), стимул-посадка (10 руб., 30 %), внешний исполнитель (80 руб., 20 %).</w:t>
      </w:r>
    </w:p>
    <w:p>
      <w:pPr>
        <w:jc w:val="both"/>
      </w:pPr>
      <w:r>
        <w:t>Результаты расчёта не претендуют на точность финансовой модели и не могут использоваться для прямого прогнозирования. Их функция – фиксация порядка величин и подтверждение того, что при разумных допущениях инструмент УПС экономически обоснован. Четыре из девяти параметров основаны на фактических данных, а не на предположениях.</w:t>
      </w:r>
    </w:p>
    <w:p>
      <w:pPr>
        <w:jc w:val="both"/>
      </w:pPr>
      <w:r>
        <w:t>Екатеринбург – рынок с утилизацией почти вдвое ниже среднеоператорской (319 против 561) и самым низким средним чеком в портфеле (75 руб. против 88 руб. среднего). Тем не менее даже на этих параметрах УПС показывает устойчиво положительный эффект. На рынках с более высокой утилизацией (Москва – 1 073, Краснодар – 564, СПб – 609) абсолютный эффект будет пропорционально выше.</w:t>
      </w:r>
    </w:p>
    <w:p>
      <w:pPr>
        <w:jc w:val="both"/>
      </w:pPr>
      <w:r>
        <w:t>Ключевое соотношение: средневзвешенная стоимость стимула (26,5 руб.) в 4,6 раза ниже стоимости физической ребалансировки (120 руб./операция). Это обеспечивает устойчиво положительный эффект при любых комбинациях параметров в пространстве чувствительности – ни одна из 21 ячейки (7 уровней замещения × 3 уровня стоимости стимула) не даёт отрицательного результата.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п. 2.4.1: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§3.3.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§3.3.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§3.3.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(§3.3)</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§3.3.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 §3.3);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§3.3.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§3.3.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§3.3.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§3.3 – управление покрытием через стимулы – далее рассматривается отдельно.</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2626</w:t>
            </w:r>
          </w:p>
        </w:tc>
        <w:tc>
          <w:tcPr>
            <w:tcW w:type="dxa" w:w="1246"/>
          </w:tcPr>
          <w:p>
            <w:pPr>
              <w:spacing w:line="276" w:lineRule="auto" w:before="0" w:after="0"/>
              <w:ind w:firstLine="0"/>
            </w:pPr>
            <w:r/>
            <w:r>
              <w:rPr>
                <w:rFonts w:ascii="Times New Roman" w:hAnsi="Times New Roman" w:eastAsia="Times New Roman" w:cs="Times New Roman"/>
                <w:sz w:val="22"/>
              </w:rPr>
              <w:t>30,488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4,171</w:t>
            </w:r>
          </w:p>
        </w:tc>
        <w:tc>
          <w:tcPr>
            <w:tcW w:type="dxa" w:w="1246"/>
          </w:tcPr>
          <w:p>
            <w:pPr>
              <w:spacing w:line="276" w:lineRule="auto" w:before="0" w:after="0"/>
              <w:ind w:firstLine="0"/>
            </w:pPr>
            <w:r/>
            <w:r>
              <w:rPr>
                <w:rFonts w:ascii="Times New Roman" w:hAnsi="Times New Roman" w:eastAsia="Times New Roman" w:cs="Times New Roman"/>
                <w:sz w:val="22"/>
              </w:rPr>
              <w:t>64,423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чистый эффект ≈ 11,7 млн руб. за сезон, складывающийся из чистой экономии после замещения (≈ 3,5 млн руб.) и дополнительной выручки от устранения локальных разрывов покрытия (≈ 8,2 млн руб.).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12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20 % замещения + 6 % восст. поездок</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+79</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+31</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–5 до +10 млн руб. в консервативном варианте (нижние границы всех допущений; риск работы «в ноль» при сохранении капвложений в УПС), +31 млн руб. в базовом сценарии (точечные оценки выше), +75 … +95 млн руб. в оптимистичном (верхние границы).</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сезонных поездок» из расчёта по Екатеринбургу (11,7 / 1,82 ≈ 6,4 млн руб. эффекта на 1 млн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~150–170 млн руб., чистый эффект +110 … +135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+20 … +40 млн руб.; год 2: +110 … +135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4–5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или R3 → R3 в случае резкого ужесточения локальной регуляторики),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раздел о рисках, где рассмотрены компенсаторы – функцией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 2.3),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работы (Глава 1) и систему стратегически значимого различения рынков (Глава 2) в стратегическое решение и проектное содержание для МТС Юрент: выбор сценария обращения с портфелем,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 оператора.</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(ограниченная форма) с двумя подтипами – R1 (ограниченный вход на рынки, где компания пока не работает) и R3 (ограниченное удержание на рынках уже сложившегося присутствия с высокой ценой сильной позиции).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или R3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 11,7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~79 млн руб. EBITDA (прирост выручки в R2-городах 12 млн, УПС-пилот в Екатеринбурге 12 млн, оптимизация OpEx в Москве 52 млн, экономия капвложений в нерентабельных локациях 3 млн). Чистый эффект S3 относительно базовой линии S1 в базовом сценарии – +31 млн руб. за год 1; диапазон чувствительности от –5 до +95 млн руб. в зависимости от поведенческих и операционных допущений. В год 2 при тиражировании УПС на три города R2-кластера чистый эффект расширяется до +115–140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полного описания всех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 содержательные решения по постановке проблемы, выбору методологии и стратегического выбора;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и проектному инструменту УПС; 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