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(+31 млн руб. за год 1 в базовом сценарии, +115–140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Иначе говоря,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Логика ресурсного подхода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Применение пяти критериев в §2.3 строится не как простое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смещению акцента между критериями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стоимости позиции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оценивает, насколько сценарий предполагает реальную, а не декларативную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нужен для рассмотрения реализуемости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Это та область, где S3 имеет управленческое ограничение и где компенсаторные механизмы рассматриваются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смещению акцента между критериями.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чистый эффект ≈ 11,7 млн руб. за сезон, складывающийся из чистой экономии после замещения (≈ 3,5 млн руб.) и дополнительной выручки от устранения локальных разрывов покрытия (≈ 8,2 млн руб.).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12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20 % замещения + 6 % восст. поездок</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+79</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+31</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–5 до +10 млн руб. в консервативном варианте (нижние границы всех допущений; риск работы «в ноль» при сохранении капвложений в УПС), +31 млн руб. в базовом сценарии (точечные оценки выше), +75 … +95 млн руб. в оптимистичном (верхние границы).</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сезонных поездок» из расчёта по Екатеринбургу (11,7 / 1,82 ≈ 6,4 млн руб. эффекта на 1 млн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~150–170 млн руб., чистый эффект +110 … +135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+20 … +40 млн руб.; год 2: +110 … +135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работы (Глава 1) и систему стратегически значимого различения рынков (Глава 2) в стратегическое решение и проектное содержание для МТС Юрент: выбор сценария обращения с портфелем,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 оператора.</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в ограниченной форме применяется на регуляторно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 11,7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~79 млн руб. EBITDA (прирост выручки в R2-городах 12 млн, УПС-пилот в Екатеринбурге 12 млн, оптимизация OpEx в Москве 52 млн, экономия капвложений в нерентабельных локациях 3 млн). Чистый эффект S3 относительно базовой линии S1 в базовом сценарии – +31 млн руб. за год 1; диапазон чувствительности от –5 до +95 млн руб. в зависимости от поведенческих и операционных допущений. В год 2 при тиражировании УПС на три города R2-кластера чистый эффект расширяется до +115–140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полного описания всех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 содержательные решения по постановке проблемы, выбору методологии и стратегического выбора;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и проектному инструменту УПС; 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