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План презентации к защите ВКР</w:t>
      </w:r>
    </w:p>
    <w:p>
      <w:pPr>
        <w:jc w:val="center"/>
      </w:pPr>
      <w:r>
        <w:rPr>
          <w:rFonts w:ascii="Times New Roman" w:hAnsi="Times New Roman"/>
          <w:i/>
          <w:sz w:val="24"/>
        </w:rPr>
        <w:t>Камашев П. «Конкурентная стратегия МТС Юрент на региональных рынках кикшеринга в России»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Иван Александрович, добрый день. Ниже — план презентации к защите по вашей сетке (14 пунктов). Получилось 15 основных слайдов + 6 бэкап под Q&amp;A. Тайминг — 8–10 минут чистого доклада. Ссылки на разделы ВКР — после названия слайда. Прошу посмотреть и подсветить, где имеет смысл подрезать или, наоборот, развернуть.</w:t>
      </w:r>
    </w:p>
    <w:p>
      <w:r>
        <w:rPr>
          <w:rFonts w:ascii="Times New Roman" w:hAnsi="Times New Roman"/>
          <w:sz w:val="24"/>
        </w:rPr>
      </w:r>
    </w:p>
    <w:p>
      <w:pPr>
        <w:spacing w:before="200" w:after="40"/>
      </w:pPr>
      <w:r>
        <w:rPr>
          <w:rFonts w:ascii="Times New Roman" w:hAnsi="Times New Roman"/>
          <w:b/>
          <w:sz w:val="24"/>
        </w:rPr>
        <w:t>Слайд 1. Титульный</w:t>
      </w:r>
    </w:p>
    <w:p>
      <w:r>
        <w:rPr>
          <w:rFonts w:ascii="Times New Roman" w:hAnsi="Times New Roman"/>
          <w:sz w:val="24"/>
        </w:rPr>
        <w:t>Тема, ФИО, программа, руководитель, год. На открытие — фраза о том, что работа про выбор стратегии в условиях неоднородности рынков, когда логика роста парка и географии перестаёт работать.</w:t>
      </w:r>
    </w:p>
    <w:p>
      <w:pPr>
        <w:spacing w:before="200" w:after="40"/>
      </w:pPr>
      <w:r>
        <w:rPr>
          <w:rFonts w:ascii="Times New Roman" w:hAnsi="Times New Roman"/>
          <w:b/>
          <w:sz w:val="24"/>
        </w:rPr>
        <w:t>Слайд 2. Управленческая проблема</w:t>
      </w:r>
    </w:p>
    <w:p>
      <w:r>
        <w:rPr>
          <w:rFonts w:ascii="Times New Roman" w:hAnsi="Times New Roman"/>
          <w:i/>
          <w:sz w:val="24"/>
        </w:rPr>
        <w:t>Ссылка на ВКР: Введение + §1.5.</w:t>
      </w:r>
    </w:p>
    <w:p>
      <w:r>
        <w:rPr>
          <w:rFonts w:ascii="Times New Roman" w:hAnsi="Times New Roman"/>
          <w:sz w:val="24"/>
        </w:rPr>
        <w:t>Рынок концентрирован — топ-3 контролируют 96,8 %. В 2025 впервые отрицательная динамика: поездки −6 %, выручка Whoosh −13 %, EBITDA-маржа упала с 42,3 % до 28,6 %. Регионы расходятся — СПб +42 %, Москва −14 %, утилизация по городам различается до 4×. У МТС Юрент решения по регионам идут как набор разовых кейсов, формализованной процедуры нет. Визуал — Рисунок 1.1 из ВКР.</w:t>
      </w:r>
    </w:p>
    <w:p>
      <w:pPr>
        <w:spacing w:before="200" w:after="40"/>
      </w:pPr>
      <w:r>
        <w:rPr>
          <w:rFonts w:ascii="Times New Roman" w:hAnsi="Times New Roman"/>
          <w:b/>
          <w:sz w:val="24"/>
        </w:rPr>
        <w:t>Слайд 3. Цель и логика исследования</w:t>
      </w:r>
    </w:p>
    <w:p>
      <w:r>
        <w:rPr>
          <w:rFonts w:ascii="Times New Roman" w:hAnsi="Times New Roman"/>
          <w:i/>
          <w:sz w:val="24"/>
        </w:rPr>
        <w:t>Ссылка на ВКР: Введение.</w:t>
      </w:r>
    </w:p>
    <w:p>
      <w:r>
        <w:rPr>
          <w:rFonts w:ascii="Times New Roman" w:hAnsi="Times New Roman"/>
          <w:sz w:val="24"/>
        </w:rPr>
        <w:t>Цель: разработать систему стратегического выбора оператора кикшеринга в портфеле региональных рынков и применить к МТС Юрент. На слайде — горизонтальная схема логики работы: диагностика → 5 критериев → 3 сценария → выбор S3 → режимы R1–R3 и УПС → финансовый эффект.</w:t>
      </w:r>
    </w:p>
    <w:p>
      <w:pPr>
        <w:spacing w:before="200" w:after="40"/>
      </w:pPr>
      <w:r>
        <w:rPr>
          <w:rFonts w:ascii="Times New Roman" w:hAnsi="Times New Roman"/>
          <w:b/>
          <w:sz w:val="24"/>
        </w:rPr>
        <w:t>Слайд 4. Методология и эмпирическая база</w:t>
      </w:r>
    </w:p>
    <w:p>
      <w:r>
        <w:rPr>
          <w:rFonts w:ascii="Times New Roman" w:hAnsi="Times New Roman"/>
          <w:i/>
          <w:sz w:val="24"/>
        </w:rPr>
        <w:t>Ссылка на ВКР: Методы.</w:t>
      </w:r>
    </w:p>
    <w:p>
      <w:r>
        <w:rPr>
          <w:rFonts w:ascii="Times New Roman" w:hAnsi="Times New Roman"/>
          <w:sz w:val="24"/>
        </w:rPr>
        <w:t>Теоретическая основа — 5 линий: ресурсная теория, динамические способности, платформенная конкуренция, эмпирические исследования микромобильности, системная экономика Клейнера. Эмпирика — отчётность ПАО «МТС» и ПАО «ВУШ Холдинг», отраслевая аналитика (TrueSharing, NACTO), деловая пресса; эксперт А. — внутренние поквартальные данные МТС Юрент по 86 субъектам РФ за 2024 и 9 мес. 2025; эксперт Б. — калибровка логики; демонстрационный портфель из 5 городов, на который приходится 94 % выручки сервиса в России.</w:t>
      </w:r>
    </w:p>
    <w:p>
      <w:pPr>
        <w:spacing w:before="200" w:after="40"/>
      </w:pPr>
      <w:r>
        <w:rPr>
          <w:rFonts w:ascii="Times New Roman" w:hAnsi="Times New Roman"/>
          <w:b/>
          <w:sz w:val="24"/>
        </w:rPr>
        <w:t>Слайд 5. Внешняя среда и рыночный контекст</w:t>
      </w:r>
    </w:p>
    <w:p>
      <w:r>
        <w:rPr>
          <w:rFonts w:ascii="Times New Roman" w:hAnsi="Times New Roman"/>
          <w:i/>
          <w:sz w:val="24"/>
        </w:rPr>
        <w:t>Ссылка на ВКР: §1.5 + §2.1.1.</w:t>
      </w:r>
    </w:p>
    <w:p>
      <w:r>
        <w:rPr>
          <w:rFonts w:ascii="Times New Roman" w:hAnsi="Times New Roman"/>
          <w:sz w:val="24"/>
        </w:rPr>
        <w:t>Whoosh в 2025: парк +17 %, поездки −7 %, выручка −13 %, маржа кикшеринга 42,3 → 28,6 %. Региональная регуляторика различается — mos.ru-верификация в Москве, соглашения с операторами в Санкт-Петербурге, угрозы расторжения договоров в Екатеринбурге. Сезон 2025 сжался: начался не в марте, а в июне. Вывод PESTEL: доминирующая угроза — институциональная фрагментация и удорожание капитала; ключевая возможность — экосистемные ресурсы группы МТС. Визуал — Рисунок 1.2.</w:t>
      </w:r>
    </w:p>
    <w:p>
      <w:pPr>
        <w:spacing w:before="200" w:after="40"/>
      </w:pPr>
      <w:r>
        <w:rPr>
          <w:rFonts w:ascii="Times New Roman" w:hAnsi="Times New Roman"/>
          <w:b/>
          <w:sz w:val="24"/>
        </w:rPr>
        <w:t>Слайд 6. Конкурентная позиция и внешние разрывы</w:t>
      </w:r>
    </w:p>
    <w:p>
      <w:r>
        <w:rPr>
          <w:rFonts w:ascii="Times New Roman" w:hAnsi="Times New Roman"/>
          <w:i/>
          <w:sz w:val="24"/>
        </w:rPr>
        <w:t>Ссылка на ВКР: §2.1.2.</w:t>
      </w:r>
    </w:p>
    <w:p>
      <w:r>
        <w:rPr>
          <w:rFonts w:ascii="Times New Roman" w:hAnsi="Times New Roman"/>
          <w:sz w:val="24"/>
        </w:rPr>
        <w:t>Три оператора, три логики: Whoosh — масштаб парка и вертикальная интеграция; МТС Юрент — экосистема МТС; Яндекс — трафик суперприложения. Гэп с лидером не в размере парка, а в эффективности: выручка на самокат 49,4 тыс. руб./год против 66,8 тыс. руб./год у Whoosh. КФУ на зрелой стадии — фактическая доступность самоката в нужной точке и в нужное время. Гэп по утилизации сильно различается между городами: Москва 1 073 поездки/самокат/год, Новосибирск — 277.</w:t>
      </w:r>
    </w:p>
    <w:p>
      <w:pPr>
        <w:spacing w:before="200" w:after="40"/>
      </w:pPr>
      <w:r>
        <w:rPr>
          <w:rFonts w:ascii="Times New Roman" w:hAnsi="Times New Roman"/>
          <w:b/>
          <w:sz w:val="24"/>
        </w:rPr>
        <w:t>Слайд 7. Внутренняя диагностика МТС Юрент</w:t>
      </w:r>
    </w:p>
    <w:p>
      <w:r>
        <w:rPr>
          <w:rFonts w:ascii="Times New Roman" w:hAnsi="Times New Roman"/>
          <w:i/>
          <w:sz w:val="24"/>
        </w:rPr>
        <w:t>Ссылка на ВКР: §2.2.</w:t>
      </w:r>
    </w:p>
    <w:p>
      <w:r>
        <w:rPr>
          <w:rFonts w:ascii="Times New Roman" w:hAnsi="Times New Roman"/>
          <w:sz w:val="24"/>
        </w:rPr>
        <w:t>Сильные стороны — встроенность в экосистему МТС (80 млн абонентов, MTS ID, Premium, обезличенная геоаналитика), технологическая платформа Eleven, парк ~120 тыс. СИМ и присутствие в 187 локациях, предпринимательская гибкость. Слабые — централизованная управленческая логика, отсутствие процедуры назначения режимов городам, ограниченная локальная экспертиза, систематическое отставание по утилизации. В терминах dynamic capabilities — развит операционный блок, но начальная зрелость способности перестраивать ресурсы под изменения рынка.</w:t>
      </w:r>
    </w:p>
    <w:p>
      <w:pPr>
        <w:spacing w:before="200" w:after="40"/>
      </w:pPr>
      <w:r>
        <w:rPr>
          <w:rFonts w:ascii="Times New Roman" w:hAnsi="Times New Roman"/>
          <w:b/>
          <w:sz w:val="24"/>
        </w:rPr>
        <w:t>Слайд 8. Сводный стратегический диагноз</w:t>
      </w:r>
    </w:p>
    <w:p>
      <w:r>
        <w:rPr>
          <w:rFonts w:ascii="Times New Roman" w:hAnsi="Times New Roman"/>
          <w:i/>
          <w:sz w:val="24"/>
        </w:rPr>
        <w:t>Ссылка на ВКР: §2.1.3 + §1.6.</w:t>
      </w:r>
    </w:p>
    <w:p>
      <w:r>
        <w:rPr>
          <w:rFonts w:ascii="Times New Roman" w:hAnsi="Times New Roman"/>
          <w:sz w:val="24"/>
        </w:rPr>
        <w:t>Главный методический результат работы — две конструкции, поставленные рядом. Слева пирамида: I уровень (структурная конфигурация рынка — предельная отдача, регуляторика, конкурентное давление, положение оператора) задаёт выбор режима; II уровень (операционная исполнимость — сезон, геометрия города, стоимость покрытия) проверяет реализуемость; III уровень — тактические рычаги. Справа пятиугольник пяти критериев оценки сценариев: ресурсная защитимость, согласованность с динамическими способностями, операционная исполнимость, финансово-операционный эффект, профиль риска. Все пять выведены из теоретических линий слайда 4.</w:t>
      </w:r>
    </w:p>
    <w:p>
      <w:pPr>
        <w:spacing w:before="200" w:after="40"/>
      </w:pPr>
      <w:r>
        <w:rPr>
          <w:rFonts w:ascii="Times New Roman" w:hAnsi="Times New Roman"/>
          <w:b/>
          <w:sz w:val="24"/>
        </w:rPr>
        <w:t>Слайд 9. Стратегические альтернативы</w:t>
      </w:r>
    </w:p>
    <w:p>
      <w:r>
        <w:rPr>
          <w:rFonts w:ascii="Times New Roman" w:hAnsi="Times New Roman"/>
          <w:i/>
          <w:sz w:val="24"/>
        </w:rPr>
        <w:t>Ссылка на ВКР: §2.3 + §2.3.1.</w:t>
      </w:r>
    </w:p>
    <w:p>
      <w:r>
        <w:rPr>
          <w:rFonts w:ascii="Times New Roman" w:hAnsi="Times New Roman"/>
          <w:sz w:val="24"/>
        </w:rPr>
        <w:t>Три сценария обращения с портфелем. S1 — сохранение единой логики действий (как сейчас). S2 — единый режим R3 с операционной адаптацией. S3 — диверсификация режимов между сценарно-однородными группами рынков. По пяти критериям S3 сильнее по четырём из пяти; уступает только по операционной исполнимости в горизонте перестройки, и этот проигрыш адресован управленческими компенсаторами (см. слайд 14).</w:t>
      </w:r>
    </w:p>
    <w:p>
      <w:pPr>
        <w:spacing w:before="200" w:after="40"/>
      </w:pPr>
      <w:r>
        <w:rPr>
          <w:rFonts w:ascii="Times New Roman" w:hAnsi="Times New Roman"/>
          <w:b/>
          <w:sz w:val="24"/>
        </w:rPr>
        <w:t>Слайд 10. Выбранная стратегия — S3</w:t>
      </w:r>
    </w:p>
    <w:p>
      <w:r>
        <w:rPr>
          <w:rFonts w:ascii="Times New Roman" w:hAnsi="Times New Roman"/>
          <w:i/>
          <w:sz w:val="24"/>
        </w:rPr>
        <w:t>Ссылка на ВКР: §3.3.</w:t>
      </w:r>
    </w:p>
    <w:p>
      <w:r>
        <w:rPr>
          <w:rFonts w:ascii="Times New Roman" w:hAnsi="Times New Roman"/>
          <w:sz w:val="24"/>
        </w:rPr>
        <w:t>S3 — диверсификация режимов по портфелю. Портфельная карта пяти городов: Москва — R3 в ограниченной форме, Санкт-Петербург — R2 с переходом к R3 при ужесточении регуляторики, Краснодар — R2/R3, Екатеринбург — R2 с пилотом УПС, Новосибирск — R2/R3 с приоритетом эффективности. Важно подчеркнуть: S3 — не статическая кластеризация городов, а воспроизводимая процедура с пересмотром режима по фактическим KPI. Именно поэтому её сложно скопировать конкуренту — нужна организационная инфраструктура, а не просто матрица режимов.</w:t>
      </w:r>
    </w:p>
    <w:p>
      <w:pPr>
        <w:spacing w:before="200" w:after="40"/>
      </w:pPr>
      <w:r>
        <w:rPr>
          <w:rFonts w:ascii="Times New Roman" w:hAnsi="Times New Roman"/>
          <w:b/>
          <w:sz w:val="24"/>
        </w:rPr>
        <w:t>Слайд 11. Ключевые инициативы: режимы R1–R3 и УПС</w:t>
      </w:r>
    </w:p>
    <w:p>
      <w:r>
        <w:rPr>
          <w:rFonts w:ascii="Times New Roman" w:hAnsi="Times New Roman"/>
          <w:i/>
          <w:sz w:val="24"/>
        </w:rPr>
        <w:t>Ссылка на ВКР: §3.1 + §3.2.</w:t>
      </w:r>
    </w:p>
    <w:p>
      <w:r>
        <w:rPr>
          <w:rFonts w:ascii="Times New Roman" w:hAnsi="Times New Roman"/>
          <w:sz w:val="24"/>
        </w:rPr>
        <w:t>Три режима с однородным описанием (цель, условия применения, рычаги, KPI, ограничения): R1 «Плацдарм» — закрепиться на новом или слабо освоенном рынке; R2 «Атака» — рост доли поездок в позиции преследователя при наличии резерва плотности; R3 «Удержание» — защита позиции и маржи. Проектный инструмент УПС — три типа стимулов (точка высадки, точка посадки, оплачиваемое микрозадание внешнему исполнителю), которые замещают часть физической ребалансировки. Цифра-якорь: средневзвешенная стоимость стимула 26,5 руб./операцию против 120 руб. за операцию физической ребалансировки (данные эксперта А.) — в 4,5 раза дешевле.</w:t>
      </w:r>
    </w:p>
    <w:p>
      <w:pPr>
        <w:spacing w:before="200" w:after="40"/>
      </w:pPr>
      <w:r>
        <w:rPr>
          <w:rFonts w:ascii="Times New Roman" w:hAnsi="Times New Roman"/>
          <w:b/>
          <w:sz w:val="24"/>
        </w:rPr>
        <w:t>Слайд 12. План реализации — пилот УПС в Екатеринбурге</w:t>
      </w:r>
    </w:p>
    <w:p>
      <w:r>
        <w:rPr>
          <w:rFonts w:ascii="Times New Roman" w:hAnsi="Times New Roman"/>
          <w:i/>
          <w:sz w:val="24"/>
        </w:rPr>
        <w:t>Ссылка на ВКР: §3.2.</w:t>
      </w:r>
    </w:p>
    <w:p>
      <w:r>
        <w:rPr>
          <w:rFonts w:ascii="Times New Roman" w:hAnsi="Times New Roman"/>
          <w:sz w:val="24"/>
        </w:rPr>
        <w:t>Горизонтальная timeline на 5 месяцев. М1 — сбор базовых данных, фиксация чувствительных микролокаций, базовые значения 4 KPI. М2 — запуск механизмов М1 и М2 (стимулы пользователям). М3 — подключение М3 (микрозадания внешним исполнителям). М4 — калибровка параметров стимулов, расширение зоны. М5 — итоги и решение о тиражировании. Четыре KPI пилота: прирост поездок в пилотных зонах; снижение доли физической ребалансировки в объёме операций; стоимость стимула на предотвращённую потерю поездки; доля принятых стимулов к предложенным. С года 2 — тиражирование на Санкт-Петербург, Краснодар, Новосибирск.</w:t>
      </w:r>
    </w:p>
    <w:p>
      <w:pPr>
        <w:spacing w:before="200" w:after="40"/>
      </w:pPr>
      <w:r>
        <w:rPr>
          <w:rFonts w:ascii="Times New Roman" w:hAnsi="Times New Roman"/>
          <w:b/>
          <w:sz w:val="24"/>
        </w:rPr>
        <w:t>Слайд 13. Финансовая модель и KPI</w:t>
      </w:r>
    </w:p>
    <w:p>
      <w:r>
        <w:rPr>
          <w:rFonts w:ascii="Times New Roman" w:hAnsi="Times New Roman"/>
          <w:i/>
          <w:sz w:val="24"/>
        </w:rPr>
        <w:t>Ссылка на ВКР: §3.4.</w:t>
      </w:r>
    </w:p>
    <w:p>
      <w:r>
        <w:rPr>
          <w:rFonts w:ascii="Times New Roman" w:hAnsi="Times New Roman"/>
          <w:sz w:val="24"/>
        </w:rPr>
        <w:t>Затраты года 1 — около 48 млн руб. (региональное управление 22, маркетинг S3 — 7, инфраструктура и пилот УПС — 16 в т.ч. capex 8, накладные 3). Эффекты — около 73 млн руб. EBITDA (R2-прирост выручки 12, УПС-пилот в Екатеринбурге 6, оптимизация OpEx в Москве 52, экономия капвложений в малых городах 3). Чистый эффект года 1: +25 млн руб., чувствительность −14 / +25 / +64 млн. Год 2 при тиражировании УПС: +80…+100 млн руб. NPV при WACC 20 % на горизонте 3 года — +134 млн руб.; payback около 8 месяцев; ROI года 1 — 52 %. Визуал — waterfall затрат и эффектов.</w:t>
      </w:r>
    </w:p>
    <w:p>
      <w:pPr>
        <w:spacing w:before="200" w:after="40"/>
      </w:pPr>
      <w:r>
        <w:rPr>
          <w:rFonts w:ascii="Times New Roman" w:hAnsi="Times New Roman"/>
          <w:b/>
          <w:sz w:val="24"/>
        </w:rPr>
        <w:t>Слайд 14. Риски и компенсаторы</w:t>
      </w:r>
    </w:p>
    <w:p>
      <w:r>
        <w:rPr>
          <w:rFonts w:ascii="Times New Roman" w:hAnsi="Times New Roman"/>
          <w:i/>
          <w:sz w:val="24"/>
        </w:rPr>
        <w:t>Ссылка на ВКР: §3.5.</w:t>
      </w:r>
    </w:p>
    <w:p>
      <w:r>
        <w:rPr>
          <w:rFonts w:ascii="Times New Roman" w:hAnsi="Times New Roman"/>
          <w:sz w:val="24"/>
        </w:rPr>
        <w:t>Шесть рисков, каждый с управленческим ответом. Рассинхронизация режимов между городами — функция портфельного управления и регулярный цикл сверки. Потеря единообразия пользовательского опыта — единообразие на уровне продукта при дифференциации операционной модели. Кадровые ограничения — поэтапное внедрение, начиная с пяти городов. Регуляторный шок — встроенные правила перехода между режимами. Ошибка диагностики рынка — регулярный пересмотр режима по фактическим KPI. Универсализация УПС — фиксация условий применимости (только R2 и R3). Главный тезис слайда: S3 не требует одномоментной перестройки, запускается через пилот.</w:t>
      </w:r>
    </w:p>
    <w:p>
      <w:pPr>
        <w:spacing w:before="200" w:after="40"/>
      </w:pPr>
      <w:r>
        <w:rPr>
          <w:rFonts w:ascii="Times New Roman" w:hAnsi="Times New Roman"/>
          <w:b/>
          <w:sz w:val="24"/>
        </w:rPr>
        <w:t>Слайд 15. Итоговый вклад работы</w:t>
      </w:r>
    </w:p>
    <w:p>
      <w:r>
        <w:rPr>
          <w:rFonts w:ascii="Times New Roman" w:hAnsi="Times New Roman"/>
          <w:i/>
          <w:sz w:val="24"/>
        </w:rPr>
        <w:t>Ссылка на ВКР: Заключение.</w:t>
      </w:r>
    </w:p>
    <w:p>
      <w:r>
        <w:rPr>
          <w:rFonts w:ascii="Times New Roman" w:hAnsi="Times New Roman"/>
          <w:sz w:val="24"/>
        </w:rPr>
        <w:t>Шесть пунктов: 1) диагностирована стратегическая проблема МТС Юрент на портфеле региональных рынков; 2) построена трёхуровневая иерархия факторов различения; 3) выведены пять критериев оценки стратегических альтернатив; 4) обоснован выбор сценария S3; 5) разработан проектный инструмент УПС с KPI и дорожной картой; 6) построена портфельная финансовая модель с количественной оценкой эффекта на горизонте 12 и 24 месяцев. Финальная фраза: главный результат работы — система, которая переводит неоднородность региональных рынков из проблемы в основу выбора конкурентных действий МТС Юрент.</w:t>
      </w:r>
    </w:p>
    <w:p>
      <w:pPr>
        <w:spacing w:before="280" w:after="80"/>
      </w:pPr>
      <w:r>
        <w:rPr>
          <w:rFonts w:ascii="Times New Roman" w:hAnsi="Times New Roman"/>
          <w:b/>
          <w:sz w:val="26"/>
        </w:rPr>
        <w:t>Бэкап-слайды для Q&amp;A</w:t>
      </w:r>
    </w:p>
    <w:p>
      <w:pPr>
        <w:spacing w:before="120" w:after="20"/>
      </w:pPr>
      <w:r>
        <w:rPr>
          <w:rFonts w:ascii="Times New Roman" w:hAnsi="Times New Roman"/>
          <w:b/>
          <w:sz w:val="22"/>
        </w:rPr>
        <w:t>B1. Пять критериев подробно</w:t>
      </w:r>
    </w:p>
    <w:p>
      <w:r>
        <w:rPr>
          <w:rFonts w:ascii="Times New Roman" w:hAnsi="Times New Roman"/>
          <w:sz w:val="24"/>
        </w:rPr>
        <w:t>Критерий → теоретическая основа → как измерялся → почему важен.</w:t>
      </w:r>
    </w:p>
    <w:p>
      <w:pPr>
        <w:spacing w:before="120" w:after="20"/>
      </w:pPr>
      <w:r>
        <w:rPr>
          <w:rFonts w:ascii="Times New Roman" w:hAnsi="Times New Roman"/>
          <w:b/>
          <w:sz w:val="22"/>
        </w:rPr>
        <w:t>B2. Сценарная матрица S1/S2/S3</w:t>
      </w:r>
    </w:p>
    <w:p>
      <w:r>
        <w:rPr>
          <w:rFonts w:ascii="Times New Roman" w:hAnsi="Times New Roman"/>
          <w:sz w:val="24"/>
        </w:rPr>
        <w:t>Полная оценка по пяти критериям с обоснованием каждой ячейки.</w:t>
      </w:r>
    </w:p>
    <w:p>
      <w:pPr>
        <w:spacing w:before="120" w:after="20"/>
      </w:pPr>
      <w:r>
        <w:rPr>
          <w:rFonts w:ascii="Times New Roman" w:hAnsi="Times New Roman"/>
          <w:b/>
          <w:sz w:val="22"/>
        </w:rPr>
        <w:t>B3. Режимы R1/R2/R3 подробно</w:t>
      </w:r>
    </w:p>
    <w:p>
      <w:r>
        <w:rPr>
          <w:rFonts w:ascii="Times New Roman" w:hAnsi="Times New Roman"/>
          <w:sz w:val="24"/>
        </w:rPr>
        <w:t>Полная развёртка: цель / условия применения / рычаги / KPI / ограничения.</w:t>
      </w:r>
    </w:p>
    <w:p>
      <w:pPr>
        <w:spacing w:before="120" w:after="20"/>
      </w:pPr>
      <w:r>
        <w:rPr>
          <w:rFonts w:ascii="Times New Roman" w:hAnsi="Times New Roman"/>
          <w:b/>
          <w:sz w:val="22"/>
        </w:rPr>
        <w:t>B4. Финансовая модель в деталях</w:t>
      </w:r>
    </w:p>
    <w:p>
      <w:r>
        <w:rPr>
          <w:rFonts w:ascii="Times New Roman" w:hAnsi="Times New Roman"/>
          <w:sz w:val="24"/>
        </w:rPr>
        <w:t>Расклад затрат по блокам A/B/C/D, эффектов 1–4, сценарии чувствительности.</w:t>
      </w:r>
    </w:p>
    <w:p>
      <w:pPr>
        <w:spacing w:before="120" w:after="20"/>
      </w:pPr>
      <w:r>
        <w:rPr>
          <w:rFonts w:ascii="Times New Roman" w:hAnsi="Times New Roman"/>
          <w:b/>
          <w:sz w:val="22"/>
        </w:rPr>
        <w:t>B5. УПС — экономика стимула</w:t>
      </w:r>
    </w:p>
    <w:p>
      <w:r>
        <w:rPr>
          <w:rFonts w:ascii="Times New Roman" w:hAnsi="Times New Roman"/>
          <w:sz w:val="24"/>
        </w:rPr>
        <w:t>Расчётная цепочка по Екатеринбургу: выручка сезона → OpEx → ребалансировка → замещение → чистая экономия + доп. выручка через маржу. Четыре KPI пилота.</w:t>
      </w:r>
    </w:p>
    <w:p>
      <w:pPr>
        <w:spacing w:before="120" w:after="20"/>
      </w:pPr>
      <w:r>
        <w:rPr>
          <w:rFonts w:ascii="Times New Roman" w:hAnsi="Times New Roman"/>
          <w:b/>
          <w:sz w:val="22"/>
        </w:rPr>
        <w:t>B6. Ограничения исследования</w:t>
      </w:r>
    </w:p>
    <w:p>
      <w:r>
        <w:rPr>
          <w:rFonts w:ascii="Times New Roman" w:hAnsi="Times New Roman"/>
          <w:sz w:val="24"/>
        </w:rPr>
        <w:t>Нет полной микрозональной базы, расчёт на агрегатах и сценарных допущениях, апробация — этап пилота. Направления развития: пилот УПС, расширение портфеля, перенос рамки на смежные сегменты шеринговой мобильности.</w:t>
      </w:r>
    </w:p>
    <w:p>
      <w:pPr>
        <w:spacing w:before="280" w:after="80"/>
      </w:pPr>
      <w:r>
        <w:rPr>
          <w:rFonts w:ascii="Times New Roman" w:hAnsi="Times New Roman"/>
          <w:b/>
          <w:sz w:val="26"/>
        </w:rPr>
        <w:t>Тайминг</w:t>
      </w:r>
    </w:p>
    <w:p>
      <w:r>
        <w:rPr>
          <w:rFonts w:ascii="Times New Roman" w:hAnsi="Times New Roman"/>
          <w:sz w:val="24"/>
        </w:rPr>
        <w:t>Слайды 1–2 — 1,5 мин (введение в проблему). Слайды 3–4 — 1,25 мин (цель и метод). Слайды 5–7 — 2,25 мин (диагностика среды и компании). Слайды 8–10 — 2,5 мин, это сердце доклада, на этих слайдах не торопиться. Слайды 11–13 — 2,25 мин (инициативы, план, финэффект). Слайды 14–15 — 1 мин (риски и вклад).</w:t>
      </w:r>
    </w:p>
    <w:p>
      <w:r>
        <w:rPr>
          <w:rFonts w:ascii="Times New Roman" w:hAnsi="Times New Roman"/>
          <w:sz w:val="24"/>
        </w:rPr>
        <w:t>Если жёсткий лимит 7 минут — можно ужать слайд 5 до 30 секунд и объединить слайды 8 и 9 в один. Но в защите ВШБ обычно дают 10 минут, и тогда оставляю как есть.</w:t>
      </w:r>
    </w:p>
    <w:p>
      <w:r>
        <w:rPr>
          <w:rFonts w:ascii="Times New Roman" w:hAnsi="Times New Roman"/>
          <w:sz w:val="24"/>
        </w:rPr>
      </w:r>
    </w:p>
    <w:p>
      <w:r>
        <w:rPr>
          <w:rFonts w:ascii="Times New Roman" w:hAnsi="Times New Roman"/>
          <w:sz w:val="24"/>
        </w:rPr>
        <w:t>Иван Александрович, прошу подсветить, что менять. Если в целом ок — оставлю как опорный план и буду готовить визуалы.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