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26"/>
        </w:rPr>
        <w:t>Текст выступления на защите ВКР — v6 (после правок ИА от 02.06)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2"/>
        </w:rPr>
        <w:t>Камашев П. «Конкурентная стратегия МТС Юрент на региональных рынках кикшеринга в России»</w:t>
      </w:r>
    </w:p>
    <w:p>
      <w:pPr>
        <w:jc w:val="center"/>
      </w:pPr>
      <w:r>
        <w:rPr>
          <w:rFonts w:ascii="Times New Roman" w:hAnsi="Times New Roman"/>
          <w:i/>
          <w:sz w:val="22"/>
        </w:rPr>
        <w:t>Регламент: 15 минут.  16 слайдов + 5 backup.  В прошлой репетиции — 27 минут;  цель этой версии — уложить в 15.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Общие принципы речи (из правок ИА)</w:t>
      </w:r>
    </w:p>
    <w:p>
      <w:r>
        <w:rPr>
          <w:rFonts w:ascii="Times New Roman" w:hAnsi="Times New Roman"/>
          <w:b w:val="0"/>
          <w:i w:val="0"/>
          <w:sz w:val="24"/>
        </w:rPr>
        <w:t>— НЕ упоминать научного руководителя в начале — только имя и тема.</w:t>
      </w:r>
    </w:p>
    <w:p>
      <w:r>
        <w:rPr>
          <w:rFonts w:ascii="Times New Roman" w:hAnsi="Times New Roman"/>
          <w:b w:val="0"/>
          <w:i w:val="0"/>
          <w:sz w:val="24"/>
        </w:rPr>
        <w:t>— Никаких «мы решили», «мы сделали». Только «анализ показал», «сделан вывод», точечно «я сделал».</w:t>
      </w:r>
    </w:p>
    <w:p>
      <w:r>
        <w:rPr>
          <w:rFonts w:ascii="Times New Roman" w:hAnsi="Times New Roman"/>
          <w:b w:val="0"/>
          <w:i w:val="0"/>
          <w:sz w:val="24"/>
        </w:rPr>
        <w:t>— Деловой язык бизнес-школы: PESTEL, EBITDA, утилизация, выручка/самокат, KPI, ROI.</w:t>
      </w:r>
    </w:p>
    <w:p>
      <w:r>
        <w:rPr>
          <w:rFonts w:ascii="Times New Roman" w:hAnsi="Times New Roman"/>
          <w:b w:val="0"/>
          <w:i w:val="0"/>
          <w:sz w:val="24"/>
        </w:rPr>
        <w:t>— На каждом слайде ОДНА ключевая мысль. НЕ перечитывать что написано — голосом дополнить.</w:t>
      </w:r>
    </w:p>
    <w:p>
      <w:r>
        <w:rPr>
          <w:rFonts w:ascii="Times New Roman" w:hAnsi="Times New Roman"/>
          <w:b w:val="0"/>
          <w:i w:val="0"/>
          <w:sz w:val="24"/>
        </w:rPr>
        <w:t>— Аббревиатуры R1–R3, S3, УПС в речи всегда расшифровывать: «сценарий 3», «режим атаки», «управление покрытием через стимулы».</w:t>
      </w:r>
    </w:p>
    <w:p>
      <w:r>
        <w:rPr>
          <w:rFonts w:ascii="Times New Roman" w:hAnsi="Times New Roman"/>
          <w:b w:val="0"/>
          <w:i w:val="0"/>
          <w:sz w:val="24"/>
        </w:rPr>
        <w:t>— Первые 3 слайда — БЫСТРО, в сумме ~2:30. Фокус — управленческая проблема.</w:t>
      </w:r>
    </w:p>
    <w:p>
      <w:r>
        <w:rPr>
          <w:rFonts w:ascii="Times New Roman" w:hAnsi="Times New Roman"/>
          <w:b w:val="0"/>
          <w:i w:val="0"/>
          <w:sz w:val="24"/>
        </w:rPr>
        <w:t>— Слайд УПС (13) — МАКСИМУМ 1 минута. В прошлой репетиции на нём ушло 7 минут из 27 — главный косяк.</w:t>
      </w:r>
    </w:p>
    <w:p>
      <w:r>
        <w:rPr>
          <w:rFonts w:ascii="Times New Roman" w:hAnsi="Times New Roman"/>
          <w:b w:val="0"/>
          <w:i w:val="0"/>
          <w:sz w:val="24"/>
        </w:rPr>
        <w:t>— Финал замыкает то, с чего начали: была проблема → анализ → выбор S3 → эффект → проблема решена.</w:t>
      </w:r>
    </w:p>
    <w:p>
      <w:r>
        <w:rPr>
          <w:rFonts w:ascii="Times New Roman" w:hAnsi="Times New Roman"/>
          <w:b w:val="0"/>
          <w:i w:val="0"/>
          <w:sz w:val="24"/>
        </w:rPr>
        <w:t>— Стартовая и финальная фразы — выучить наизусть. Без вариаций.</w:t>
      </w:r>
    </w:p>
    <w:p>
      <w:r>
        <w:rPr>
          <w:rFonts w:ascii="Times New Roman" w:hAnsi="Times New Roman"/>
          <w:b w:val="0"/>
          <w:i w:val="0"/>
          <w:sz w:val="24"/>
        </w:rPr>
        <w:t>— Не улыбаться без нужды. Не пританцовывать. Не поправлять волосы. Серьёзность.</w:t>
      </w:r>
    </w:p>
    <w:p>
      <w:r>
        <w:rPr>
          <w:rFonts w:ascii="Times New Roman" w:hAnsi="Times New Roman"/>
          <w:b w:val="0"/>
          <w:i w:val="0"/>
          <w:sz w:val="24"/>
        </w:rPr>
        <w:t>— Зрительный контакт с 2–3 «доброжелательными» лицами в комиссии. К слайдам — только за подсказкой.</w:t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Стартовая фраза (Слайд 1 — ТИТУЛЬНЫЙ)  — выучить наизусть</w:t>
      </w:r>
    </w:p>
    <w:p>
      <w:r>
        <w:rPr>
          <w:rFonts w:ascii="Times New Roman" w:hAnsi="Times New Roman"/>
          <w:b w:val="0"/>
          <w:i w:val="0"/>
          <w:sz w:val="24"/>
        </w:rPr>
        <w:t>«Добрый день. Меня зовут Пётр Камашев, представляю выпускную квалификационную работу на тему "Конкурентная стратегия МТС Юрент на региональных рынках кикшеринга в России".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Объект исследования — МТС Юрент как федеральный оператор кикшеринга на портфеле региональных рынков. Предмет — конкурентная стратегия на портфеле региональных рынков. Управленческая проблема: экстенсивная модель роста через расширение парка и географии теряет эффективность на зрелом и неоднородном рынке. Лимиты парка, регуляторика и падающая предельная отдача требуют выбора разных режимов действий по городам».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ТАЙМИНГ: ~1:30. Дальше — быстро.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2 — ЛОГИКА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Цель ВКР — разработать систему стратегического выбора для портфеля региональных рынков</w:t>
      </w:r>
    </w:p>
    <w:p>
      <w:r>
        <w:rPr>
          <w:rFonts w:ascii="Times New Roman" w:hAnsi="Times New Roman"/>
          <w:b w:val="0"/>
          <w:i w:val="0"/>
          <w:sz w:val="24"/>
        </w:rPr>
        <w:t>Цель работы — разработать аналитическую систему стратегического выбора оператора кикшеринга в портфеле региональных рынков и применить её к МТС Юрент. Логика построена через пять блоков: анализ внешней среды, анализ внутренней среды, диагностика, выбор сценария, реализация. Выход работы — сценарий 3, система режимов конкурентных действий, проектный инструмент управления покрытием через стимулы, финансовая модель и KPI пилота.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~30 сек. Не перечислять все 5 этапов голосом — упомянуть только структуру.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3 — МЕТОДЫ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Выводы основаны на публичной аналитике, внутренних данных оператора и сценарной финмодели</w:t>
      </w:r>
    </w:p>
    <w:p>
      <w:r>
        <w:rPr>
          <w:rFonts w:ascii="Times New Roman" w:hAnsi="Times New Roman"/>
          <w:b w:val="0"/>
          <w:i w:val="0"/>
          <w:sz w:val="24"/>
        </w:rPr>
        <w:t>В работе использованы: PESTEL-анализ, конкурентный анализ, трёхуровневая иерархия факторов регионального различения, критериальное сравнение сценариев, сценарная финансовая модель. Эмпирическая база: открытая отчётность ПАО «МТС» и ПАО «ВУШ Холдинг», отраслевая аналитика TrueSharing, два экспертных интервью. Главный закрытый источник — внутренние поквартальные данные МТС Юрент по 86 субъектам РФ за 2024 и девять месяцев 2025 года. ИИ применялся как вспомогательный инструмент для обработки источников и редактуры; стратегические решения и параметры финансовой модели — авторские.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~45 сек. Деловым языком, перечислить методы и источники.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4 — РЫНОК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Рынок ёмкий и концентрированный, но впервые замедлился — пора управлять отдачей, а не наращивать парк</w:t>
      </w:r>
    </w:p>
    <w:p>
      <w:r>
        <w:rPr>
          <w:rFonts w:ascii="Times New Roman" w:hAnsi="Times New Roman"/>
          <w:b w:val="0"/>
          <w:i w:val="0"/>
          <w:sz w:val="24"/>
        </w:rPr>
        <w:t>Анализ рынка проведён через три параметра. Первый — объём: 31,1 миллиарда рублей и 281,6 миллиона поездок по итогам 2024 года. Рынок ёмкий, играть на нём имеет смысл. Второй — динамика: в 2025 году впервые за пять лет — отрицательная, минус 6 процентов поездок. У лидера Whoosh — минус 7 процентов поездок, минус 13 процентов выручки, EBITDA-маржа кикшеринга упала с 42 до 28 процентов. Третий — конкуренция: 96,8 процента рынка у трёх операторов. Олигополия, новые игроки практически невозможны. Совокупный вывод: на рынке с тремя конкурентами и стагнацией спроса конкурентный результат зависит от отдачи уже размещённого парка, а не от его прироста.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~1:00. Самый важный слайд первой части — здесь подтверждается управленческая проблема.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5 — PESTEL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Внешняя среда даёт две ключевые возможности и две ключевые угрозы — диктует фокус на эффективности и дифференциации</w:t>
      </w:r>
    </w:p>
    <w:p>
      <w:r>
        <w:rPr>
          <w:rFonts w:ascii="Times New Roman" w:hAnsi="Times New Roman"/>
          <w:b w:val="0"/>
          <w:i w:val="0"/>
          <w:sz w:val="24"/>
        </w:rPr>
        <w:t>Анализ макросреды показал две ключевые возможности и две ключевые угрозы. Возможности: первая — экосистема МТС с 80 миллионами абонентов даёт уникальный канал доступа к клиенту, недоступный конкурентам; вторая — устойчивый спрос на короткие поездки сохраняется, рынок перебалансируется, а не схлопывается. Угрозы: первая — фрагментированная регуляторика по городам повышает стоимость унифицированной модели присутствия; вторая — удорожание капитала при ставке ЦБ 21 процент делает каждый новый самокат менее окупаемым. Доминирующий стратегический ответ — не наращивать парк, а извлекать больше из уже размещённого и адаптировать модель локально.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~45 сек. Не перечитывать карточки — голосом 2 возможности + 2 угрозы + вывод.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6 — КОНКУРЕНЦИЯ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КФУ на зрелой стадии — доступность покрытия; у МТС Юрент системный гэп 49 vs 67 тыс. ₽ с лидером</w:t>
      </w:r>
    </w:p>
    <w:p>
      <w:r>
        <w:rPr>
          <w:rFonts w:ascii="Times New Roman" w:hAnsi="Times New Roman"/>
          <w:b w:val="0"/>
          <w:i w:val="0"/>
          <w:sz w:val="24"/>
        </w:rPr>
        <w:t>Конкурентный анализ показал, что на рынке три игрока с разной стратегической логикой: Whoosh опирается на масштаб парка и вертикальную интеграцию, МТС Юрент — на экосистему МТС, Яндекс — на трафик суперприложения. Ключевой фактор успеха на зрелой стадии — фактическая доступность самоката в нужной точке и в нужное время. По этому фактору у МТС Юрент системный конкурентный разрыв: выручка на самокат 49 тысяч рублей в год против 67 тысяч у Whoosh. Разрыв возникает не из-за меньшего парка, а из-за более низкой эффективности уже размещённого парка. Закрытие этого разрыва требует не наращивания парка, а повышения его отдачи — это будет адресовано проектным инструментом на слайде 13.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~1:00. Здесь явно проговорить клиентскую метрику — доступность.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7 — ПОРТФЕЛЬ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Даже внутри портфеля Юрента 5 городов расходятся в 4× по утилизации — единый режим невозможен</w:t>
      </w:r>
    </w:p>
    <w:p>
      <w:r>
        <w:rPr>
          <w:rFonts w:ascii="Times New Roman" w:hAnsi="Times New Roman"/>
          <w:b w:val="0"/>
          <w:i w:val="0"/>
          <w:sz w:val="24"/>
        </w:rPr>
        <w:t>Внутри портфеля МТС Юрент пять городов демонстрационной выборки расходятся в разные стороны. Утилизация парка различается в четыре раза — от 1 073 поездок на самокат в год в Москве до 277 в Новосибирске. Динамика год к году за девять месяцев 2025 — от минус десяти процентов в Краснодаре до плюс ста двадцати девяти в Новосибирске. Регуляторика — от жёсткой в Москве до умеренной в трёх других. Москва теряет объём при жёсткой регуляторике, Санкт-Петербург и Новосибирск растут с резервом плотности, Екатеринбург с низкой утилизацией — идеальный полигон для пилота. Вывод: единый режим присутствия по такому портфелю невозможен.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~50 сек. Показать 4× разрыв и переход к необходимости дифференциации.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8 — ВНУТРЕННЯЯ СРЕДА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Анализ внутренней среды: сильная экосистема МТС и Eleven, но централизованная управленческая логика для 187 локаций</w:t>
      </w:r>
    </w:p>
    <w:p>
      <w:r>
        <w:rPr>
          <w:rFonts w:ascii="Times New Roman" w:hAnsi="Times New Roman"/>
          <w:b w:val="0"/>
          <w:i w:val="0"/>
          <w:sz w:val="24"/>
        </w:rPr>
        <w:t>Анализ внутренней среды показал асимметрию. Сильные стороны: встроенность в экосистему МТС с 80 миллионами абонентов, технологическая платформа после приобретения Eleven, парк около 120 тысяч самокатов в 187 локациях, гибкость пилотирования. Слабые стороны: централизованная управленческая логика мало чувствительна к различиям регионов, формализованной процедуры назначения режимов нет, локальная экспертиза ограничена, отставание по утилизации и выручке на самокат от лидера. В терминах динамических способностей: операционный блок развит, способность перестраивать ресурсы под изменения рынка — в начальной зрелости. Проблема — не в отсутствии ресурсов, а в том, что текущая модель не превращает их в региональный результат.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~1:00. Слабые стороны — главное; они объясняют, почему есть управленческая проблема.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9 — ДИАГНОЗ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Стратегический диагноз: портфель стал неоднородным быстрее, чем управленческая модель оператора</w:t>
      </w:r>
    </w:p>
    <w:p>
      <w:r>
        <w:rPr>
          <w:rFonts w:ascii="Times New Roman" w:hAnsi="Times New Roman"/>
          <w:b w:val="0"/>
          <w:i w:val="0"/>
          <w:sz w:val="24"/>
        </w:rPr>
        <w:t>На основе анализа внешней и внутренней среды сформулирован стратегический диагноз. Ключевой разрыв состоит в том, что МТС Юрент работает с принципиально неоднородной портфельной средой через единообразную управленческую логику. Причины три: переход рынка к зрелой стадии, регуляторная фрагментация по городам, разная утилизация парка. Если сохранить текущую модель — последствия: ошибки в масштабе присутствия, избыточный OpEx в тяжёлых рынках, недоиспользование роста в развивающихся. Ответ — портфельная стратегия с разными режимами действий и общим контуром контроля плюс дорожная карта пилота.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~50 сек. Слайд-мост: связь внешней и внутренней диагностики с управленческой проблемой.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10 — РАМКА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Рамка I-II-III переводит различия городов в параметры стратегического выбора</w:t>
      </w:r>
    </w:p>
    <w:p>
      <w:r>
        <w:rPr>
          <w:rFonts w:ascii="Times New Roman" w:hAnsi="Times New Roman"/>
          <w:b w:val="0"/>
          <w:i w:val="0"/>
          <w:sz w:val="24"/>
        </w:rPr>
        <w:t>Для систематического выбора стратегии разработаны две конструкции. Первая — трёхуровневая иерархия факторов регионального различения. Уровень I, структурная конфигурация: ёмкость, регуляторика, конкуренция, положение оператора — задаёт выбор режима. Уровень II, операционная исполнимость: сезонность, плотность спроса, стоимость покрытия — проверяет реализуемость. Уровень III, тактические рычаги: цены, промо, перераспределение парка. Вторая — пять критериев оценки сценариев, выведенных из теории: ресурсная защитимость, согласованность с динамическими способностями, операционная исполнимость, финансовый эффект, профиль риска.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~50 сек. Не углубляться в теорию — назвать конструкции, перейти к их применению.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11 — АЛЬТЕРНАТИВЫ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Из трёх альтернатив оптимальна диверсификация режимов по портфелю — сценарий 3</w:t>
      </w:r>
    </w:p>
    <w:p>
      <w:r>
        <w:rPr>
          <w:rFonts w:ascii="Times New Roman" w:hAnsi="Times New Roman"/>
          <w:b w:val="0"/>
          <w:i w:val="0"/>
          <w:sz w:val="24"/>
        </w:rPr>
        <w:t>Сравнение проведено по пяти критериям для трёх альтернатив. Первая — сценарий 1, сохранение единой логики действий ко всем регионам. Вторая — сценарий 2, единый режим удержания с операционной адаптацией. Третья — сценарий 3, диверсификация режимов конкурентных действий по группам рынков. Результаты сопоставления показали: сценарий 3 сильнее альтернатив по четырём критериям из пяти — ресурсная защитимость, динамические способности, финансовый эффект, профиль риска. Уступает только по операционной исполнимости в горизонте перестройки — это адресовано управленческими компенсаторами на слайде 15. Сценарий 3 решает исходный разрыв при управляемых рисках.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~1:00. Чётко проговорить, чем S3 побеждает по 4 из 5 критериев.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12 — СТРАТЕГИЯ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Сценарий 3 — управление портфелем режимов, назначенных конкретным городам, с пересмотром по KPI</w:t>
      </w:r>
    </w:p>
    <w:p>
      <w:r>
        <w:rPr>
          <w:rFonts w:ascii="Times New Roman" w:hAnsi="Times New Roman"/>
          <w:b w:val="0"/>
          <w:i w:val="0"/>
          <w:sz w:val="24"/>
        </w:rPr>
        <w:t>Содержательное наполнение выбранного сценария — три режима конкурентных действий. Режим первый, плацдарм — закрепление; ключевые рычаги: минимальная плотность парка, операционные стандарты, контакты с городом. Режим второй, атака — рост доли; рычаги: расширение и переразмещение парка, плотность ключевых зон, клиентская и ценовая работа, проектный инструмент. Режим третий, удержание — защита экономики; рычаги: дисциплина расстановки, снижение издержек обслуживания, защита микролокаций. Назначение по пяти городам: Москва — режим удержания ограниченное, Санкт-Петербург — атака с переходом к удержанию, Екатеринбург — атака с пилотом проектного инструмента, Краснодар и Новосибирск — атака или удержание по сезону. Это не статическая кластеризация, а воспроизводимая процедура с пересмотром каждый сезон.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~1:00. Главное — режимы и принцип назначения по городам, без перечисления всех KPI.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13 — ИНСТРУМЕНТ  ⚠ МАКСИМУМ 1 МИНУТА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Управление покрытием через стимулы — повышение доступности для клиента и отдачи парка для оператора</w:t>
      </w:r>
    </w:p>
    <w:p>
      <w:r>
        <w:rPr>
          <w:rFonts w:ascii="Times New Roman" w:hAnsi="Times New Roman"/>
          <w:b w:val="0"/>
          <w:i w:val="0"/>
          <w:sz w:val="24"/>
        </w:rPr>
        <w:t>Один из инструментов реализации сценария 3 — управление покрытием через стимулы. Цель формулируется через три эффекта: для клиента — повышение доступности самоката в нужной точке и улучшение клиентского опыта; для парка — рост утилизации уже размещённого без капитальных вложений; для оператора — снижение операционных издержек на перемещение парка. Ключевая цифра экономики: одна операция физического перемещения парка стоит 120 рублей по данным эксперта МТС, средневзвешенная стоимость стимула — 26 рублей 50 копеек. В 4,5 раза дешевле. Механика — три типа стимулов: пользователю в точке высадки, в точке посадки и оплачиваемое микрозадание внешнему исполнителю. KPI пилота — четыре: прирост поездок в зонах, доля физической ребалансировки, стоимость стимула на предотвращённую потерю, отклик пользователей.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СТРОГО 1 МИНУТА. Не углубляться в механизмы. Если спросят детали — отвечать коротко, не разворачивать.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14 — ФИНМОДЕЛЬ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Сценарий S3 окупается за счёт перенастройки портфеля: +25 млн ₽ EBITDA год 1, NPV +134 млн при WACC 20 %</w:t>
      </w:r>
    </w:p>
    <w:p>
      <w:r>
        <w:rPr>
          <w:rFonts w:ascii="Times New Roman" w:hAnsi="Times New Roman"/>
          <w:b w:val="0"/>
          <w:i w:val="0"/>
          <w:sz w:val="24"/>
        </w:rPr>
        <w:t>Финансовая модель сценария 3 на пяти городах с базовой выручкой 4,17 миллиарда рублей даёт следующее. Затраты года 1 — около 48 миллионов рублей, в том числе capex всего 8 миллионов на IT-инфраструктуру. Эффекты — 73 миллиона EBITDA. Чистый эффект года 1 — плюс 25 миллионов рублей. Диапазон чувствительности от минус 14 до плюс 64. Год 2 при тиражировании проектного инструмента — плюс 80–100 миллионов. NPV проекта при ставке дисконтирования 20 процентов на трёхлетнем горизонте — плюс 134 миллиона рублей. Окупаемость — около восьми месяцев, то есть сезон одного пилота. ROI года 1 — 52 процента, года 2 — 243 процента. Главный драйвер модели — перераспределение режимов, снижение OpEx в тяжёлых рынках и пилот в Екатеринбурге.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~1:00. Цифры громко: 25 млн, 134 млн NPV, 8 мес. payback. Связать с управленческой проблемой.</w:t>
      </w:r>
    </w:p>
    <w:p>
      <w:pPr>
        <w:spacing w:before="200" w:after="20"/>
      </w:pPr>
      <w:r>
        <w:rPr>
          <w:rFonts w:ascii="Times New Roman" w:hAnsi="Times New Roman"/>
          <w:b/>
          <w:sz w:val="22"/>
        </w:rPr>
        <w:t>Слайд 15 — ПЛАН + РИСКИ</w:t>
      </w:r>
    </w:p>
    <w:p>
      <w:pPr>
        <w:spacing w:before="0" w:after="20"/>
      </w:pPr>
      <w:r>
        <w:rPr>
          <w:rFonts w:ascii="Times New Roman" w:hAnsi="Times New Roman"/>
          <w:b/>
          <w:sz w:val="24"/>
        </w:rPr>
        <w:t>Пилот в Екатеринбурге за 12 месяцев; 3 ключевых риска с готовыми компенсаторами</w:t>
      </w:r>
    </w:p>
    <w:p>
      <w:r>
        <w:rPr>
          <w:rFonts w:ascii="Times New Roman" w:hAnsi="Times New Roman"/>
          <w:b w:val="0"/>
          <w:i w:val="0"/>
          <w:sz w:val="24"/>
        </w:rPr>
        <w:t>Реализация — через пилот в Екатеринбурге на горизонте 12 месяцев. Пять этапов: диагностика, запуск стимулов пользователям, микрозадания исполнителям, калибровка, итоги. С года 2 — тиражирование на Санкт-Петербург, Краснодар, Новосибирск. Три ключевых риска. Первый — регуляторные шоки в одном-двух городах одновременно; компенсируется встроенными правилами перехода между режимами. Второй — ошибка диагностики режима города; компенсируется ежесезонным пересмотром по KPI: выручка на самокат, доля поездок, стоимость покрытия. Третий — кадровая нагрузка координации; компенсируется поэтапным внедрением и выделенной функцией портфельного управления. Остальные риски — в приложении к ВКР.</w:t>
      </w:r>
    </w:p>
    <w:p>
      <w:r>
        <w:rPr>
          <w:rFonts w:ascii="Times New Roman" w:hAnsi="Times New Roman"/>
          <w:b w:val="0"/>
          <w:i/>
          <w:sz w:val="24"/>
        </w:rPr>
        <w:t>ТАЙМИНГ И ЗАМЕТКА: ~1:00. Не перечислять все риски — только 3 ключевых с компенсаторами.</w:t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Слайд 16 — ВЫВОД (финальная фраза)  — выучить наизусть</w:t>
      </w:r>
    </w:p>
    <w:p>
      <w:r>
        <w:rPr>
          <w:rFonts w:ascii="Times New Roman" w:hAnsi="Times New Roman"/>
          <w:b w:val="0"/>
          <w:i w:val="0"/>
          <w:sz w:val="24"/>
        </w:rPr>
        <w:t>«Подведу итог. В начале защиты я сформулировал управленческую проблему МТС Юрент: экстенсивная модель роста через расширение парка и географии теряет эффективность на зрелом и неоднородном рынке. Это выражалось в стагнации спроса, обвале маржи лидера и четырёхкратном разрыве утилизации по городам.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В рамках работы проведена диагностика, сопоставлены три сценария по пяти критериям, обоснован выбор стратегии дифференцированного управления портфелем регионов, предложен инструмент управления покрытием через стимулы и построена финансовая модель.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Разработанная система позволяет МТС Юрент получить эффект плюс 25 миллионов рублей EBITDA в первый год и плюс 80–100 миллионов во второй год при тиражировании, с NPV плюс 134 миллиона при ставке 20 процентов и окупаемостью около восьми месяцев — что напрямую отвечает на исходную управленческую проблему и переводит её из источника риска в управляемое решение.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Спасибо за внимание, готов к вопросам».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ТАЙМИНГ: ~50 сек.</w:t>
      </w:r>
    </w:p>
    <w:p>
      <w:pPr>
        <w:spacing w:before="280" w:after="80"/>
      </w:pPr>
      <w:r>
        <w:rPr>
          <w:rFonts w:ascii="Times New Roman" w:hAnsi="Times New Roman"/>
          <w:b/>
          <w:sz w:val="24"/>
        </w:rPr>
        <w:t>Хронометраж под 15 минут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1 (титул + проблема) + старт: </w:t>
      </w:r>
      <w:r>
        <w:rPr>
          <w:rFonts w:ascii="Times New Roman" w:hAnsi="Times New Roman"/>
          <w:b w:val="0"/>
          <w:sz w:val="22"/>
        </w:rPr>
        <w:t>~1:30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2 (логика): </w:t>
      </w:r>
      <w:r>
        <w:rPr>
          <w:rFonts w:ascii="Times New Roman" w:hAnsi="Times New Roman"/>
          <w:b w:val="0"/>
          <w:sz w:val="22"/>
        </w:rPr>
        <w:t>~0:30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3 (методы): </w:t>
      </w:r>
      <w:r>
        <w:rPr>
          <w:rFonts w:ascii="Times New Roman" w:hAnsi="Times New Roman"/>
          <w:b w:val="0"/>
          <w:sz w:val="22"/>
        </w:rPr>
        <w:t>~0:45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4 (рынок): </w:t>
      </w:r>
      <w:r>
        <w:rPr>
          <w:rFonts w:ascii="Times New Roman" w:hAnsi="Times New Roman"/>
          <w:b w:val="0"/>
          <w:sz w:val="22"/>
        </w:rPr>
        <w:t>~1:00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5 (PESTEL): </w:t>
      </w:r>
      <w:r>
        <w:rPr>
          <w:rFonts w:ascii="Times New Roman" w:hAnsi="Times New Roman"/>
          <w:b w:val="0"/>
          <w:sz w:val="22"/>
        </w:rPr>
        <w:t>~0:45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6 (конкуренция): </w:t>
      </w:r>
      <w:r>
        <w:rPr>
          <w:rFonts w:ascii="Times New Roman" w:hAnsi="Times New Roman"/>
          <w:b w:val="0"/>
          <w:sz w:val="22"/>
        </w:rPr>
        <w:t>~1:00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7 (портфель): </w:t>
      </w:r>
      <w:r>
        <w:rPr>
          <w:rFonts w:ascii="Times New Roman" w:hAnsi="Times New Roman"/>
          <w:b w:val="0"/>
          <w:sz w:val="22"/>
        </w:rPr>
        <w:t>~0:50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8 (внутр. среда): </w:t>
      </w:r>
      <w:r>
        <w:rPr>
          <w:rFonts w:ascii="Times New Roman" w:hAnsi="Times New Roman"/>
          <w:b w:val="0"/>
          <w:sz w:val="22"/>
        </w:rPr>
        <w:t>~1:00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9 (диагноз): </w:t>
      </w:r>
      <w:r>
        <w:rPr>
          <w:rFonts w:ascii="Times New Roman" w:hAnsi="Times New Roman"/>
          <w:b w:val="0"/>
          <w:sz w:val="22"/>
        </w:rPr>
        <w:t>~0:50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10 (рамка): </w:t>
      </w:r>
      <w:r>
        <w:rPr>
          <w:rFonts w:ascii="Times New Roman" w:hAnsi="Times New Roman"/>
          <w:b w:val="0"/>
          <w:sz w:val="22"/>
        </w:rPr>
        <w:t>~0:50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11 (альтернативы): </w:t>
      </w:r>
      <w:r>
        <w:rPr>
          <w:rFonts w:ascii="Times New Roman" w:hAnsi="Times New Roman"/>
          <w:b w:val="0"/>
          <w:sz w:val="22"/>
        </w:rPr>
        <w:t>~1:00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12 (стратегия): </w:t>
      </w:r>
      <w:r>
        <w:rPr>
          <w:rFonts w:ascii="Times New Roman" w:hAnsi="Times New Roman"/>
          <w:b w:val="0"/>
          <w:sz w:val="22"/>
        </w:rPr>
        <w:t>~1:00</w:t>
      </w:r>
    </w:p>
    <w:p>
      <w:pPr>
        <w:spacing w:after="20"/>
      </w:pPr>
      <w:r>
        <w:rPr>
          <w:rFonts w:ascii="Times New Roman" w:hAnsi="Times New Roman"/>
          <w:b/>
          <w:sz w:val="22"/>
        </w:rPr>
        <w:t xml:space="preserve">Слайд 13 (инструмент УПС) ⚠: </w:t>
      </w:r>
      <w:r>
        <w:rPr>
          <w:rFonts w:ascii="Times New Roman" w:hAnsi="Times New Roman"/>
          <w:b w:val="0"/>
          <w:sz w:val="22"/>
        </w:rPr>
        <w:t>~1:00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14 (финмодель): </w:t>
      </w:r>
      <w:r>
        <w:rPr>
          <w:rFonts w:ascii="Times New Roman" w:hAnsi="Times New Roman"/>
          <w:b w:val="0"/>
          <w:sz w:val="22"/>
        </w:rPr>
        <w:t>~1:00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15 (план + риски): </w:t>
      </w:r>
      <w:r>
        <w:rPr>
          <w:rFonts w:ascii="Times New Roman" w:hAnsi="Times New Roman"/>
          <w:b w:val="0"/>
          <w:sz w:val="22"/>
        </w:rPr>
        <w:t>~1:00</w:t>
      </w:r>
    </w:p>
    <w:p>
      <w:pPr>
        <w:spacing w:after="20"/>
      </w:pPr>
      <w:r>
        <w:rPr>
          <w:rFonts w:ascii="Times New Roman" w:hAnsi="Times New Roman"/>
          <w:b w:val="0"/>
          <w:sz w:val="22"/>
        </w:rPr>
        <w:t xml:space="preserve">Слайд 16 (вывод) + финальная фраза: </w:t>
      </w:r>
      <w:r>
        <w:rPr>
          <w:rFonts w:ascii="Times New Roman" w:hAnsi="Times New Roman"/>
          <w:b w:val="0"/>
          <w:sz w:val="22"/>
        </w:rPr>
        <w:t>~0:50</w:t>
      </w:r>
    </w:p>
    <w:p>
      <w:pPr>
        <w:spacing w:after="20"/>
      </w:pPr>
      <w:r>
        <w:rPr>
          <w:rFonts w:ascii="Times New Roman" w:hAnsi="Times New Roman"/>
          <w:b/>
          <w:sz w:val="22"/>
        </w:rPr>
        <w:t xml:space="preserve">ИТОГО: </w:t>
      </w:r>
      <w:r>
        <w:rPr>
          <w:rFonts w:ascii="Times New Roman" w:hAnsi="Times New Roman"/>
          <w:b/>
          <w:sz w:val="22"/>
        </w:rPr>
        <w:t>~15:00</w:t>
      </w:r>
    </w:p>
    <w:p>
      <w:pPr>
        <w:spacing w:before="280" w:after="80"/>
      </w:pPr>
      <w:r>
        <w:rPr>
          <w:rFonts w:ascii="Times New Roman" w:hAnsi="Times New Roman"/>
          <w:b/>
          <w:sz w:val="24"/>
        </w:rPr>
        <w:t>Опасные зоны — где в репетиции «уехал»</w:t>
      </w:r>
    </w:p>
    <w:p>
      <w:r>
        <w:rPr>
          <w:rFonts w:ascii="Times New Roman" w:hAnsi="Times New Roman"/>
          <w:b w:val="0"/>
          <w:i w:val="0"/>
          <w:sz w:val="24"/>
        </w:rPr>
        <w:t>1.  Слайд 13 (УПС) — в репетиции потратил 7 минут из 27. На защите СТРОГО 1 минута. Если жмёт по тайму — режу до 45 сек, оставляю только три цели (клиент/парк/оператор) + цифру 120 vs 26,5 ₽.</w:t>
      </w:r>
    </w:p>
    <w:p>
      <w:r>
        <w:rPr>
          <w:rFonts w:ascii="Times New Roman" w:hAnsi="Times New Roman"/>
          <w:b w:val="0"/>
          <w:i w:val="0"/>
          <w:sz w:val="24"/>
        </w:rPr>
        <w:t>2.  Слайды 1–3 в репетиции шли долго. Сокращать: на титульном — только стартовая фраза, без импровизации; на «логике» — структуру, не пять этапов отдельно; на «методах» — перечислить методы и источники, без раскрытия.</w:t>
      </w:r>
    </w:p>
    <w:p>
      <w:r>
        <w:rPr>
          <w:rFonts w:ascii="Times New Roman" w:hAnsi="Times New Roman"/>
          <w:b w:val="0"/>
          <w:i w:val="0"/>
          <w:sz w:val="24"/>
        </w:rPr>
        <w:t>3.  В репетиции — «мы решили», «нам поняли». На защите — только «анализ показал», «сделан вывод», точечно «я сделал». Натренировать заранее.</w:t>
      </w:r>
    </w:p>
    <w:p>
      <w:r>
        <w:rPr>
          <w:rFonts w:ascii="Times New Roman" w:hAnsi="Times New Roman"/>
          <w:b w:val="0"/>
          <w:i w:val="0"/>
          <w:sz w:val="24"/>
        </w:rPr>
        <w:t>4.  В репетиции упоминал научного руководителя на старте. На защите — нет, только имя + тема.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