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sz w:val="28"/>
        </w:rPr>
        <w:t>Текст выступления на защите ВКР</w:t>
      </w:r>
    </w:p>
    <w:p>
      <w:pPr>
        <w:spacing w:before="40" w:after="40"/>
        <w:jc w:val="center"/>
      </w:pPr>
      <w:r>
        <w:rPr>
          <w:rFonts w:ascii="Times New Roman" w:hAnsi="Times New Roman"/>
          <w:b w:val="0"/>
          <w:sz w:val="24"/>
        </w:rPr>
        <w:t>Камашев П. «Конкурентная стратегия МТС Юрент на региональных рынках кикшеринга в России»</w:t>
      </w:r>
    </w:p>
    <w:p>
      <w:pPr>
        <w:jc w:val="center"/>
      </w:pPr>
      <w:r>
        <w:rPr>
          <w:rFonts w:ascii="Times New Roman" w:hAnsi="Times New Roman"/>
          <w:i/>
          <w:sz w:val="22"/>
        </w:rPr>
        <w:t>Регламент: 15 минут. 16 слайдов + 5 backup. Сверстано под v5 презентации.</w:t>
      </w:r>
    </w:p>
    <w:p>
      <w:r>
        <w:rPr>
          <w:rFonts w:ascii="Times New Roman" w:hAnsi="Times New Roman"/>
          <w:i w:val="0"/>
          <w:sz w:val="24"/>
        </w:rPr>
      </w:r>
    </w:p>
    <w:p>
      <w:pPr>
        <w:spacing w:before="160" w:after="40"/>
      </w:pPr>
      <w:r>
        <w:rPr>
          <w:rFonts w:ascii="Times New Roman" w:hAnsi="Times New Roman"/>
          <w:b/>
          <w:sz w:val="24"/>
        </w:rPr>
        <w:t>Стартовая фраза (Слайд 1 — Титул)</w:t>
      </w:r>
    </w:p>
    <w:p>
      <w:r>
        <w:rPr>
          <w:rFonts w:ascii="Times New Roman" w:hAnsi="Times New Roman"/>
          <w:i w:val="0"/>
          <w:sz w:val="24"/>
        </w:rPr>
        <w:t>«Добрый день, уважаемые члены государственной экзаменационной комиссии. Меня зовут Пётр Камашев, представляю выпускную квалификационную работу на тему «Конкурентная стратегия МТС Юрент на региональных рынках кикшеринга в России». Научный руководитель — профессор Иван Александрович Егоров».</w:t>
      </w:r>
    </w:p>
    <w:p>
      <w:r>
        <w:rPr>
          <w:rFonts w:ascii="Times New Roman" w:hAnsi="Times New Roman"/>
          <w:i w:val="0"/>
          <w:sz w:val="24"/>
        </w:rPr>
      </w:r>
    </w:p>
    <w:p>
      <w:r>
        <w:rPr>
          <w:rFonts w:ascii="Times New Roman" w:hAnsi="Times New Roman"/>
          <w:i w:val="0"/>
          <w:sz w:val="24"/>
        </w:rPr>
        <w:t>«Центральный вопрос работы — как МТС Юренту перейти от роста через расширение парка к управлению отдачей уже сформированного регионального портфеля. Объектом является МТС Юрент как федеральный оператор кикшеринга, предметом — конкурентная стратегия на портфеле региональных рынков. Управленческая проблема в том, что экстенсивная модель роста через расширение парка и географии теряет эффективность на зрелом и неоднородном рынке. На рынке три фактора это подсвечивают: рынок зрелее — спрос в 2025 году впервые сжался на 6 %; парк ограничен — fleet cap и регуляторика делают каждый новый самокат дороже; города разные — утилизация между ними различается в 4 раза. Работа выстроена как цепочка из пяти шагов: диагноз города, выбор режима, рычаги в сезоне, KPI и эффект».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2 — ЛОГИКА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Цель ВКР — разработать систему стратегического выбора для портфеля региональных рынков</w:t>
      </w:r>
    </w:p>
    <w:p>
      <w:r>
        <w:rPr>
          <w:rFonts w:ascii="Times New Roman" w:hAnsi="Times New Roman"/>
          <w:i w:val="0"/>
          <w:sz w:val="24"/>
        </w:rPr>
        <w:t>Цель работы — разработать аналитическую систему стратегического выбора оператора кикшеринга в портфеле региональных рынков и применить её к МТС Юрент. Логика работы строится по пяти шагам: проблема и рынок, диагностика Юрента, выбор сценария, режимы и УПС, эффект и риски. Выход работы — сценарий S3, система режимов R1–R3, проектный инструмент УПС, финансовая модель на пяти городах и KPI пилота.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3 — МЕТОДЫ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Выводы основаны на публичной аналитике, внутренних данных оператора и сценарной финмодели</w:t>
      </w:r>
    </w:p>
    <w:p>
      <w:r>
        <w:rPr>
          <w:rFonts w:ascii="Times New Roman" w:hAnsi="Times New Roman"/>
          <w:i w:val="0"/>
          <w:sz w:val="24"/>
        </w:rPr>
        <w:t>Доказательная база сочетает четыре блока. Диагностика рынка — TrueSharing 2023–2025, отчётность Whoosh и МТС, деловая пресса. Внутренняя база — поквартальные данные МТС Юрент по 86 субъектам РФ за 2024 и 9 месяцев 2025 года, предоставленные руководителем M&amp;A МТС. Экспертиза — два информанта, эксперт А. из M&amp;A МТС и эксперт Б., научный руководитель, для калибровки логики. Методы — PESTEL, конкурентный анализ, трёхуровневая иерархия факторов, критериальное сравнение сценариев, финансовая модель. Демонстрационный портфель из 5 городов покрывает 94 % выручки оператора в России. ИИ использовался как вспомогательный инструмент для обработки источников и редактуры; стратегические решения, выбор сценария и параметры финмодели — авторские; декларация в Приложении А ВКР.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4 — РЫНОК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Российский рынок перешёл от роста парка к борьбе за эффективность</w:t>
      </w:r>
    </w:p>
    <w:p>
      <w:r>
        <w:rPr>
          <w:rFonts w:ascii="Times New Roman" w:hAnsi="Times New Roman"/>
          <w:i w:val="0"/>
          <w:sz w:val="24"/>
        </w:rPr>
        <w:t>На объект одновременно воздействуют четыре фактора внешней среды. Первое — рынок: в 2024 году 31,1 миллиарда рублей и 281,6 миллиона поездок, 96,8 % у топ-3, а в 2025 впервые отрицательная динамика — минус 6 % поездок. У Whoosh минус 7 % поездок, минус 13 % выручки, EBITDA-маржа кикшеринга упала с 42,3 % до 28,6 %. Второе — капитал: ключевая ставка ЦБ 21 % при сроке службы парка 2–3 сезона делает экстенсивный рост дороже. Третье — регуляторика расходится по городам: верификация через mos.ru в Москве, соглашения в Санкт-Петербурге, угрозы расторжения в Екатеринбурге. Четвёртое — сезон 2025 начался не в марте, а в июне. Совокупный эффект: на зрелой стадии конкурентный результат зависит от отдачи уже размещённого парка, а не от его прироста.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5 — ПОРТФЕЛЬ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Внутри портфеля Юрента 5 городов расходятся в 4× по утилизации</w:t>
      </w:r>
    </w:p>
    <w:p>
      <w:r>
        <w:rPr>
          <w:rFonts w:ascii="Times New Roman" w:hAnsi="Times New Roman"/>
          <w:i w:val="0"/>
          <w:sz w:val="24"/>
        </w:rPr>
        <w:t>Даже на пяти городах демонстрационного портфеля параметры расходятся в разные стороны. Утилизация — почти четырёхкратный разрыв: Москва 1 073 поездки на самокат в год, Новосибирск 277. Динамика год к году за 9 месяцев 2025 — от минус 10 % в Краснодаре до плюс 129 % в Новосибирске. Регуляторика — от жёсткой в Москве до умеренной в трёх других. Позиция МТС Юрент во всех пяти — преследователь. Из этой неоднородности вытекает невозможность единого режима по портфелю и предварительные гипотезы режимов: Москва — R3 в ограниченной форме, СПб — R2 с переходом к R3, Екатеринбург — R2 с пилотом УПС, Краснодар — R2 или R3, Новосибирск — R2 или R3 с приоритетом эффективности. Это рамка, которую я разворачиваю на следующих слайдах.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6 — КОНКУРЕНЦИЯ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КФУ на зрелой стадии — доступность покрытия; у МТС Юрент гэп 49 vs 67 тыс. ₽ с лидером</w:t>
      </w:r>
    </w:p>
    <w:p>
      <w:r>
        <w:rPr>
          <w:rFonts w:ascii="Times New Roman" w:hAnsi="Times New Roman"/>
          <w:i w:val="0"/>
          <w:sz w:val="24"/>
        </w:rPr>
        <w:t>Конкурентный анализ показал олигополию трёх операторов: Whoosh опирается на масштаб парка и вертикальную интеграцию, МТС Юрент — на экосистему МТС и платформу Eleven, Яндекс — на трафик суперприложения. У МТС Юрент системный гэп: 49 тысяч рублей выручки на самокат в год против 67 тысяч у Whoosh. Принципиально важно: гэп возникает не из-за меньшего парка, а из-за более низкой эффективности уже размещённого парка. Ключевые факторы успеха на зрелой стадии три: фактическая доступность самоката в нужной точке и в нужное время, экономика на единицу парка, операционная исполнимость. Из них первый — доступность покрытия — критический. К нему привязан проектный инструмент УПС, о нём — на Слайде 12.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7 — ВНУТРИ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Внутри сильная экосистема МТС и Eleven, но централизованная управленческая логика для 187 локаций</w:t>
      </w:r>
    </w:p>
    <w:p>
      <w:r>
        <w:rPr>
          <w:rFonts w:ascii="Times New Roman" w:hAnsi="Times New Roman"/>
          <w:i w:val="0"/>
          <w:sz w:val="24"/>
        </w:rPr>
        <w:t>Внутренний анализ показал сильные и слабые стороны компании. Сильные: встроенность в экосистему МТС с 80 миллионами абонентов, MTS ID, Premium, обезличенная геоаналитика; технологическая платформа после приобретения Eleven; 120 тысяч СИМ в 187 локациях; гибкость пилотирования. Слабые: централизованная управленческая логика, нет процедуры назначения режимов городам, ограниченная локальная экспертиза, систематическое отставание по утилизации и выручке на самокат. В терминах динамических способностей: операционный блок развит, способность перестраивать ресурсы под изменения рынка — в начальной зрелости. Проблема не в отсутствии ресурсов, а в том, что текущая модель не превращает их в региональный результат.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8 — ДИАГНОЗ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Портфель стал неоднородным быстрее, чем управленческая модель оператора</w:t>
      </w:r>
    </w:p>
    <w:p>
      <w:r>
        <w:rPr>
          <w:rFonts w:ascii="Times New Roman" w:hAnsi="Times New Roman"/>
          <w:i w:val="0"/>
          <w:sz w:val="24"/>
        </w:rPr>
        <w:t>Сводный стратегический диагноз формулируется так. Федеральный масштаб и зрелый рынок — это исходная ситуация. Разные города по спросу, регуляторике, сезонности, конкуренции — фактический разрыв. Единая логика управления теряет точность — последствие. Нужна система «город → режим → KPI» — требуемый ответ. Причины разрыва: стагнация совокупного спроса, регуляторная фрагментация, разная утилизация парка по городам. Если ничего не менять — ошибки в масштабе присутствия, избыточный OpEx в тяжёлых рынках, недоиспользование роста в R2-городах. Ответ работы — портфельная стратегия с разными режимами и общим контуром контроля плюс дорожная карта пилота УПС.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9 — РАМКА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Рамка I-II-III переводит различия городов в параметры стратегического выбора</w:t>
      </w:r>
    </w:p>
    <w:p>
      <w:r>
        <w:rPr>
          <w:rFonts w:ascii="Times New Roman" w:hAnsi="Times New Roman"/>
          <w:i w:val="0"/>
          <w:sz w:val="24"/>
        </w:rPr>
        <w:t>Главный методический результат работы — две конструкции. Слева — трёхуровневая иерархия факторов различения. Уровень I, структурная конфигурация: ёмкость, регуляторика, конкуренция, положение МТС Юрент на рынке — задаёт выбор режима R1, R2 или R3. Уровень II, операционная исполнимость: сезонность, плотность спроса, стоимость покрытия — проверяет осуществимость режима в сезоне. Уровень III, тактические рычаги: цены, промо, партнёрства, переразмещение парка, УПС — это рычаги внутри уже выбранного режима. Справа — пять критериев оценки сценариев, выведенных из теории: ресурсная защитимость, согласованность с динамическими способностями, операционная исполнимость, финансовый эффект, профиль риска. I и II дают диагноз города, III показывает доступные рычаги управления.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10 — АЛЬТЕРНАТИВЫ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Из трёх альтернатив оптимальна диверсификация режимов по портфелю — S3</w:t>
      </w:r>
    </w:p>
    <w:p>
      <w:r>
        <w:rPr>
          <w:rFonts w:ascii="Times New Roman" w:hAnsi="Times New Roman"/>
          <w:i w:val="0"/>
          <w:sz w:val="24"/>
        </w:rPr>
        <w:t>На основе диагноза рассмотрены три альтернативы. S1 — сохранение текущей единой логики; S2 — единый режим удержания с операционной адаптацией; S3 — диверсификация режимов по сценарно-однородным группам рынков. Сравнение по пяти критериям. По ресурсной защитимости S3 лучший: ресурсы МТС работают там, где дают эффект. По динамическим способностям — лучший: воспроизводимое различение рынков. По операционной исполнимости S3 проигрывает — нужны компенсаторы. По финансовому эффекту S3 лучший при пилоте и контроле OpEx. По профилю риска — распределён, но требует координации. Итог: S3 решает исходный разрыв при управляемых рисках. Уступает только по критерию 3 — адресовано компенсаторами на Слайде 15.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11 — СТРАТЕГИЯ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S3 — управление портфелем режимов, назначенных конкретным городам, с пересмотром каждый сезон</w:t>
      </w:r>
    </w:p>
    <w:p>
      <w:r>
        <w:rPr>
          <w:rFonts w:ascii="Times New Roman" w:hAnsi="Times New Roman"/>
          <w:i w:val="0"/>
          <w:sz w:val="24"/>
        </w:rPr>
        <w:t>Содержательное наполнение S3 — три режима. R1 «Плацдарм» — закрепление: минимальная плотность парка, операционные стандарты, контакты с городом, ограниченное промо. KPI: покрытие ключевых зон, базовая утилизация, отсутствие конфликтов. R2 «Атака» — рост доли: расширение и переразмещение парка, плотность ключевых зон, клиентская и ценовая работа, УПС. KPI: поездки, доля относительно лидера, активная аудитория, выручка на самокат. R3 «Удержание» — защита экономики: дисциплина расстановки, снижение издержек обслуживания, защита микролокаций, удержание пользователей. KPI: доля поездок, выручка на самокат, ребалансировка, EBITDA-маржа. Назначение по 5 городам: Москва — R3 ограниченное, СПб — R2 с переходом к R3, Екатеринбург — R2 с пилотом УПС, Краснодар — R2/R3 по сезону, Новосибирск — R2/R3 с приоритетом эффективности. S3 — не статическая кластеризация, а воспроизводимая процедура с пересмотром каждый сезон.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12 — ИНСТРУМЕНТ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УПС превращает локальный дефицит доступности в управляемое действие, в 4,5× дешевле ребалансировки</w:t>
      </w:r>
    </w:p>
    <w:p>
      <w:r>
        <w:rPr>
          <w:rFonts w:ascii="Times New Roman" w:hAnsi="Times New Roman"/>
          <w:i w:val="0"/>
          <w:sz w:val="24"/>
        </w:rPr>
        <w:t>Проектным выходом работы стал инструмент «Управление покрытием через стимулы», УПС. Он адресует ключевой фактор успеха со Слайда 6 — фактическую доступность самоката. Логика — четырёхшаговая: сигнал дефицита, отбор точки и временного окна, выбор стимула, доступность восстановлена. На третьем шаге работают три механизма. М1 — стимул на стороне точки высадки: бонус за завершение поездки в зоне дефицита. М2 — стимул на стороне точки посадки: стимул взять самокат из зоны переизбытка. М3 — оплачиваемое микрозадание внешнему исполнителю. Ключевая цифра: средневзвешенная стоимость стимула 26,5 рубля за операцию против 120 рублей физической ребалансировки по данным эксперта МТС — в 4,5 раза дешевле. В пилоте Екатеринбурга денежный эффект сезона около 11,7 миллиона рублей, EBITDA-вклад около 6 миллионов. УПС применяется в режимах R2 и R3, не отменяя физическую ребалансировку полностью.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13 — ФИНМОДЕЛЬ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S3 окупается за счёт перенастройки уже существующего портфеля: +25 млн EBITDA год 1, NPV +134 млн при WACC 20 %</w:t>
      </w:r>
    </w:p>
    <w:p>
      <w:r>
        <w:rPr>
          <w:rFonts w:ascii="Times New Roman" w:hAnsi="Times New Roman"/>
          <w:i w:val="0"/>
          <w:sz w:val="24"/>
        </w:rPr>
        <w:t>Финансовая модель сценария S3 на пяти городах с базовой выручкой 4,17 миллиарда рублей даёт следующие результаты. Затраты года 1: управление, маркетинг, УПС, накладные — 48 миллионов рублей. Эффекты: R2-прирост выручки в Санкт-Петербурге, Екатеринбурге, Краснодаре, Новосибирске — плюс 12 миллионов EBITDA. УПС-пилот в Екатеринбурге — плюс 6. R3-Москва, оптимизация OpEx минус 2 % от выручки — плюс 52. R1/R2 малые города, экономия капвложений — плюс 3. Итого эффектов 73 миллиона. Чистый эффект года 1 — плюс 25 миллионов рублей. Чувствительность от минус 14 до плюс 64. Год 2 при тиражировании УПС — плюс 80–100 миллионов. NPV при ставке дисконтирования 20 % на трёхлетнем горизонте — плюс 134 миллиона. Payback около 8 месяцев, то есть один пилотный сезон. ROI года 1 — 52 %, года 2 — 243 %. Главный драйвер модели — перераспределение режимов, снижение OpEx в тяжёлых рынках и пилот УПС там, где есть локальный дефицит.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14 — ПЛАН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S3 запускается через пилот в Екатеринбурге, не через одномоментную перестройку</w:t>
      </w:r>
    </w:p>
    <w:p>
      <w:r>
        <w:rPr>
          <w:rFonts w:ascii="Times New Roman" w:hAnsi="Times New Roman"/>
          <w:i w:val="0"/>
          <w:sz w:val="24"/>
        </w:rPr>
        <w:t>Дорожная карта пилота УПС на 12 месяцев включает пять этапов. Месяц 1 — диагностика: фиксация чувствительных микролокаций и базовых значений KPI. Месяц 2 — запуск механизмов М1 и М2, стимулов для пользователей. Месяц 3 — подключение М3, микрозаданий внешним исполнителям. Месяц 4 — калибровка параметров стимулов, расширение зоны. Месяц 5 — итоги пилота и решение о тиражировании. После пилота с года 2 — тиражирование на Санкт-Петербург, Краснодар и Новосибирск, это R2-кластер, с пересмотром режима по фактическим KPI каждый сезон. Четыре KPI пилота: прирост поездок в зонах, снижение доли физической ребалансировки, стоимость стимула на предотвращённую потерю, отклик пользователей.</w:t>
      </w:r>
    </w:p>
    <w:p>
      <w:pPr>
        <w:spacing w:before="200" w:after="20"/>
      </w:pPr>
      <w:r>
        <w:rPr>
          <w:rFonts w:ascii="Times New Roman" w:hAnsi="Times New Roman"/>
          <w:b/>
          <w:sz w:val="24"/>
        </w:rPr>
        <w:t>Слайд 15 — РИСКИ</w:t>
      </w:r>
    </w:p>
    <w:p>
      <w:pPr>
        <w:spacing w:before="0" w:after="20"/>
      </w:pPr>
      <w:r>
        <w:rPr>
          <w:rFonts w:ascii="Times New Roman" w:hAnsi="Times New Roman"/>
          <w:b/>
          <w:sz w:val="24"/>
        </w:rPr>
        <w:t>S3 управляем при наличии отдельного портфельного контура и регулярного пересмотра режимов по KPI</w:t>
      </w:r>
    </w:p>
    <w:p>
      <w:r>
        <w:rPr>
          <w:rFonts w:ascii="Times New Roman" w:hAnsi="Times New Roman"/>
          <w:i w:val="0"/>
          <w:sz w:val="24"/>
        </w:rPr>
        <w:t>Шесть управленческих рисков с компенсаторами. Рассинхронизация режимов между городами снимается функцией портфельного управления и ежемесячной сверкой «город → режим». Потеря единого пользовательского опыта — единым продуктовым слоем при разной операционной модели. Кадровая нагрузка координации — поэтапным запуском с пяти городов на расширенный портфель. Регуляторные шоки — правилами перехода между режимами. Ошибка диагностики рынка — регулярным пересмотром режима по KPI. Универсализация УПС — фиксацией условий применимости только в R2 и R3. Главное: S3 не требует одномоментной перестройки всей компании. Запускается через пилот и расширяется при подтверждении экономики. Распределённый профиль риска даётся ценой повышенных требований к координации — управленческий компенсатор обязателен, а не опционален.</w:t>
      </w:r>
    </w:p>
    <w:p>
      <w:pPr>
        <w:spacing w:before="240" w:after="40"/>
      </w:pPr>
      <w:r>
        <w:rPr>
          <w:rFonts w:ascii="Times New Roman" w:hAnsi="Times New Roman"/>
          <w:b/>
          <w:sz w:val="24"/>
        </w:rPr>
        <w:t>Слайд 16 — ВЫВОД (финальная фраза)</w:t>
      </w:r>
    </w:p>
    <w:p>
      <w:r>
        <w:rPr>
          <w:rFonts w:ascii="Times New Roman" w:hAnsi="Times New Roman"/>
          <w:i w:val="0"/>
          <w:sz w:val="24"/>
        </w:rPr>
        <w:t>«Если кратко подвести итог работы. Управленческая проблема МТС Юрент состояла в том, что для портфеля из 187 локаций нет формализованной процедуры выбора режима присутствия. Диагностика показала, что причина — в исчерпании источника новой ценности от единой логики расширения. Сопоставлены три сценария по пяти критериям — обоснован выбор стратегии диверсификации режимов S3. В её рамках предложен проектный инструмент «Управление покрытием через стимулы», УПС, в 4,5 раза дешевле физической ребалансировки. Выполнена оценка эффекта: финмодель даёт +25 миллионов рублей EBITDA в год 1, +80–100 миллионов в год 2 при тиражировании УПС, NPV +134 миллиона при WACC 20 %, окупаемость около восьми месяцев. Главный практический вклад — рабочий инструментарий для подготовки стратегических решений МТС Юрент: диагностический каркас «город → режим → KPI», система режимов R1–R3, проектный инструмент УПС и шаблон финансовой модели для расширения на остальные города присутствия. Спасибо за внимание, готов к вопросам».</w:t>
      </w:r>
    </w:p>
    <w:p>
      <w:pPr>
        <w:spacing w:before="280" w:after="80"/>
      </w:pPr>
      <w:r>
        <w:rPr>
          <w:rFonts w:ascii="Times New Roman" w:hAnsi="Times New Roman"/>
          <w:b/>
          <w:sz w:val="26"/>
        </w:rPr>
        <w:t>Хронометраж по слайдам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1 (титул + проблема): </w:t>
      </w:r>
      <w:r>
        <w:rPr>
          <w:rFonts w:ascii="Times New Roman" w:hAnsi="Times New Roman"/>
          <w:b w:val="0"/>
          <w:sz w:val="22"/>
        </w:rPr>
        <w:t>~1:45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2 (логика): </w:t>
      </w:r>
      <w:r>
        <w:rPr>
          <w:rFonts w:ascii="Times New Roman" w:hAnsi="Times New Roman"/>
          <w:b w:val="0"/>
          <w:sz w:val="22"/>
        </w:rPr>
        <w:t>~0:45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3 (методы): </w:t>
      </w:r>
      <w:r>
        <w:rPr>
          <w:rFonts w:ascii="Times New Roman" w:hAnsi="Times New Roman"/>
          <w:b w:val="0"/>
          <w:sz w:val="22"/>
        </w:rPr>
        <w:t>~0:55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4 (рынок): </w:t>
      </w:r>
      <w:r>
        <w:rPr>
          <w:rFonts w:ascii="Times New Roman" w:hAnsi="Times New Roman"/>
          <w:b w:val="0"/>
          <w:sz w:val="22"/>
        </w:rPr>
        <w:t>~1:05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5 (портфель): </w:t>
      </w:r>
      <w:r>
        <w:rPr>
          <w:rFonts w:ascii="Times New Roman" w:hAnsi="Times New Roman"/>
          <w:b w:val="0"/>
          <w:sz w:val="22"/>
        </w:rPr>
        <w:t>~1:00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6 (конкуренция): </w:t>
      </w:r>
      <w:r>
        <w:rPr>
          <w:rFonts w:ascii="Times New Roman" w:hAnsi="Times New Roman"/>
          <w:b w:val="0"/>
          <w:sz w:val="22"/>
        </w:rPr>
        <w:t>~1:00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7 (внутри): </w:t>
      </w:r>
      <w:r>
        <w:rPr>
          <w:rFonts w:ascii="Times New Roman" w:hAnsi="Times New Roman"/>
          <w:b w:val="0"/>
          <w:sz w:val="22"/>
        </w:rPr>
        <w:t>~1:00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8 (диагноз): </w:t>
      </w:r>
      <w:r>
        <w:rPr>
          <w:rFonts w:ascii="Times New Roman" w:hAnsi="Times New Roman"/>
          <w:b w:val="0"/>
          <w:sz w:val="22"/>
        </w:rPr>
        <w:t>~1:00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9 (рамка): </w:t>
      </w:r>
      <w:r>
        <w:rPr>
          <w:rFonts w:ascii="Times New Roman" w:hAnsi="Times New Roman"/>
          <w:b w:val="0"/>
          <w:sz w:val="22"/>
        </w:rPr>
        <w:t>~1:05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10 (альтернативы): </w:t>
      </w:r>
      <w:r>
        <w:rPr>
          <w:rFonts w:ascii="Times New Roman" w:hAnsi="Times New Roman"/>
          <w:b w:val="0"/>
          <w:sz w:val="22"/>
        </w:rPr>
        <w:t>~1:00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11 (стратегия): </w:t>
      </w:r>
      <w:r>
        <w:rPr>
          <w:rFonts w:ascii="Times New Roman" w:hAnsi="Times New Roman"/>
          <w:b w:val="0"/>
          <w:sz w:val="22"/>
        </w:rPr>
        <w:t>~1:15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12 (инструмент): </w:t>
      </w:r>
      <w:r>
        <w:rPr>
          <w:rFonts w:ascii="Times New Roman" w:hAnsi="Times New Roman"/>
          <w:b w:val="0"/>
          <w:sz w:val="22"/>
        </w:rPr>
        <w:t>~1:15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13 (финмодель): </w:t>
      </w:r>
      <w:r>
        <w:rPr>
          <w:rFonts w:ascii="Times New Roman" w:hAnsi="Times New Roman"/>
          <w:b w:val="0"/>
          <w:sz w:val="22"/>
        </w:rPr>
        <w:t>~1:15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14 (план): </w:t>
      </w:r>
      <w:r>
        <w:rPr>
          <w:rFonts w:ascii="Times New Roman" w:hAnsi="Times New Roman"/>
          <w:b w:val="0"/>
          <w:sz w:val="22"/>
        </w:rPr>
        <w:t>~0:45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15 (риски): </w:t>
      </w:r>
      <w:r>
        <w:rPr>
          <w:rFonts w:ascii="Times New Roman" w:hAnsi="Times New Roman"/>
          <w:b w:val="0"/>
          <w:sz w:val="22"/>
        </w:rPr>
        <w:t>~0:50</w:t>
      </w:r>
    </w:p>
    <w:p>
      <w:pPr>
        <w:spacing w:after="20"/>
      </w:pPr>
      <w:r>
        <w:rPr>
          <w:rFonts w:ascii="Times New Roman" w:hAnsi="Times New Roman"/>
          <w:b w:val="0"/>
          <w:sz w:val="22"/>
        </w:rPr>
        <w:t xml:space="preserve">Слайд 16 (вывод): </w:t>
      </w:r>
      <w:r>
        <w:rPr>
          <w:rFonts w:ascii="Times New Roman" w:hAnsi="Times New Roman"/>
          <w:b w:val="0"/>
          <w:sz w:val="22"/>
        </w:rPr>
        <w:t>~0:50</w:t>
      </w:r>
    </w:p>
    <w:p>
      <w:pPr>
        <w:spacing w:after="20"/>
      </w:pPr>
      <w:r>
        <w:rPr>
          <w:rFonts w:ascii="Times New Roman" w:hAnsi="Times New Roman"/>
          <w:b/>
          <w:sz w:val="22"/>
        </w:rPr>
        <w:t xml:space="preserve">ИТОГО: </w:t>
      </w:r>
      <w:r>
        <w:rPr>
          <w:rFonts w:ascii="Times New Roman" w:hAnsi="Times New Roman"/>
          <w:b/>
          <w:sz w:val="22"/>
        </w:rPr>
        <w:t>~15:00</w:t>
      </w:r>
    </w:p>
    <w:p>
      <w:pPr>
        <w:spacing w:before="280" w:after="80"/>
      </w:pPr>
      <w:r>
        <w:rPr>
          <w:rFonts w:ascii="Times New Roman" w:hAnsi="Times New Roman"/>
          <w:b/>
          <w:sz w:val="26"/>
        </w:rPr>
        <w:t>Подсказки по защите</w:t>
      </w:r>
    </w:p>
    <w:p>
      <w:r>
        <w:rPr>
          <w:rFonts w:ascii="Times New Roman" w:hAnsi="Times New Roman"/>
          <w:i w:val="0"/>
          <w:sz w:val="24"/>
        </w:rPr>
        <w:t>— Стартовая и финальная фразы — выучить наизусть.</w:t>
      </w:r>
    </w:p>
    <w:p>
      <w:r>
        <w:rPr>
          <w:rFonts w:ascii="Times New Roman" w:hAnsi="Times New Roman"/>
          <w:i w:val="0"/>
          <w:sz w:val="24"/>
        </w:rPr>
        <w:t>— Слайды 8, 10, 12, 13 — сердце доклада, на них не торопись.</w:t>
      </w:r>
    </w:p>
    <w:p>
      <w:r>
        <w:rPr>
          <w:rFonts w:ascii="Times New Roman" w:hAnsi="Times New Roman"/>
          <w:i w:val="0"/>
          <w:sz w:val="24"/>
        </w:rPr>
        <w:t>— Стиль речи: «анализ показал», «отчётность говорит», «ключевой разрыв заключается в».</w:t>
      </w:r>
    </w:p>
    <w:p>
      <w:r>
        <w:rPr>
          <w:rFonts w:ascii="Times New Roman" w:hAnsi="Times New Roman"/>
          <w:i w:val="0"/>
          <w:sz w:val="24"/>
        </w:rPr>
        <w:t>— Никакого «я подумал» и «мне кажется». Только стратегический язык.</w:t>
      </w:r>
    </w:p>
    <w:p>
      <w:r>
        <w:rPr>
          <w:rFonts w:ascii="Times New Roman" w:hAnsi="Times New Roman"/>
          <w:i w:val="0"/>
          <w:sz w:val="24"/>
        </w:rPr>
        <w:t>— ИИ упомянут на Слайде 3 — снимает у комиссии вопрос заранее.</w:t>
      </w:r>
    </w:p>
    <w:p>
      <w:r>
        <w:rPr>
          <w:rFonts w:ascii="Times New Roman" w:hAnsi="Times New Roman"/>
          <w:i w:val="0"/>
          <w:sz w:val="24"/>
        </w:rPr>
        <w:t>— Если жмёт по времени — режь Слайд 4 до 30 сек, Слайд 7 до 30 сек, освобождает минуту.</w:t>
      </w:r>
    </w:p>
    <w:p>
      <w:r>
        <w:rPr>
          <w:rFonts w:ascii="Times New Roman" w:hAnsi="Times New Roman"/>
          <w:i w:val="0"/>
          <w:sz w:val="24"/>
        </w:rPr>
        <w:t>— Зрительный контакт с 2–3 «доброжелательными» лицами в комиссии, не со слайдами.</w:t>
      </w:r>
    </w:p>
    <w:p>
      <w:r>
        <w:rPr>
          <w:rFonts w:ascii="Times New Roman" w:hAnsi="Times New Roman"/>
          <w:i w:val="0"/>
          <w:sz w:val="24"/>
        </w:rPr>
        <w:t>— Прорепетируй вслух с секундомером минимум 3 раза.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88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