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разработка аналитической системы стратегического выбора оператора кикшеринга в портфеле региональных рынков и применение её к МТС Юрент. Нужно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 обосновать выбор сценария и предложить проектный инструментарий для ключевых режимов в его составе с финансово-операционной оценкой направлений эффекта по демонстрационному портфелю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pStyle w:val="ListBullet"/>
        <w:spacing w:line="360" w:lineRule="auto"/>
        <w:ind w:firstLine="0" w:left="709"/>
      </w:pPr>
      <w:r>
        <w:t>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pStyle w:val="ListBullet"/>
        <w:spacing w:line="360" w:lineRule="auto"/>
        <w:ind w:firstLine="0" w:left="709"/>
      </w:pPr>
      <w:r>
        <w:t>вторичный анализ отраслевой аналитики (TrueSharing, деловая пресса, отчёты международных урбанистических ассоциаций NACTO и ITDP);</w:t>
      </w:r>
    </w:p>
    <w:p>
      <w:pPr>
        <w:pStyle w:val="ListBullet"/>
        <w:spacing w:line="360" w:lineRule="auto"/>
        <w:ind w:firstLine="0" w:left="709"/>
      </w:pPr>
      <w:r>
        <w:t>экспертные консультации с двумя информантами: экспертом А. (руководитель подразделения M&amp;A ПАО «МТС»; экспертная консультация); экспертом Б. (отраслевой эксперт с многолетним опытом топ-уровня в ПАО «МТС», в настоящее время</w:t>
      </w:r>
    </w:p>
    <w:p>
      <w:pPr>
        <w:pStyle w:val="ListBullet"/>
        <w:spacing w:line="360" w:lineRule="auto"/>
        <w:ind w:firstLine="0" w:left="709"/>
      </w:pPr>
      <w:r>
        <w:t>научный руководитель ВКР; ). Основные содержательные выводы работы строятся на публичных данных и на консультации с экспертом А.; эксперту Б. в эмпирической базе ВКР отведена калибровочная функция</w:t>
      </w:r>
    </w:p>
    <w:p>
      <w:pPr>
        <w:pStyle w:val="ListBullet"/>
        <w:spacing w:line="360" w:lineRule="auto"/>
        <w:ind w:firstLine="0" w:left="709"/>
      </w:pPr>
      <w:r>
        <w:t>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 Гид интервью и расшифровки в согласованной мере раскрытия приведены в Приложении Б.</w:t>
      </w:r>
    </w:p>
    <w:p>
      <w:pPr>
        <w:jc w:val="both"/>
      </w:pPr>
      <w:r>
        <w:t>На стадии сопоставления и выбора используются:</w:t>
      </w:r>
    </w:p>
    <w:p>
      <w:pPr>
        <w:pStyle w:val="ListBullet"/>
        <w:spacing w:line="360" w:lineRule="auto"/>
        <w:ind w:firstLine="0" w:left="709"/>
      </w:pPr>
      <w:r>
        <w:t>иерархическая декомпозиция факторов регионального различения (I, II и III уровни);</w:t>
      </w:r>
    </w:p>
    <w:p>
      <w:pPr>
        <w:pStyle w:val="ListBullet"/>
        <w:spacing w:line="360" w:lineRule="auto"/>
        <w:ind w:firstLine="0" w:left="709"/>
      </w:pPr>
      <w:r>
        <w:t>построение каркаса режимов через однородный набор полей описания (цель, условия применения, рычаги, KPI, ограничения);</w:t>
      </w:r>
    </w:p>
    <w:p>
      <w:pPr>
        <w:pStyle w:val="ListBullet"/>
        <w:spacing w:line="360" w:lineRule="auto"/>
        <w:ind w:firstLine="0" w:left="709"/>
      </w:pPr>
      <w:r>
        <w:t>критериальное сопоставление трёх альтернативных сценариев по пяти критериям, выводимым из теоретико-методологической основы работы;</w:t>
      </w:r>
    </w:p>
    <w:p>
      <w:pPr>
        <w:pStyle w:val="ListBullet"/>
        <w:spacing w:line="360" w:lineRule="auto"/>
        <w:ind w:firstLine="0" w:left="709"/>
      </w:pPr>
      <w:r>
        <w:t>сопоставление с международным опытом управления зрелыми платформенными рынками (Coenegrachts et al., 2024; Riggs et al., 2025; Shah et al., 2022).</w:t>
      </w:r>
    </w:p>
    <w:p>
      <w:pPr>
        <w:jc w:val="both"/>
      </w:pPr>
      <w:r>
        <w:t>На стадии проектного наполнения и оценки эффекта используются:</w:t>
      </w:r>
    </w:p>
    <w:p>
      <w:pPr>
        <w:pStyle w:val="ListBullet"/>
        <w:spacing w:line="360" w:lineRule="auto"/>
        <w:ind w:firstLine="0" w:left="709"/>
      </w:pPr>
      <w:r>
        <w:t>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pStyle w:val="ListBullet"/>
        <w:spacing w:line="360" w:lineRule="auto"/>
        <w:ind w:firstLine="0" w:left="709"/>
      </w:pPr>
      <w:r>
        <w:t>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опирается на пять линий исследования.</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Данная теоретическая линия обеспечивает аналитический инструментарий для описания различий между операторами с точки зрения не только размера ресурсной базы, но и способности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(Riggs et al., 2025; Coenegrachts et al., 2024; Shah et al., 2022) – используются для калибровки модели регионального различения и выбора рычагов внутри режимов.</w:t>
      </w:r>
    </w:p>
    <w:p>
      <w:pPr>
        <w:jc w:val="both"/>
      </w:pPr>
      <w:r>
        <w:t>Пятая – методы стратегического управления в работах российских авторов, работы Г. Б. Клейнера по системной теории фирмы и управлению в условиях неоднородности (Клейнер, 2013; 2021) – используется при постановке проблемы для сопряжения региональной специфики российского рынка с общей логикой перехода к зрелости.</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w:t>
      </w:r>
    </w:p>
    <w:p>
      <w:pPr>
        <w:jc w:val="both"/>
      </w:pPr>
      <w:r>
        <w:t>– отраслевая аналитика и деловая пресса: материалы аналитического агентства TrueSharing 2023–2024 гг.; деловая пресса (Коммерсантъ, РБК, Forbes) 2022–2025 гг.; международные отчёты NACTO, INRIX, McKinsey по микромобильности;</w:t>
      </w:r>
    </w:p>
    <w:p>
      <w:pPr>
        <w:jc w:val="both"/>
      </w:pPr>
      <w:r>
        <w:t>– экспертные интервью с двумя информантами (см. описание метода ниже).</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динамическими способностями и неоднородностью региональных рынков, опирающегося одновременно и на ресурсную базу оператора, и на его динамические способности, и на признаваемую неоднородность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w:t>
      </w:r>
    </w:p>
    <w:p>
      <w:pPr>
        <w:jc w:val="both"/>
      </w:pPr>
      <w:r>
        <w:t>–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w:t>
      </w:r>
    </w:p>
    <w:p>
      <w:pPr>
        <w:jc w:val="both"/>
      </w:pPr>
      <w:r>
        <w:t>– проектный инструмент «Управление покрытием через стимулы» (§3.3)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w:t>
      </w:r>
    </w:p>
    <w:p>
      <w:pPr>
        <w:jc w:val="both"/>
      </w:pPr>
      <w:r>
        <w:t>–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(+29 млн руб. за год 1 в базовом сценарии, +110–135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открытых данных и сценарных допущениях; этого достаточно для предварительной оценки эффекта и дизайна пилота, что снижает стоимость и сроки подготовки пилота, тогда как сама апробация требует подключения внутренних данных оператора на этапе 1.</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переход к управлению покрытием через стимулы – комбинации трёх механизмов (на стороне точки высадки, точки посадки, внешнего исполнителя), пилотируемой в одном городе-архетипе с измеримыми KPI и сценарной экономикой. В режимах плацдарма и сокращения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Особенно полезным в этой связи оказывается понятие uneven development – неравномерного развития рынка, проявляющегося не только в темпах расширения парка, но и в самом процессе рыночного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Schwarz, Marquardt, 2024).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Иначе говоря,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выступает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Рассмотрим локальную регуляторную среду и те преимущества, которые операторы способны реализовать в этих условиях.</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и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позволяет говорить о постепенном изменении логики рынка: кикшеринг всё в большей степени используется как инструмент повседневной мобильности. Поэтому российский рынок уже демонстрирует некоторые признаки зрелости, хотя и продолжает быстро расти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Логика ресурсного подхода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2024;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Применение пяти критериев в §2.3 строится не как простое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смещению акцента между критериями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Главе 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остаётся отдельной и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jc w:val="both"/>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требуют роста утилизации парка и требуют перехода к инструментам повышения операционной эффективности.</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(Riggs et al., 2025).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jc w:val="both"/>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Также существенным становится вопрос о том, в каких условиях дополнительный парк сохраняет экономический смысл и может быть поддержан на должном уровне качества и доступности. В силу этого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jc w:val="both"/>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jc w:val="both"/>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Для оператора кикшеринга стратегическое значение по мере развития рынка приобретает экономический смысл продолжения расширения присутствия. Вопрос состоит в том,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jc w:val="both"/>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jc w:val="both"/>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jc w:val="both"/>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jc w:val="both"/>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pStyle w:val="ListBullet"/>
        <w:spacing w:line="360" w:lineRule="auto"/>
        <w:ind w:firstLine="0" w:left="709"/>
      </w:pPr>
      <w:r>
        <w:t>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pStyle w:val="ListBullet"/>
        <w:spacing w:line="360" w:lineRule="auto"/>
        <w:ind w:firstLine="0" w:left="709"/>
      </w:pPr>
      <w:r>
        <w:t>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pStyle w:val="ListBullet"/>
        <w:spacing w:line="360" w:lineRule="auto"/>
        <w:ind w:firstLine="0" w:left="709"/>
      </w:pPr>
      <w:r>
        <w:t>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pStyle w:val="ListBullet"/>
        <w:spacing w:line="360" w:lineRule="auto"/>
        <w:ind w:firstLine="0" w:left="709"/>
      </w:pPr>
      <w:r>
        <w:t>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pStyle w:val="ListBullet"/>
        <w:spacing w:line="360" w:lineRule="auto"/>
        <w:ind w:firstLine="0" w:left="709"/>
      </w:pPr>
      <w:r>
        <w:t>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pStyle w:val="ListBullet"/>
        <w:spacing w:line="360" w:lineRule="auto"/>
        <w:ind w:firstLine="0" w:left="709"/>
      </w:pPr>
      <w:r>
        <w:t>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pStyle w:val="ListBullet"/>
        <w:spacing w:line="360" w:lineRule="auto"/>
        <w:ind w:firstLine="0" w:left="709"/>
      </w:pPr>
      <w:r>
        <w:t>ограниченная локальная управленческая инфраструктура: дефицит выделенных функций региональной экспертизы и координации;</w:t>
      </w:r>
    </w:p>
    <w:p>
      <w:pPr>
        <w:pStyle w:val="ListBullet"/>
        <w:spacing w:line="360" w:lineRule="auto"/>
        <w:ind w:firstLine="0" w:left="709"/>
      </w:pPr>
      <w:r>
        <w:t>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в других – режим удержания, в третьих – режим сокращения.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jc w:val="both"/>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стоимости позиции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оценивает, насколько сценарий предполагает реальную, а не декларативную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нужен для рассмотрения реализуемости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Это та область, где S3 имеет управленческое ограничение и где компенсаторные механизмы рассматриваются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 стабилизация маржи через дисциплину расстановки, в рынках R3 – снижение операционной нагрузки без потери существенной выручки. Демонстрационный портфель §2,3.1 показывает направления этой динамики качественно,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неопределённые resources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смещению акцента между критериями.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Главе 3 рассматриваются три сценария – сохранение текущей единой логики действий, единый режим с операционной адаптацией и сценарий диверсификации режимов по регионам, – после чего внутри выбранного сценария к разным городам применяются разные режимы конкурентных действий.</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трёх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§3.2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Управленческая логика УПС допускает количественную оценку порядка экономического эффекта в формате сценарного расчёта с явно маркированными допущениями. Для расчёта используются отраслевые данные по Екатеринбургу – пилотному рынку демонстрационного портфеля. Парк (6 448 самокатов), поездки (1 819 014 за сезон Q2+Q3), средний чек (75 руб.) и утилизация (319 поездок/самокат/год) взяты из отраслевых данных 2024 г. Операционные расходы калиброваны по публичной отчётности ВУШ Холдинг (МСФО, 9 мес. 2024): OpEx/выручка = 55 % (Whoosh 48 % + 7 п.п. поправка на масштаб). Доля ребалансировки в OpEx = 30 % (Du et al., 2024), стоимость физической ребалансировки = 120 руб./операция (отраслевая оценка). Средневзвешенная стоимость стимула = 26,5 руб., складывается из трёх типов: стимул-высадка (15 руб., 50 % операций), стимул-посадка (10 руб., 30 %), внешний исполнитель (80 руб., 20 %).</w:t>
      </w:r>
    </w:p>
    <w:p>
      <w:pPr>
        <w:jc w:val="both"/>
      </w:pPr>
      <w:r>
        <w:t>Результаты расчёта не претендуют на точность финансовой модели и не могут использоваться для прямого прогнозирования. Их функция – фиксация порядка величин и подтверждение того, что при разумных допущениях инструмент УПС экономически обоснован. Четыре из девяти параметров основаны на фактических данных, а не на предположениях.</w:t>
      </w:r>
    </w:p>
    <w:p>
      <w:pPr>
        <w:jc w:val="both"/>
      </w:pPr>
      <w:r>
        <w:t>Екатеринбург – рынок с утилизацией почти вдвое ниже среднеоператорской (319 против 561) и самым низким средним чеком в портфеле (75 руб. против 88 руб. среднего). Тем не менее даже на этих параметрах УПС показывает устойчиво положительный эффект. На рынках с более высокой утилизацией (Москва – 1 073, Краснодар – 564, СПб – 609) абсолютный эффект будет пропорционально выше.</w:t>
      </w:r>
    </w:p>
    <w:p>
      <w:pPr>
        <w:jc w:val="both"/>
      </w:pPr>
      <w:r>
        <w:t>Ключевое соотношение: средневзвешенная стоимость стимула (26,5 руб.) в 4,6 раза ниже стоимости физической ребалансировки (120 руб./операция). Это обеспечивает устойчиво положительный эффект при любых комбинациях параметров в пространстве чувствительности – ни одна из 21 ячейки (7 уровней замещения × 3 уровня стоимости стимула) не даёт отрицательного результата.</w:t>
      </w:r>
    </w:p>
    <w:p>
      <w:pPr>
        <w:jc w:val="both"/>
      </w:pPr>
      <w:r>
        <w:t>Результаты сценарного расчёта (1 сезон, Екатеринбург): в консервативном сценарии A (замещение 10 % ребалансировки) чистый эффект составляет 4,33 млн руб. при операционном ROI стимулов 219 %; в базовом сценарии B (замещение 20 %) – 9,79 млн руб. при операционном ROI 347 %; в оптимистичном C (замещение 30 %) – 16,98 млн руб. при операционном ROI 515 %. Чистый эффект базового сценария складывается из экономии на сокращении операций физической ребалансировки (4,48 млн руб. за счёт замещения 37 304 операций) и дополнительной выручки от восстановленных поездок (8,14 млн руб. за счёт +6 % поездок в пилотных зонах). Расходы на стимулы составляют 2,82 млн руб.</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п. 2,4.1: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§3,3.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§3,3.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§3,3.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(§3.3)</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§3,3.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 §3.3);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§3,3.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§3,3.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§3,3.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§3.3 – управление покрытием через стимулы – далее рассматривается отдельно.</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w:t>
      </w:r>
    </w:p>
    <w:p>
      <w:pPr>
        <w:pStyle w:val="ListBullet"/>
        <w:spacing w:line="360" w:lineRule="auto"/>
        <w:ind w:firstLine="0" w:left="709"/>
      </w:pPr>
      <w:r>
        <w:t>Москва: выручка -7,9 %, поездки -6,6 % – зрелый регуляторно перегруженный рынок;</w:t>
      </w:r>
    </w:p>
    <w:p>
      <w:pPr>
        <w:pStyle w:val="ListBullet"/>
        <w:spacing w:line="360" w:lineRule="auto"/>
        <w:ind w:firstLine="0" w:left="709"/>
      </w:pPr>
      <w:r>
        <w:t>Санкт-Петербург: выручка +41,1 %, поездки +42,3 % – рынок с активной фазой атаки и резервом плотности;</w:t>
      </w:r>
    </w:p>
    <w:p>
      <w:pPr>
        <w:pStyle w:val="ListBullet"/>
        <w:spacing w:line="360" w:lineRule="auto"/>
        <w:ind w:firstLine="0" w:left="709"/>
      </w:pPr>
      <w:r>
        <w:t>Краснодар: выручка -5,6 %, поездки -10,2 % – высокая конкуренция, длинный сезон;</w:t>
      </w:r>
    </w:p>
    <w:p>
      <w:pPr>
        <w:pStyle w:val="ListBullet"/>
        <w:spacing w:line="360" w:lineRule="auto"/>
        <w:ind w:firstLine="0" w:left="709"/>
      </w:pPr>
      <w:r>
        <w:t>Екатеринбург: выручка -4,3 %, поездки +4,1 % – позиция преследователя с резервом плотности;</w:t>
      </w:r>
    </w:p>
    <w:p>
      <w:pPr>
        <w:pStyle w:val="ListBullet"/>
        <w:spacing w:line="360" w:lineRule="auto"/>
        <w:ind w:firstLine="0" w:left="709"/>
      </w:pPr>
      <w:r>
        <w:t>Новосибирск: выручка +143,2 %, поездки +128,9 % – фаза активного роста на стадии плацдарм / ранний R2.</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2626</w:t>
            </w:r>
          </w:p>
        </w:tc>
        <w:tc>
          <w:tcPr>
            <w:tcW w:type="dxa" w:w="1246"/>
          </w:tcPr>
          <w:p>
            <w:pPr>
              <w:spacing w:line="276" w:lineRule="auto" w:before="0" w:after="0"/>
              <w:ind w:firstLine="0"/>
            </w:pPr>
            <w:r/>
            <w:r>
              <w:rPr>
                <w:rFonts w:ascii="Times New Roman" w:hAnsi="Times New Roman" w:eastAsia="Times New Roman" w:cs="Times New Roman"/>
                <w:sz w:val="22"/>
              </w:rPr>
              <w:t>30,488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4,171</w:t>
            </w:r>
          </w:p>
        </w:tc>
        <w:tc>
          <w:tcPr>
            <w:tcW w:type="dxa" w:w="1246"/>
          </w:tcPr>
          <w:p>
            <w:pPr>
              <w:spacing w:line="276" w:lineRule="auto" w:before="0" w:after="0"/>
              <w:ind w:firstLine="0"/>
            </w:pPr>
            <w:r/>
            <w:r>
              <w:rPr>
                <w:rFonts w:ascii="Times New Roman" w:hAnsi="Times New Roman" w:eastAsia="Times New Roman" w:cs="Times New Roman"/>
                <w:sz w:val="22"/>
              </w:rPr>
              <w:t>64,423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2,82 млн руб.); резерв ~0,4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w:t>
      </w:r>
    </w:p>
    <w:p>
      <w:pPr>
        <w:pStyle w:val="ListBullet"/>
        <w:spacing w:line="360" w:lineRule="auto"/>
        <w:ind w:firstLine="0" w:left="709"/>
      </w:pPr>
      <w:r>
        <w:t>Год 1: ~48 млн руб. (в том числе ~8 млн capex);</w:t>
      </w:r>
    </w:p>
    <w:p>
      <w:pPr>
        <w:pStyle w:val="ListBullet"/>
        <w:spacing w:line="360" w:lineRule="auto"/>
        <w:ind w:firstLine="0" w:left="709"/>
      </w:pPr>
      <w:r>
        <w:t>Год 2 (тиражирование УПС на 3 города при сохранении блоков A, B, D):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даёт чистый эффект 9,79 млн руб. за сезон (4,48 млн экономии операций + 8,14 млн дополнительной выручки от восстановленных поездок − 2,82 млн расходов на стимулы).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~9,8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+10</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замещение 20 % ребалансировки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+77</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+29</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(диапазон чистого эффекта S3 vs S1, год 1):</w:t>
      </w:r>
    </w:p>
    <w:p>
      <w:pPr>
        <w:pStyle w:val="ListBullet"/>
        <w:spacing w:line="360" w:lineRule="auto"/>
        <w:ind w:firstLine="0" w:left="709"/>
      </w:pPr>
      <w:r>
        <w:t>Консервативный (нижние границы всех допущений): чистый эффект −5 … +10 млн руб. – риск работы «в ноль» в год 1 при сохранении капвложений в УПС;</w:t>
      </w:r>
    </w:p>
    <w:p>
      <w:pPr>
        <w:pStyle w:val="ListBullet"/>
        <w:spacing w:line="360" w:lineRule="auto"/>
        <w:ind w:firstLine="0" w:left="709"/>
      </w:pPr>
      <w:r>
        <w:t>Базовый (точечные оценки выше): +29 млн руб.;</w:t>
      </w:r>
    </w:p>
    <w:p>
      <w:pPr>
        <w:pStyle w:val="ListBullet"/>
        <w:spacing w:line="360" w:lineRule="auto"/>
        <w:ind w:firstLine="0" w:left="709"/>
      </w:pPr>
      <w:r>
        <w:t>Оптимистичный (верхние границы): +70 … +90 млн руб.</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поездок» из расчёта по Екатеринбургу (9,79 / 1,82 ≈ 5,4 млн руб. эффекта на 1 млн сезонных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pStyle w:val="ListBullet"/>
        <w:spacing w:line="360" w:lineRule="auto"/>
        <w:ind w:firstLine="0" w:left="709"/>
      </w:pPr>
      <w:r>
        <w:t>KPI 1. Чистый годовой эффект S3 vs S1 (целевой коридор год 1: +20 … +40 млн руб.; год 2: +110 … +135 млн руб.);</w:t>
      </w:r>
    </w:p>
    <w:p>
      <w:pPr>
        <w:pStyle w:val="ListBullet"/>
        <w:spacing w:line="360" w:lineRule="auto"/>
        <w:ind w:firstLine="0" w:left="709"/>
      </w:pPr>
      <w:r>
        <w:t>KPI 2. Темп выручки YoY в R2-городах (целевое отклонение от S1 не менее +3 п.п. в год 1, +5 п.п. в год 2);</w:t>
      </w:r>
    </w:p>
    <w:p>
      <w:pPr>
        <w:pStyle w:val="ListBullet"/>
        <w:spacing w:line="360" w:lineRule="auto"/>
        <w:ind w:firstLine="0" w:left="709"/>
      </w:pPr>
      <w:r>
        <w:t>KPI 3. Доля физической ребалансировки в OpEx в R2- и R3-городах (целевое снижение в пилотных городах на 15–25 % за сезон);</w:t>
      </w:r>
    </w:p>
    <w:p>
      <w:pPr>
        <w:pStyle w:val="ListBullet"/>
        <w:spacing w:line="360" w:lineRule="auto"/>
        <w:ind w:firstLine="0" w:left="709"/>
      </w:pPr>
      <w:r>
        <w:t>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4–5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или R3 → R3 в случае резкого ужесточения локальной регуляторики),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раздел о рисках, где рассмотрены компенсаторы – функцией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 2.3),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работы (Глава 1) и систему стратегически значимого различения рынков (Глава 2) в стратегическое решение и проектное содержание для МТС Юрент: выбор сценария обращения с портфелем,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 оператора.</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российской традиции стратегического управления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(ограниченная форма) с двумя подтипами – R1 (ограниченный вход на рынки, где компания пока не работает) и R3 (ограниченное удержание на рынках уже сложившегося присутствия с высокой ценой сильной позиции).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или R3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9,79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~77 млн руб. EBITDA (прирост выручки в R2-городах 12 млн, УПС-пилот в Екатеринбурге 10 млн, оптимизация OpEx в Москве 52 млн, экономия капвложений в нерентабельных локациях 3 млн). Чистый эффект S3 относительно базовой линии S1 в базовом сценарии – +29 млн руб. за год 1; диапазон чувствительности от –5 до +90 млн руб. в зависимости от поведенческих и операционных допущений. В год 2 при тиражировании УПС на три города R2-кластера чистый эффект расширяется до +110–135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полного описания всех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Gábor Š., Novotný L., Pregi L. Revealing Spatial Patterns of Dockless Shared Micromobility: A Case Study of Košice, Slovakia // Urban Science. 2025. Vol. 9, no. 4. Art. 107. DOI: 10,3390/urbansci9040107.</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Pisano G., Shuen A. Dynamic Capabilities and Strategic Management // Strategic Management Journal. 1997. Vol. 18, no. 7. P. 509–533. DOI: 10,1002/(SICI)1097-0266(199708)18:7&lt;509::AID-SMJ882&gt;3,0.CO;2-Z.</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w:t>
      </w:r>
    </w:p>
    <w:p>
      <w:pPr>
        <w:pStyle w:val="ListBullet"/>
        <w:spacing w:line="360" w:lineRule="auto"/>
        <w:ind w:firstLine="0" w:left="709"/>
      </w:pPr>
      <w:r>
        <w:t>ChatGPT (OpenAI, модели GPT-4o, GPT-5) – большая языковая модель общего назначения;</w:t>
      </w:r>
    </w:p>
    <w:p>
      <w:pPr>
        <w:pStyle w:val="ListBullet"/>
        <w:spacing w:line="360" w:lineRule="auto"/>
        <w:ind w:firstLine="0" w:left="709"/>
      </w:pPr>
      <w:r>
        <w:t>Claude (Anthropic, модели Sonnet 4 и Opus 4) – большая языковая модель общего назначения;</w:t>
      </w:r>
    </w:p>
    <w:p>
      <w:pPr>
        <w:pStyle w:val="ListBullet"/>
        <w:spacing w:line="360" w:lineRule="auto"/>
        <w:ind w:firstLine="0" w:left="709"/>
      </w:pPr>
      <w:r>
        <w:t>веб-доступ через стандартные интерфейсы (chat.openai.com, claude.ai), а также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w:t>
      </w:r>
    </w:p>
    <w:p>
      <w:pPr>
        <w:pStyle w:val="ListBullet"/>
        <w:spacing w:line="360" w:lineRule="auto"/>
        <w:ind w:firstLine="0" w:left="709"/>
      </w:pPr>
      <w:r>
        <w:t>содержательные решения по постановке проблемы, выбору методологии, формулированию выводов и стратегического выбора;</w:t>
      </w:r>
    </w:p>
    <w:p>
      <w:pPr>
        <w:pStyle w:val="ListBullet"/>
        <w:spacing w:line="360" w:lineRule="auto"/>
        <w:ind w:firstLine="0" w:left="709"/>
      </w:pPr>
      <w:r>
        <w:t>интерпретация данных от эксперта А., материалов интервью и оригинальных научных публикаций;</w:t>
      </w:r>
    </w:p>
    <w:p>
      <w:pPr>
        <w:pStyle w:val="ListBullet"/>
        <w:spacing w:line="360" w:lineRule="auto"/>
        <w:ind w:firstLine="0" w:left="709"/>
      </w:pPr>
      <w:r>
        <w:t>стратегические решения по выбору сценария S3, режимам конкурентных действий R1–R3 и проектному инструменту УПС;</w:t>
      </w:r>
    </w:p>
    <w:p>
      <w:pPr>
        <w:pStyle w:val="ListBullet"/>
        <w:spacing w:line="360" w:lineRule="auto"/>
        <w:ind w:firstLine="0" w:left="709"/>
      </w:pPr>
      <w:r>
        <w:t>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