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Pr="0047110D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13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4B0598" w:rsidRDefault="002F5494" w:rsidP="00573909">
      <w:pPr>
        <w:pStyle w:val="Ttulo1"/>
      </w:pPr>
      <w:r w:rsidRPr="0047110D">
        <w:lastRenderedPageBreak/>
        <w:t>Diseño de algoritmos</w:t>
      </w:r>
      <w:bookmarkStart w:id="0" w:name="_GoBack"/>
      <w:bookmarkEnd w:id="0"/>
    </w:p>
    <w:p w:rsidR="005167F1" w:rsidRDefault="005167F1" w:rsidP="00D97451"/>
    <w:p w:rsidR="005167F1" w:rsidRDefault="005167F1" w:rsidP="005167F1">
      <w:pPr>
        <w:pStyle w:val="Ttulo1"/>
      </w:pPr>
      <w:r>
        <w:t>Ejercicios de programación</w:t>
      </w:r>
    </w:p>
    <w:p w:rsidR="008C3BB9" w:rsidRPr="008C3BB9" w:rsidRDefault="008C3BB9" w:rsidP="008C3BB9">
      <w:pPr>
        <w:jc w:val="left"/>
      </w:pPr>
    </w:p>
    <w:sectPr w:rsidR="008C3BB9" w:rsidRPr="008C3BB9" w:rsidSect="001F5B9B">
      <w:foot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909" w:rsidRPr="00573909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C3BB9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66C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10</cp:revision>
  <cp:lastPrinted>2018-03-02T15:41:00Z</cp:lastPrinted>
  <dcterms:created xsi:type="dcterms:W3CDTF">2018-03-02T00:56:00Z</dcterms:created>
  <dcterms:modified xsi:type="dcterms:W3CDTF">2018-03-13T03:21:00Z</dcterms:modified>
</cp:coreProperties>
</file>