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Dynamic Data Visualization</w:t>
      </w:r>
    </w:p>
    <w:p>
      <w:r>
        <w:t>This section builds upon the cleaned dataset, utilizing ggplot2 to craft dynamic visualizations that communicate high-level trends and statistical anomalies to non-technical stakeholders.</w:t>
      </w:r>
    </w:p>
    <w:p>
      <w:pPr>
        <w:pStyle w:val="Heading2"/>
      </w:pPr>
      <w:r>
        <w:t>2.1 Price Distribution (Histogram)</w:t>
      </w:r>
    </w:p>
    <w:p>
      <w:r>
        <w:t>A density-overlaid histogram confirms the concentration of market transactions within the middle-tier housing bracket.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t>ggplot(data, aes(x = SalePrice)) +</w:t>
        <w:br/>
        <w:t xml:space="preserve">  geom_histogram(aes(y = ..density..), bins = 30, fill = "purple", alpha = 0.6) +</w:t>
        <w:br/>
        <w:t xml:space="preserve">  geom_density(color = "black", size = 1) + theme_minimal()</w:t>
      </w:r>
    </w:p>
    <w:p>
      <w:pPr>
        <w:pStyle w:val="Heading2"/>
      </w:pPr>
      <w:r>
        <w:t>2.2 Feature Relationships (Scatter Plot)</w:t>
      </w:r>
    </w:p>
    <w:p>
      <w:r>
        <w:t>Plotting Living Area against Sale Price, while using a Viridis color scale to represent Overall Quality, adds multidimensional insight. A clear positive correlation is visible.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Categorical Insights (Bar Graph)</w:t>
      </w:r>
    </w:p>
    <w:p>
      <w:r>
        <w:t>Neighborhoods were aggregated by average sale price. Using `coord_flip()` enhances readability, quickly showcasing geographic price premiums.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t>ggplot(nb_avg, aes(x = reorder(Neighborhood, AvgPrice), y = AvgPrice)) +</w:t>
        <w:br/>
        <w:t xml:space="preserve">  geom_bar(stat = "identity", fill = "steelblue") + coord_flip() + theme_minimal()</w:t>
      </w:r>
    </w:p>
    <w:p>
      <w:pPr>
        <w:pStyle w:val="Heading2"/>
      </w:pPr>
      <w:r>
        <w:t>2.4 Temporal Trends (Line Chart)</w:t>
      </w:r>
    </w:p>
    <w:p>
      <w:r>
        <w:t>By plotting Year Built against Average Sale Price with a LOESS smoothing line, we observe a steady upward trajectory in valuations for modern constructions.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t>ggplot(yearly_avg, aes(x = YearBuilt, y = AvgPrice)) +</w:t>
        <w:br/>
        <w:t xml:space="preserve">  geom_line(color = "darkred", size = 1) +</w:t>
        <w:br/>
        <w:t xml:space="preserve">  geom_smooth(method = "loess", se = FALSE, color = "blue", linetype = "dashed")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0"/>
      <w:ind w:left="288"/>
    </w:pPr>
    <w:rPr>
      <w:rFonts w:ascii="Courier New" w:hAnsi="Courier New"/>
      <w:color w:val="0066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