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33" w:sz="8"/>
              <w:left w:val="single" w:color="006633" w:sz="8"/>
              <w:bottom w:val="single" w:color="006633" w:sz="8"/>
              <w:right w:val="single" w:color="006633" w:sz="8"/>
            </w:tcBorders>
            <w:shd w:fill="006633" w:val="clear"/>
            <w:tcMar>
              <w:top w:type="dxa" w:w="600"/>
              <w:left w:type="dxa" w:w="400"/>
              <w:bottom w:type="dxa" w:w="600"/>
              <w:right w:type="dxa" w:w="400"/>
            </w:tcMar>
          </w:tcPr>
          <w:p>
            <w:pPr>
              <w:spacing w:after="120" w:before="0"/>
              <w:jc w:val="center"/>
            </w:pPr>
            <w:r>
              <w:rPr>
                <w:rFonts w:ascii="Calibri" w:cs="Calibri" w:eastAsia="Calibri" w:hAnsi="Calibri"/>
                <w:b/>
                <w:bCs/>
                <w:color w:val="C8A951"/>
                <w:sz w:val="22"/>
                <w:szCs w:val="22"/>
              </w:rPr>
              <w:t xml:space="preserve">BANGLADESH NATIONAL PARLIAMENT SECRETARIAT</w:t>
            </w:r>
          </w:p>
          <w:p>
            <w:pPr>
              <w:spacing w:after="120" w:before="0"/>
              <w:jc w:val="center"/>
            </w:pPr>
            <w:r>
              <w:rPr>
                <w:rFonts w:ascii="Calibri" w:cs="Calibri" w:eastAsia="Calibri" w:hAnsi="Calibri"/>
                <w:b/>
                <w:bCs/>
                <w:color w:val="FFFFFF"/>
                <w:sz w:val="44"/>
                <w:szCs w:val="44"/>
              </w:rPr>
              <w:t xml:space="preserve">Parliament IT Inventory Management System</w:t>
            </w:r>
          </w:p>
          <w:p>
            <w:pPr>
              <w:spacing w:after="0" w:before="0"/>
              <w:jc w:val="center"/>
            </w:pPr>
            <w:r>
              <w:rPr>
                <w:rFonts w:ascii="Calibri" w:cs="Calibri" w:eastAsia="Calibri" w:hAnsi="Calibri"/>
                <w:i/>
                <w:iCs/>
                <w:color w:val="FFFFFF"/>
                <w:sz w:val="26"/>
                <w:szCs w:val="26"/>
              </w:rPr>
              <w:t xml:space="preserve">System Architecture &amp; Design Document</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6633"/>
                <w:sz w:val="20"/>
                <w:szCs w:val="20"/>
              </w:rPr>
              <w:t xml:space="preserve">Document Type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System Architecture Document</w:t>
            </w:r>
          </w:p>
        </w:tc>
      </w:tr>
      <w:tr>
        <w:tc>
          <w:tcPr>
            <w:tcW w:type="dxa" w:w="3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6633"/>
                <w:sz w:val="20"/>
                <w:szCs w:val="20"/>
              </w:rPr>
              <w:t xml:space="preserve">Project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Parliament IT Inventory Management System</w:t>
            </w:r>
          </w:p>
        </w:tc>
      </w:tr>
      <w:tr>
        <w:tc>
          <w:tcPr>
            <w:tcW w:type="dxa" w:w="3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6633"/>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1.0 (Final Design)</w:t>
            </w:r>
          </w:p>
        </w:tc>
      </w:tr>
      <w:tr>
        <w:tc>
          <w:tcPr>
            <w:tcW w:type="dxa" w:w="3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6633"/>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Software Development Branch</w:t>
            </w:r>
          </w:p>
        </w:tc>
      </w:tr>
      <w:tr>
        <w:tc>
          <w:tcPr>
            <w:tcW w:type="dxa" w:w="3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6633"/>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Approved for Build</w:t>
            </w:r>
          </w:p>
        </w:tc>
      </w:tr>
      <w:tr>
        <w:tc>
          <w:tcPr>
            <w:tcW w:type="dxa" w:w="3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6633"/>
                <w:sz w:val="20"/>
                <w:szCs w:val="20"/>
              </w:rPr>
              <w:t xml:space="preserve">Stack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Python Django + PostgreSQL</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1. Executive Summary</w:t>
      </w:r>
    </w:p>
    <w:p>
      <w:pPr>
        <w:spacing w:after="60" w:before="60" w:line="300"/>
        <w:jc w:val="left"/>
      </w:pPr>
      <w:r>
        <w:rPr>
          <w:rFonts w:ascii="Calibri" w:cs="Calibri" w:eastAsia="Calibri" w:hAnsi="Calibri"/>
          <w:b w:val="false"/>
          <w:bCs w:val="false"/>
          <w:i w:val="false"/>
          <w:iCs w:val="false"/>
          <w:color w:val="1A1A1A"/>
          <w:sz w:val="22"/>
          <w:szCs w:val="22"/>
        </w:rPr>
        <w:t xml:space="preserve">The Parliament IT Inventory Management System is a web-based application to track every IT hardware asset of the Bangladesh National Parliament Secretariat — who holds it, where it is, and its complete history over time.</w:t>
      </w:r>
    </w:p>
    <w:p>
      <w:pPr>
        <w:spacing w:after="60" w:before="60" w:line="300"/>
        <w:jc w:val="left"/>
      </w:pPr>
      <w:r>
        <w:rPr>
          <w:rFonts w:ascii="Calibri" w:cs="Calibri" w:eastAsia="Calibri" w:hAnsi="Calibri"/>
          <w:b w:val="false"/>
          <w:bCs w:val="false"/>
          <w:i w:val="false"/>
          <w:iCs w:val="false"/>
          <w:color w:val="1A1A1A"/>
          <w:sz w:val="22"/>
          <w:szCs w:val="22"/>
        </w:rPr>
        <w:t xml:space="preserve">The system is designed around a single guiding principle: maintain the definitive, audit-grade record of every physical IT asset from procurement to disposal. It is built on the Django framework with PostgreSQL, deployed on the Parliament intranet, and designed for a scale of 1,000 to 5,000 assets with 10 to 20 concurrent users.</w:t>
      </w:r>
    </w:p>
    <w:p>
      <w:pPr>
        <w:spacing w:after="60" w:before="60" w:line="300"/>
        <w:jc w:val="left"/>
      </w:pPr>
      <w:r>
        <w:rPr>
          <w:rFonts w:ascii="Calibri" w:cs="Calibri" w:eastAsia="Calibri" w:hAnsi="Calibri"/>
          <w:b w:val="false"/>
          <w:bCs w:val="false"/>
          <w:i w:val="false"/>
          <w:iCs w:val="false"/>
          <w:color w:val="1A1A1A"/>
          <w:sz w:val="22"/>
          <w:szCs w:val="22"/>
        </w:rPr>
        <w:t xml:space="preserve">Scope is deliberately tight. The system tracks hardware only. Consumables, software licenses, and financial accounting are out of scope. Procurement fields such as purchase price, vendor, warranty, and AMC dates are captured as optional information that never block workflow.</w:t>
      </w:r>
    </w:p>
    <w:p>
      <w:pPr>
        <w:spacing w:after="60" w:before="60" w:line="300"/>
        <w:jc w:val="left"/>
      </w:pPr>
      <w:r>
        <w:rPr>
          <w:rFonts w:ascii="Calibri" w:cs="Calibri" w:eastAsia="Calibri" w:hAnsi="Calibri"/>
          <w:b w:val="false"/>
          <w:bCs w:val="false"/>
          <w:i w:val="false"/>
          <w:iCs w:val="false"/>
          <w:color w:val="1A1A1A"/>
          <w:sz w:val="22"/>
          <w:szCs w:val="22"/>
        </w:rPr>
        <w:t xml:space="preserve">The architecture has been stress-tested against real-world edge cases including designation changes, bulk transfers with mixed destinations, the end of a Parliamentary term, office restructuring, and holders becoming inactive in the source API. All cases are handled without schema inflation or data integrity risk.</w:t>
      </w:r>
    </w:p>
    <w:p>
      <w:pPr>
        <w:pStyle w:val="Heading1"/>
        <w:pBdr>
          <w:bottom w:val="single" w:color="006633" w:sz="12" w:space="4"/>
        </w:pBdr>
        <w:spacing w:after="160" w:before="360"/>
      </w:pPr>
      <w:r>
        <w:rPr>
          <w:rFonts w:ascii="Calibri" w:cs="Calibri" w:eastAsia="Calibri" w:hAnsi="Calibri"/>
          <w:b/>
          <w:bCs/>
          <w:color w:val="006633"/>
          <w:sz w:val="32"/>
          <w:szCs w:val="32"/>
        </w:rPr>
        <w:t xml:space="preserve">2. Scope</w:t>
      </w:r>
    </w:p>
    <w:p>
      <w:pPr>
        <w:pStyle w:val="Heading2"/>
        <w:spacing w:after="120" w:before="280"/>
      </w:pPr>
      <w:r>
        <w:rPr>
          <w:rFonts w:ascii="Calibri" w:cs="Calibri" w:eastAsia="Calibri" w:hAnsi="Calibri"/>
          <w:b/>
          <w:bCs/>
          <w:color w:val="006633"/>
          <w:sz w:val="26"/>
          <w:szCs w:val="26"/>
        </w:rPr>
        <w:t xml:space="preserve">In Scope</w:t>
      </w:r>
    </w:p>
    <w:p>
      <w:pPr>
        <w:pStyle w:val="ListParagraph"/>
        <w:numPr>
          <w:ilvl w:val="0"/>
          <w:numId w:val="2"/>
        </w:numPr>
        <w:spacing w:after="40" w:before="40" w:line="280"/>
      </w:pPr>
      <w:r>
        <w:rPr>
          <w:rFonts w:ascii="Calibri" w:cs="Calibri" w:eastAsia="Calibri" w:hAnsi="Calibri"/>
          <w:color w:val="1A1A1A"/>
          <w:sz w:val="22"/>
          <w:szCs w:val="22"/>
        </w:rPr>
        <w:t xml:space="preserve">Hardware asset tracking: PC Sets, Laptops, Printers, Scanners, Routers, Switches, Access Points, Servers, Display Units</w:t>
      </w:r>
    </w:p>
    <w:p>
      <w:pPr>
        <w:pStyle w:val="ListParagraph"/>
        <w:numPr>
          <w:ilvl w:val="0"/>
          <w:numId w:val="2"/>
        </w:numPr>
        <w:spacing w:after="40" w:before="40" w:line="280"/>
      </w:pPr>
      <w:r>
        <w:rPr>
          <w:rFonts w:ascii="Calibri" w:cs="Calibri" w:eastAsia="Calibri" w:hAnsi="Calibri"/>
          <w:color w:val="1A1A1A"/>
          <w:sz w:val="22"/>
          <w:szCs w:val="22"/>
        </w:rPr>
        <w:t xml:space="preserve">Assignment to Employees, Members of Parliament, Offices, and Physical Locations</w:t>
      </w:r>
    </w:p>
    <w:p>
      <w:pPr>
        <w:pStyle w:val="ListParagraph"/>
        <w:numPr>
          <w:ilvl w:val="0"/>
          <w:numId w:val="2"/>
        </w:numPr>
        <w:spacing w:after="40" w:before="40" w:line="280"/>
      </w:pPr>
      <w:r>
        <w:rPr>
          <w:rFonts w:ascii="Calibri" w:cs="Calibri" w:eastAsia="Calibri" w:hAnsi="Calibri"/>
          <w:color w:val="1A1A1A"/>
          <w:sz w:val="22"/>
          <w:szCs w:val="22"/>
        </w:rPr>
        <w:t xml:space="preserve">Full assignment history with audit-grade trail</w:t>
      </w:r>
    </w:p>
    <w:p>
      <w:pPr>
        <w:pStyle w:val="ListParagraph"/>
        <w:numPr>
          <w:ilvl w:val="0"/>
          <w:numId w:val="2"/>
        </w:numPr>
        <w:spacing w:after="40" w:before="40" w:line="280"/>
      </w:pPr>
      <w:r>
        <w:rPr>
          <w:rFonts w:ascii="Calibri" w:cs="Calibri" w:eastAsia="Calibri" w:hAnsi="Calibri"/>
          <w:color w:val="1A1A1A"/>
          <w:sz w:val="22"/>
          <w:szCs w:val="22"/>
        </w:rPr>
        <w:t xml:space="preserve">Transfers (single and bulk with mixed destinations)</w:t>
      </w:r>
    </w:p>
    <w:p>
      <w:pPr>
        <w:pStyle w:val="ListParagraph"/>
        <w:numPr>
          <w:ilvl w:val="0"/>
          <w:numId w:val="2"/>
        </w:numPr>
        <w:spacing w:after="40" w:before="40" w:line="280"/>
      </w:pPr>
      <w:r>
        <w:rPr>
          <w:rFonts w:ascii="Calibri" w:cs="Calibri" w:eastAsia="Calibri" w:hAnsi="Calibri"/>
          <w:color w:val="1A1A1A"/>
          <w:sz w:val="22"/>
          <w:szCs w:val="22"/>
        </w:rPr>
        <w:t xml:space="preserve">Lifecycle events: maintenance, lost, damaged, disposed</w:t>
      </w:r>
    </w:p>
    <w:p>
      <w:pPr>
        <w:pStyle w:val="ListParagraph"/>
        <w:numPr>
          <w:ilvl w:val="0"/>
          <w:numId w:val="2"/>
        </w:numPr>
        <w:spacing w:after="40" w:before="40" w:line="280"/>
      </w:pPr>
      <w:r>
        <w:rPr>
          <w:rFonts w:ascii="Calibri" w:cs="Calibri" w:eastAsia="Calibri" w:hAnsi="Calibri"/>
          <w:color w:val="1A1A1A"/>
          <w:sz w:val="22"/>
          <w:szCs w:val="22"/>
        </w:rPr>
        <w:t xml:space="preserve">QR code identification with mobile scan workflow</w:t>
      </w:r>
    </w:p>
    <w:p>
      <w:pPr>
        <w:pStyle w:val="ListParagraph"/>
        <w:numPr>
          <w:ilvl w:val="0"/>
          <w:numId w:val="2"/>
        </w:numPr>
        <w:spacing w:after="40" w:before="40" w:line="280"/>
      </w:pPr>
      <w:r>
        <w:rPr>
          <w:rFonts w:ascii="Calibri" w:cs="Calibri" w:eastAsia="Calibri" w:hAnsi="Calibri"/>
          <w:color w:val="1A1A1A"/>
          <w:sz w:val="22"/>
          <w:szCs w:val="22"/>
        </w:rPr>
        <w:t xml:space="preserve">Physical stock audit via QR scanning</w:t>
      </w:r>
    </w:p>
    <w:p>
      <w:pPr>
        <w:pStyle w:val="ListParagraph"/>
        <w:numPr>
          <w:ilvl w:val="0"/>
          <w:numId w:val="2"/>
        </w:numPr>
        <w:spacing w:after="40" w:before="40" w:line="280"/>
      </w:pPr>
      <w:r>
        <w:rPr>
          <w:rFonts w:ascii="Calibri" w:cs="Calibri" w:eastAsia="Calibri" w:hAnsi="Calibri"/>
          <w:color w:val="1A1A1A"/>
          <w:sz w:val="22"/>
          <w:szCs w:val="22"/>
        </w:rPr>
        <w:t xml:space="preserve">Inactive holder detection and remediation</w:t>
      </w:r>
    </w:p>
    <w:p>
      <w:pPr>
        <w:pStyle w:val="ListParagraph"/>
        <w:numPr>
          <w:ilvl w:val="0"/>
          <w:numId w:val="2"/>
        </w:numPr>
        <w:spacing w:after="40" w:before="40" w:line="280"/>
      </w:pPr>
      <w:r>
        <w:rPr>
          <w:rFonts w:ascii="Calibri" w:cs="Calibri" w:eastAsia="Calibri" w:hAnsi="Calibri"/>
          <w:color w:val="1A1A1A"/>
          <w:sz w:val="22"/>
          <w:szCs w:val="22"/>
        </w:rPr>
        <w:t xml:space="preserve">Clearance lists for exiting employees</w:t>
      </w:r>
    </w:p>
    <w:p>
      <w:pPr>
        <w:pStyle w:val="ListParagraph"/>
        <w:numPr>
          <w:ilvl w:val="0"/>
          <w:numId w:val="2"/>
        </w:numPr>
        <w:spacing w:after="40" w:before="40" w:line="280"/>
      </w:pPr>
      <w:r>
        <w:rPr>
          <w:rFonts w:ascii="Calibri" w:cs="Calibri" w:eastAsia="Calibri" w:hAnsi="Calibri"/>
          <w:color w:val="1A1A1A"/>
          <w:sz w:val="22"/>
          <w:szCs w:val="22"/>
        </w:rPr>
        <w:t xml:space="preserve">Reports in Excel and PDF formats</w:t>
      </w:r>
    </w:p>
    <w:p>
      <w:pPr>
        <w:pStyle w:val="ListParagraph"/>
        <w:numPr>
          <w:ilvl w:val="0"/>
          <w:numId w:val="2"/>
        </w:numPr>
        <w:spacing w:after="40" w:before="40" w:line="280"/>
      </w:pPr>
      <w:r>
        <w:rPr>
          <w:rFonts w:ascii="Calibri" w:cs="Calibri" w:eastAsia="Calibri" w:hAnsi="Calibri"/>
          <w:color w:val="1A1A1A"/>
          <w:sz w:val="22"/>
          <w:szCs w:val="22"/>
        </w:rPr>
        <w:t xml:space="preserve">On-demand synchronisation with external Employee/MP/Office API</w:t>
      </w:r>
    </w:p>
    <w:p>
      <w:pPr>
        <w:pStyle w:val="Heading2"/>
        <w:spacing w:after="120" w:before="280"/>
      </w:pPr>
      <w:r>
        <w:rPr>
          <w:rFonts w:ascii="Calibri" w:cs="Calibri" w:eastAsia="Calibri" w:hAnsi="Calibri"/>
          <w:b/>
          <w:bCs/>
          <w:color w:val="006633"/>
          <w:sz w:val="26"/>
          <w:szCs w:val="26"/>
        </w:rPr>
        <w:t xml:space="preserve">Out of Scope</w:t>
      </w:r>
    </w:p>
    <w:p>
      <w:pPr>
        <w:pStyle w:val="ListParagraph"/>
        <w:numPr>
          <w:ilvl w:val="0"/>
          <w:numId w:val="2"/>
        </w:numPr>
        <w:spacing w:after="40" w:before="40" w:line="280"/>
      </w:pPr>
      <w:r>
        <w:rPr>
          <w:rFonts w:ascii="Calibri" w:cs="Calibri" w:eastAsia="Calibri" w:hAnsi="Calibri"/>
          <w:color w:val="1A1A1A"/>
          <w:sz w:val="22"/>
          <w:szCs w:val="22"/>
        </w:rPr>
        <w:t xml:space="preserve">Consumables (toner, paper, cables, batteries)</w:t>
      </w:r>
    </w:p>
    <w:p>
      <w:pPr>
        <w:pStyle w:val="ListParagraph"/>
        <w:numPr>
          <w:ilvl w:val="0"/>
          <w:numId w:val="2"/>
        </w:numPr>
        <w:spacing w:after="40" w:before="40" w:line="280"/>
      </w:pPr>
      <w:r>
        <w:rPr>
          <w:rFonts w:ascii="Calibri" w:cs="Calibri" w:eastAsia="Calibri" w:hAnsi="Calibri"/>
          <w:color w:val="1A1A1A"/>
          <w:sz w:val="22"/>
          <w:szCs w:val="22"/>
        </w:rPr>
        <w:t xml:space="preserve">Software licenses and subscriptions</w:t>
      </w:r>
    </w:p>
    <w:p>
      <w:pPr>
        <w:pStyle w:val="ListParagraph"/>
        <w:numPr>
          <w:ilvl w:val="0"/>
          <w:numId w:val="2"/>
        </w:numPr>
        <w:spacing w:after="40" w:before="40" w:line="280"/>
      </w:pPr>
      <w:r>
        <w:rPr>
          <w:rFonts w:ascii="Calibri" w:cs="Calibri" w:eastAsia="Calibri" w:hAnsi="Calibri"/>
          <w:color w:val="1A1A1A"/>
          <w:sz w:val="22"/>
          <w:szCs w:val="22"/>
        </w:rPr>
        <w:t xml:space="preserve">Depreciation calculations and book value</w:t>
      </w:r>
    </w:p>
    <w:p>
      <w:pPr>
        <w:pStyle w:val="ListParagraph"/>
        <w:numPr>
          <w:ilvl w:val="0"/>
          <w:numId w:val="2"/>
        </w:numPr>
        <w:spacing w:after="40" w:before="40" w:line="280"/>
      </w:pPr>
      <w:r>
        <w:rPr>
          <w:rFonts w:ascii="Calibri" w:cs="Calibri" w:eastAsia="Calibri" w:hAnsi="Calibri"/>
          <w:color w:val="1A1A1A"/>
          <w:sz w:val="22"/>
          <w:szCs w:val="22"/>
        </w:rPr>
        <w:t xml:space="preserve">Budget heads, cost centers, fiscal-year accounting</w:t>
      </w:r>
    </w:p>
    <w:p>
      <w:pPr>
        <w:pStyle w:val="ListParagraph"/>
        <w:numPr>
          <w:ilvl w:val="0"/>
          <w:numId w:val="2"/>
        </w:numPr>
        <w:spacing w:after="40" w:before="40" w:line="280"/>
      </w:pPr>
      <w:r>
        <w:rPr>
          <w:rFonts w:ascii="Calibri" w:cs="Calibri" w:eastAsia="Calibri" w:hAnsi="Calibri"/>
          <w:color w:val="1A1A1A"/>
          <w:sz w:val="22"/>
          <w:szCs w:val="22"/>
        </w:rPr>
        <w:t xml:space="preserve">Complex procurement or tender workflow</w:t>
      </w:r>
    </w:p>
    <w:p>
      <w:pPr>
        <w:pStyle w:val="ListParagraph"/>
        <w:numPr>
          <w:ilvl w:val="0"/>
          <w:numId w:val="2"/>
        </w:numPr>
        <w:spacing w:after="40" w:before="40" w:line="280"/>
      </w:pPr>
      <w:r>
        <w:rPr>
          <w:rFonts w:ascii="Calibri" w:cs="Calibri" w:eastAsia="Calibri" w:hAnsi="Calibri"/>
          <w:color w:val="1A1A1A"/>
          <w:sz w:val="22"/>
          <w:szCs w:val="22"/>
        </w:rPr>
        <w:t xml:space="preserve">Temporary loan tracking with return dates</w:t>
      </w:r>
    </w:p>
    <w:p>
      <w:pPr>
        <w:pStyle w:val="ListParagraph"/>
        <w:numPr>
          <w:ilvl w:val="0"/>
          <w:numId w:val="2"/>
        </w:numPr>
        <w:spacing w:after="40" w:before="40" w:line="280"/>
      </w:pPr>
      <w:r>
        <w:rPr>
          <w:rFonts w:ascii="Calibri" w:cs="Calibri" w:eastAsia="Calibri" w:hAnsi="Calibri"/>
          <w:color w:val="1A1A1A"/>
          <w:sz w:val="22"/>
          <w:szCs w:val="22"/>
        </w:rPr>
        <w:t xml:space="preserve">Bilingual user interface</w:t>
      </w:r>
    </w:p>
    <w:p>
      <w:pPr>
        <w:pStyle w:val="Heading2"/>
        <w:spacing w:after="120" w:before="280"/>
      </w:pPr>
      <w:r>
        <w:rPr>
          <w:rFonts w:ascii="Calibri" w:cs="Calibri" w:eastAsia="Calibri" w:hAnsi="Calibri"/>
          <w:b/>
          <w:bCs/>
          <w:color w:val="006633"/>
          <w:sz w:val="26"/>
          <w:szCs w:val="26"/>
        </w:rPr>
        <w:t xml:space="preserve">Optional Fields (Nice to Have, Never Block Workflow)</w:t>
      </w:r>
    </w:p>
    <w:p>
      <w:pPr>
        <w:pStyle w:val="ListParagraph"/>
        <w:numPr>
          <w:ilvl w:val="0"/>
          <w:numId w:val="2"/>
        </w:numPr>
        <w:spacing w:after="40" w:before="40" w:line="280"/>
      </w:pPr>
      <w:r>
        <w:rPr>
          <w:rFonts w:ascii="Calibri" w:cs="Calibri" w:eastAsia="Calibri" w:hAnsi="Calibri"/>
          <w:color w:val="1A1A1A"/>
          <w:sz w:val="22"/>
          <w:szCs w:val="22"/>
        </w:rPr>
        <w:t xml:space="preserve">Purchase date, purchase price, vendor, PO reference</w:t>
      </w:r>
    </w:p>
    <w:p>
      <w:pPr>
        <w:pStyle w:val="ListParagraph"/>
        <w:numPr>
          <w:ilvl w:val="0"/>
          <w:numId w:val="2"/>
        </w:numPr>
        <w:spacing w:after="40" w:before="40" w:line="280"/>
      </w:pPr>
      <w:r>
        <w:rPr>
          <w:rFonts w:ascii="Calibri" w:cs="Calibri" w:eastAsia="Calibri" w:hAnsi="Calibri"/>
          <w:color w:val="1A1A1A"/>
          <w:sz w:val="22"/>
          <w:szCs w:val="22"/>
        </w:rPr>
        <w:t xml:space="preserve">Warranty expiry date</w:t>
      </w:r>
    </w:p>
    <w:p>
      <w:pPr>
        <w:pStyle w:val="ListParagraph"/>
        <w:numPr>
          <w:ilvl w:val="0"/>
          <w:numId w:val="2"/>
        </w:numPr>
        <w:spacing w:after="40" w:before="40" w:line="280"/>
      </w:pPr>
      <w:r>
        <w:rPr>
          <w:rFonts w:ascii="Calibri" w:cs="Calibri" w:eastAsia="Calibri" w:hAnsi="Calibri"/>
          <w:color w:val="1A1A1A"/>
          <w:sz w:val="22"/>
          <w:szCs w:val="22"/>
        </w:rPr>
        <w:t xml:space="preserve">AMC start date, end date, AMC vendor</w:t>
      </w:r>
    </w:p>
    <w:p>
      <w:pPr>
        <w:pStyle w:val="Heading2"/>
        <w:spacing w:after="120" w:before="280"/>
      </w:pPr>
      <w:r>
        <w:rPr>
          <w:rFonts w:ascii="Calibri" w:cs="Calibri" w:eastAsia="Calibri" w:hAnsi="Calibri"/>
          <w:b/>
          <w:bCs/>
          <w:color w:val="006633"/>
          <w:sz w:val="26"/>
          <w:szCs w:val="26"/>
        </w:rPr>
        <w:t xml:space="preserve">Scale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Total assets under management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1,000 – 5,000</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Active assignments at any time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~5,000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Historical assignment rows (10 years)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~50,000</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Concurrent users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10 – 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Database size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Under 1 GB</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Target response time (common queries)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Under 500 ms</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3. Core Architectural Decisions</w:t>
      </w:r>
    </w:p>
    <w:p>
      <w:pPr>
        <w:spacing w:after="60" w:before="60" w:line="300"/>
        <w:jc w:val="left"/>
      </w:pPr>
      <w:r>
        <w:rPr>
          <w:rFonts w:ascii="Calibri" w:cs="Calibri" w:eastAsia="Calibri" w:hAnsi="Calibri"/>
          <w:b w:val="false"/>
          <w:bCs w:val="false"/>
          <w:i w:val="false"/>
          <w:iCs w:val="false"/>
          <w:color w:val="1A1A1A"/>
          <w:sz w:val="22"/>
          <w:szCs w:val="22"/>
        </w:rPr>
        <w:t xml:space="preserve">Nine foundational decisions shape the entire system. Each one addresses a specific real-world requirement and removes a common failure mode in inventory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560"/>
      </w:tblGrid>
      <w:tr>
        <w:trPr>
          <w:tblHeader/>
        </w:trPr>
        <w:tc>
          <w:tcPr>
            <w:tcW w:type="dxa" w:w="7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w:t>
            </w:r>
          </w:p>
        </w:tc>
        <w:tc>
          <w:tcPr>
            <w:tcW w:type="dxa" w:w="31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Decision</w:t>
            </w:r>
          </w:p>
        </w:tc>
        <w:tc>
          <w:tcPr>
            <w:tcW w:type="dxa" w:w="5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What It Solves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Parent asset with replaceable child components</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PC Set is tracked as a single unit, but its monitor, CPU, keyboard, mouse, and RAM modules are tracked as individually replaceable components with their own history</w:t>
            </w:r>
          </w:p>
        </w:tc>
      </w:tr>
      <w:tr>
        <w:tc>
          <w:tcPr>
            <w:tcW w:type="dxa" w:w="7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2</w:t>
            </w:r>
          </w:p>
        </w:tc>
        <w:tc>
          <w:tcPr>
            <w:tcW w:type="dxa" w:w="31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Unified Assignee table (no GenericForeignKey)</w:t>
            </w:r>
          </w:p>
        </w:tc>
        <w:tc>
          <w:tcPr>
            <w:tcW w:type="dxa" w:w="5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single clean abstraction for Employee, MP, Office, and Location holders. Reports and queries use one JOIN instead of conditional unions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3</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Immutable assignment rows (close + open)</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Every transfer closes the previous assignment and opens a new one. No row is ever modified after creation, producing a perfect audit trail</w:t>
            </w:r>
          </w:p>
        </w:tc>
      </w:tr>
      <w:tr>
        <w:tc>
          <w:tcPr>
            <w:tcW w:type="dxa" w:w="7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4</w:t>
            </w:r>
          </w:p>
        </w:tc>
        <w:tc>
          <w:tcPr>
            <w:tcW w:type="dxa" w:w="31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Assignee snapshot (JSON field)</w:t>
            </w:r>
          </w:p>
        </w:tc>
        <w:tc>
          <w:tcPr>
            <w:tcW w:type="dxa" w:w="5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Freezes the holder name, designation, and department at the moment of assignment. Reports from three years ago continue to show the correct historical designation even after promotions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5</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TransferBatch model for bulk operations</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When one person releases many assets, each asset can go to a different destination (another person, stock, maintenance). All tied under one batch reference</w:t>
            </w:r>
          </w:p>
        </w:tc>
      </w:tr>
      <w:tr>
        <w:tc>
          <w:tcPr>
            <w:tcW w:type="dxa" w:w="7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6</w:t>
            </w:r>
          </w:p>
        </w:tc>
        <w:tc>
          <w:tcPr>
            <w:tcW w:type="dxa" w:w="31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Status state machine</w:t>
            </w:r>
          </w:p>
        </w:tc>
        <w:tc>
          <w:tcPr>
            <w:tcW w:type="dxa" w:w="5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status follows a strict transition graph. Impossible states (for example, assigning a disposed asset) are prevented at the model level</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7</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On-demand external API sync</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"Sync Now" button pulls Employee/MP/Office data into a local cache. The system continues to function when the external API is unavailable</w:t>
            </w:r>
          </w:p>
        </w:tc>
      </w:tr>
      <w:tr>
        <w:tc>
          <w:tcPr>
            <w:tcW w:type="dxa" w:w="7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8</w:t>
            </w:r>
          </w:p>
        </w:tc>
        <w:tc>
          <w:tcPr>
            <w:tcW w:type="dxa" w:w="31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 code identification</w:t>
            </w:r>
          </w:p>
        </w:tc>
        <w:tc>
          <w:tcPr>
            <w:tcW w:type="dxa" w:w="5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Every asset carries a printed QR code. Scanning it on a phone opens a mobile action page showing current status and allowing transfer, event logging, or audit scan</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9</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Inactive holder alerts (flag, never delete)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When a holder disappears from the external API, the system flags them as inactive and raises an alert. Their active assignments are preserved for human remediation</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4. System Components</w:t>
      </w:r>
    </w:p>
    <w:p>
      <w:pPr>
        <w:spacing w:after="60" w:before="60" w:line="300"/>
        <w:jc w:val="left"/>
      </w:pPr>
      <w:r>
        <w:rPr>
          <w:rFonts w:ascii="Calibri" w:cs="Calibri" w:eastAsia="Calibri" w:hAnsi="Calibri"/>
          <w:b w:val="false"/>
          <w:bCs w:val="false"/>
          <w:i w:val="false"/>
          <w:iCs w:val="false"/>
          <w:color w:val="1A1A1A"/>
          <w:sz w:val="22"/>
          <w:szCs w:val="22"/>
        </w:rPr>
        <w:t xml:space="preserve">The system is organized as seven Django applications, each with a single clear responsibility. This separation allows each module to evolve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Django App</w:t>
            </w:r>
          </w:p>
        </w:tc>
        <w:tc>
          <w:tcPr>
            <w:tcW w:type="dxa" w:w="69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catalog: categories, types, specification schemas, asset items, and replaceable components</w:t>
            </w:r>
          </w:p>
        </w:tc>
      </w:tr>
      <w:tr>
        <w:tc>
          <w:tcPr>
            <w:tcW w:type="dxa" w:w="24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assignees</w:t>
            </w:r>
          </w:p>
        </w:tc>
        <w:tc>
          <w:tcPr>
            <w:tcW w:type="dxa" w:w="69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Cached Employee / MP / Office records plus the unified Assignee layer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assignments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Assignment records with holder snapshots, TransferBatch for bulk moves</w:t>
            </w:r>
          </w:p>
        </w:tc>
      </w:tr>
      <w:tr>
        <w:tc>
          <w:tcPr>
            <w:tcW w:type="dxa" w:w="24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lifecycle</w:t>
            </w:r>
          </w:p>
        </w:tc>
        <w:tc>
          <w:tcPr>
            <w:tcW w:type="dxa" w:w="69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Lifecycle events: maintenance, lost, damaged, disposed, component swaps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locations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Location hierarchy: building, floor, room, rack, network point</w:t>
            </w:r>
          </w:p>
        </w:tc>
      </w:tr>
      <w:tr>
        <w:tc>
          <w:tcPr>
            <w:tcW w:type="dxa" w:w="24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qrcodes</w:t>
            </w:r>
          </w:p>
        </w:tc>
        <w:tc>
          <w:tcPr>
            <w:tcW w:type="dxa" w:w="69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 code generation, mobile scan views, physical audit sessions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sync</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External API synchronisation and inactive holder detection</w:t>
            </w:r>
          </w:p>
        </w:tc>
      </w:tr>
      <w:tr>
        <w:tc>
          <w:tcPr>
            <w:tcW w:type="dxa" w:w="24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reports</w:t>
            </w:r>
          </w:p>
        </w:tc>
        <w:tc>
          <w:tcPr>
            <w:tcW w:type="dxa" w:w="69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Excel and PDF generation for all reports and forms</w:t>
            </w:r>
          </w:p>
        </w:tc>
      </w:tr>
    </w:tbl>
    <w:p>
      <w:pPr>
        <w:pStyle w:val="Heading2"/>
        <w:spacing w:after="120" w:before="280"/>
      </w:pPr>
      <w:r>
        <w:rPr>
          <w:rFonts w:ascii="Calibri" w:cs="Calibri" w:eastAsia="Calibri" w:hAnsi="Calibri"/>
          <w:b/>
          <w:bCs/>
          <w:color w:val="006633"/>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Choice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Application framework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Django 5.x with Django REST Framework</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PostgreSQL (JSONField for flexible specs)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Frontend approach</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Django templates with HTMX for interactivity</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 code generation</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qrcode Python library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Excel generation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openpyxl</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PDF generation</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WeasyPrint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Task queue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Celery with Redis broker</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Django Allauth, Groups for role-based access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Web server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Nginx + Gunicorn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Deployment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Docker containers on Parliament intranet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Branding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Parliament Green #006633 and Gold #C8A951</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Interface language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English</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5. Data Model Overview</w:t>
      </w:r>
    </w:p>
    <w:p>
      <w:pPr>
        <w:spacing w:after="60" w:before="60" w:line="300"/>
        <w:jc w:val="left"/>
      </w:pPr>
      <w:r>
        <w:rPr>
          <w:rFonts w:ascii="Calibri" w:cs="Calibri" w:eastAsia="Calibri" w:hAnsi="Calibri"/>
          <w:b w:val="false"/>
          <w:bCs w:val="false"/>
          <w:i w:val="false"/>
          <w:iCs w:val="false"/>
          <w:color w:val="1A1A1A"/>
          <w:sz w:val="22"/>
          <w:szCs w:val="22"/>
        </w:rPr>
        <w:t xml:space="preserve">The data model is structured around three central entities and their supporting tables. The full ERD will accompany the next deliverable; this section establishes the conceptual model.</w:t>
      </w:r>
    </w:p>
    <w:p>
      <w:pPr>
        <w:pStyle w:val="Heading2"/>
        <w:spacing w:after="120" w:before="280"/>
      </w:pPr>
      <w:r>
        <w:rPr>
          <w:rFonts w:ascii="Calibri" w:cs="Calibri" w:eastAsia="Calibri" w:hAnsi="Calibri"/>
          <w:b/>
          <w:bCs/>
          <w:color w:val="006633"/>
          <w:sz w:val="26"/>
          <w:szCs w:val="26"/>
        </w:rPr>
        <w:t xml:space="preserve">5.1 The Asset Side</w:t>
      </w:r>
    </w:p>
    <w:p>
      <w:pPr>
        <w:pStyle w:val="ListParagraph"/>
        <w:numPr>
          <w:ilvl w:val="0"/>
          <w:numId w:val="2"/>
        </w:numPr>
        <w:spacing w:after="40" w:before="40" w:line="280"/>
      </w:pPr>
      <w:r>
        <w:rPr>
          <w:rFonts w:ascii="Calibri" w:cs="Calibri" w:eastAsia="Calibri" w:hAnsi="Calibri"/>
          <w:b/>
          <w:bCs/>
          <w:color w:val="1A1A1A"/>
          <w:sz w:val="22"/>
          <w:szCs w:val="22"/>
        </w:rPr>
        <w:t xml:space="preserve">AssetCategory</w:t>
      </w:r>
      <w:r>
        <w:rPr>
          <w:rFonts w:ascii="Calibri" w:cs="Calibri" w:eastAsia="Calibri" w:hAnsi="Calibri"/>
          <w:color w:val="1A1A1A"/>
          <w:sz w:val="22"/>
          <w:szCs w:val="22"/>
        </w:rPr>
        <w:t xml:space="preserve"> — top-level grouping (Computing, Networking, Printing)</w:t>
      </w:r>
    </w:p>
    <w:p>
      <w:pPr>
        <w:pStyle w:val="ListParagraph"/>
        <w:numPr>
          <w:ilvl w:val="0"/>
          <w:numId w:val="2"/>
        </w:numPr>
        <w:spacing w:after="40" w:before="40" w:line="280"/>
      </w:pPr>
      <w:r>
        <w:rPr>
          <w:rFonts w:ascii="Calibri" w:cs="Calibri" w:eastAsia="Calibri" w:hAnsi="Calibri"/>
          <w:b/>
          <w:bCs/>
          <w:color w:val="1A1A1A"/>
          <w:sz w:val="22"/>
          <w:szCs w:val="22"/>
        </w:rPr>
        <w:t xml:space="preserve">AssetType</w:t>
      </w:r>
      <w:r>
        <w:rPr>
          <w:rFonts w:ascii="Calibri" w:cs="Calibri" w:eastAsia="Calibri" w:hAnsi="Calibri"/>
          <w:color w:val="1A1A1A"/>
          <w:sz w:val="22"/>
          <w:szCs w:val="22"/>
        </w:rPr>
        <w:t xml:space="preserve"> — defines a kind of asset (PC_SET, LAPTOP, PRINTER). Each type has a spec schema defining which specification fields apply to it.</w:t>
      </w:r>
    </w:p>
    <w:p>
      <w:pPr>
        <w:pStyle w:val="ListParagraph"/>
        <w:numPr>
          <w:ilvl w:val="0"/>
          <w:numId w:val="2"/>
        </w:numPr>
        <w:spacing w:after="40" w:before="40" w:line="280"/>
      </w:pPr>
      <w:r>
        <w:rPr>
          <w:rFonts w:ascii="Calibri" w:cs="Calibri" w:eastAsia="Calibri" w:hAnsi="Calibri"/>
          <w:b/>
          <w:bCs/>
          <w:color w:val="1A1A1A"/>
          <w:sz w:val="22"/>
          <w:szCs w:val="22"/>
        </w:rPr>
        <w:t xml:space="preserve">AssetItem</w:t>
      </w:r>
      <w:r>
        <w:rPr>
          <w:rFonts w:ascii="Calibri" w:cs="Calibri" w:eastAsia="Calibri" w:hAnsi="Calibri"/>
          <w:color w:val="1A1A1A"/>
          <w:sz w:val="22"/>
          <w:szCs w:val="22"/>
        </w:rPr>
        <w:t xml:space="preserve"> — the trackable unit. Carries a unique asset tag (encoded in the QR code), serial number, brand, model, specifications, current status, storage location, and optional procurement fields.</w:t>
      </w:r>
    </w:p>
    <w:p>
      <w:pPr>
        <w:pStyle w:val="ListParagraph"/>
        <w:numPr>
          <w:ilvl w:val="0"/>
          <w:numId w:val="2"/>
        </w:numPr>
        <w:spacing w:after="40" w:before="40" w:line="280"/>
      </w:pPr>
      <w:r>
        <w:rPr>
          <w:rFonts w:ascii="Calibri" w:cs="Calibri" w:eastAsia="Calibri" w:hAnsi="Calibri"/>
          <w:b/>
          <w:bCs/>
          <w:color w:val="1A1A1A"/>
          <w:sz w:val="22"/>
          <w:szCs w:val="22"/>
        </w:rPr>
        <w:t xml:space="preserve">AssetComponent</w:t>
      </w:r>
      <w:r>
        <w:rPr>
          <w:rFonts w:ascii="Calibri" w:cs="Calibri" w:eastAsia="Calibri" w:hAnsi="Calibri"/>
          <w:color w:val="1A1A1A"/>
          <w:sz w:val="22"/>
          <w:szCs w:val="22"/>
        </w:rPr>
        <w:t xml:space="preserve"> — a child component of a PC Set or similar. Tracks its own serial, specs, and swap history. Removed components retain their record with a removal timestamp and reason.</w:t>
      </w:r>
    </w:p>
    <w:p>
      <w:pPr>
        <w:pStyle w:val="Heading2"/>
        <w:spacing w:after="120" w:before="280"/>
      </w:pPr>
      <w:r>
        <w:rPr>
          <w:rFonts w:ascii="Calibri" w:cs="Calibri" w:eastAsia="Calibri" w:hAnsi="Calibri"/>
          <w:b/>
          <w:bCs/>
          <w:color w:val="006633"/>
          <w:sz w:val="26"/>
          <w:szCs w:val="26"/>
        </w:rPr>
        <w:t xml:space="preserve">5.2 The Holder Side</w:t>
      </w:r>
    </w:p>
    <w:p>
      <w:pPr>
        <w:pStyle w:val="ListParagraph"/>
        <w:numPr>
          <w:ilvl w:val="0"/>
          <w:numId w:val="2"/>
        </w:numPr>
        <w:spacing w:after="40" w:before="40" w:line="280"/>
      </w:pPr>
      <w:r>
        <w:rPr>
          <w:rFonts w:ascii="Calibri" w:cs="Calibri" w:eastAsia="Calibri" w:hAnsi="Calibri"/>
          <w:b/>
          <w:bCs/>
          <w:color w:val="1A1A1A"/>
          <w:sz w:val="22"/>
          <w:szCs w:val="22"/>
        </w:rPr>
        <w:t xml:space="preserve">CachedEmployee</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CachedMP</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CachedOffice</w:t>
      </w:r>
      <w:r>
        <w:rPr>
          <w:rFonts w:ascii="Calibri" w:cs="Calibri" w:eastAsia="Calibri" w:hAnsi="Calibri"/>
          <w:color w:val="1A1A1A"/>
          <w:sz w:val="22"/>
          <w:szCs w:val="22"/>
        </w:rPr>
        <w:t xml:space="preserve"> — local cache of external API data. Each record carries an active flag, inactive timestamp, and last-seen-active timestamp.</w:t>
      </w:r>
    </w:p>
    <w:p>
      <w:pPr>
        <w:pStyle w:val="ListParagraph"/>
        <w:numPr>
          <w:ilvl w:val="0"/>
          <w:numId w:val="2"/>
        </w:numPr>
        <w:spacing w:after="40" w:before="40" w:line="280"/>
      </w:pPr>
      <w:r>
        <w:rPr>
          <w:rFonts w:ascii="Calibri" w:cs="Calibri" w:eastAsia="Calibri" w:hAnsi="Calibri"/>
          <w:b/>
          <w:bCs/>
          <w:color w:val="1A1A1A"/>
          <w:sz w:val="22"/>
          <w:szCs w:val="22"/>
        </w:rPr>
        <w:t xml:space="preserve">Location</w:t>
      </w:r>
      <w:r>
        <w:rPr>
          <w:rFonts w:ascii="Calibri" w:cs="Calibri" w:eastAsia="Calibri" w:hAnsi="Calibri"/>
          <w:color w:val="1A1A1A"/>
          <w:sz w:val="22"/>
          <w:szCs w:val="22"/>
        </w:rPr>
        <w:t xml:space="preserve"> — building → floor → room hierarchy for physical locations such as the NOC Room or a Server Rack.</w:t>
      </w:r>
    </w:p>
    <w:p>
      <w:pPr>
        <w:pStyle w:val="ListParagraph"/>
        <w:numPr>
          <w:ilvl w:val="0"/>
          <w:numId w:val="2"/>
        </w:numPr>
        <w:spacing w:after="40" w:before="40" w:line="280"/>
      </w:pPr>
      <w:r>
        <w:rPr>
          <w:rFonts w:ascii="Calibri" w:cs="Calibri" w:eastAsia="Calibri" w:hAnsi="Calibri"/>
          <w:b/>
          <w:bCs/>
          <w:color w:val="1A1A1A"/>
          <w:sz w:val="22"/>
          <w:szCs w:val="22"/>
        </w:rPr>
        <w:t xml:space="preserve">Assignee</w:t>
      </w:r>
      <w:r>
        <w:rPr>
          <w:rFonts w:ascii="Calibri" w:cs="Calibri" w:eastAsia="Calibri" w:hAnsi="Calibri"/>
          <w:color w:val="1A1A1A"/>
          <w:sz w:val="22"/>
          <w:szCs w:val="22"/>
        </w:rPr>
        <w:t xml:space="preserve"> — the unified holder abstraction. Exactly one of its four foreign keys (employee, mp, office, location) is populated, determined by the assignee_type field.</w:t>
      </w:r>
    </w:p>
    <w:p>
      <w:pPr>
        <w:pStyle w:val="Heading2"/>
        <w:spacing w:after="120" w:before="280"/>
      </w:pPr>
      <w:r>
        <w:rPr>
          <w:rFonts w:ascii="Calibri" w:cs="Calibri" w:eastAsia="Calibri" w:hAnsi="Calibri"/>
          <w:b/>
          <w:bCs/>
          <w:color w:val="006633"/>
          <w:sz w:val="26"/>
          <w:szCs w:val="26"/>
        </w:rPr>
        <w:t xml:space="preserve">5.3 The History Side</w:t>
      </w:r>
    </w:p>
    <w:p>
      <w:pPr>
        <w:pStyle w:val="ListParagraph"/>
        <w:numPr>
          <w:ilvl w:val="0"/>
          <w:numId w:val="2"/>
        </w:numPr>
        <w:spacing w:after="40" w:before="40" w:line="280"/>
      </w:pPr>
      <w:r>
        <w:rPr>
          <w:rFonts w:ascii="Calibri" w:cs="Calibri" w:eastAsia="Calibri" w:hAnsi="Calibri"/>
          <w:b/>
          <w:bCs/>
          <w:color w:val="1A1A1A"/>
          <w:sz w:val="22"/>
          <w:szCs w:val="22"/>
        </w:rPr>
        <w:t xml:space="preserve">Assignment</w:t>
      </w:r>
      <w:r>
        <w:rPr>
          <w:rFonts w:ascii="Calibri" w:cs="Calibri" w:eastAsia="Calibri" w:hAnsi="Calibri"/>
          <w:color w:val="1A1A1A"/>
          <w:sz w:val="22"/>
          <w:szCs w:val="22"/>
        </w:rPr>
        <w:t xml:space="preserve"> — links an AssetItem to an Assignee. Contains assigned-at and returned-at timestamps, a holder snapshot (JSON), the IT officer who performed the action, and an optional TransferBatch reference. Once returned-at is set, the row becomes historical and is never modified again.</w:t>
      </w:r>
    </w:p>
    <w:p>
      <w:pPr>
        <w:pStyle w:val="ListParagraph"/>
        <w:numPr>
          <w:ilvl w:val="0"/>
          <w:numId w:val="2"/>
        </w:numPr>
        <w:spacing w:after="40" w:before="40" w:line="280"/>
      </w:pPr>
      <w:r>
        <w:rPr>
          <w:rFonts w:ascii="Calibri" w:cs="Calibri" w:eastAsia="Calibri" w:hAnsi="Calibri"/>
          <w:b/>
          <w:bCs/>
          <w:color w:val="1A1A1A"/>
          <w:sz w:val="22"/>
          <w:szCs w:val="22"/>
        </w:rPr>
        <w:t xml:space="preserve">TransferBatch</w:t>
      </w:r>
      <w:r>
        <w:rPr>
          <w:rFonts w:ascii="Calibri" w:cs="Calibri" w:eastAsia="Calibri" w:hAnsi="Calibri"/>
          <w:color w:val="1A1A1A"/>
          <w:sz w:val="22"/>
          <w:szCs w:val="22"/>
        </w:rPr>
        <w:t xml:space="preserve"> — groups multiple Assignment transitions under one batch reference for bulk release operations. Each asset in a batch can have its own destination.</w:t>
      </w:r>
    </w:p>
    <w:p>
      <w:pPr>
        <w:pStyle w:val="ListParagraph"/>
        <w:numPr>
          <w:ilvl w:val="0"/>
          <w:numId w:val="2"/>
        </w:numPr>
        <w:spacing w:after="40" w:before="40" w:line="280"/>
      </w:pPr>
      <w:r>
        <w:rPr>
          <w:rFonts w:ascii="Calibri" w:cs="Calibri" w:eastAsia="Calibri" w:hAnsi="Calibri"/>
          <w:b/>
          <w:bCs/>
          <w:color w:val="1A1A1A"/>
          <w:sz w:val="22"/>
          <w:szCs w:val="22"/>
        </w:rPr>
        <w:t xml:space="preserve">LifecycleEvent</w:t>
      </w:r>
      <w:r>
        <w:rPr>
          <w:rFonts w:ascii="Calibri" w:cs="Calibri" w:eastAsia="Calibri" w:hAnsi="Calibri"/>
          <w:color w:val="1A1A1A"/>
          <w:sz w:val="22"/>
          <w:szCs w:val="22"/>
        </w:rPr>
        <w:t xml:space="preserve"> — logs any event that is not an ownership change: sent for maintenance, returned from maintenance, reported lost, reported damaged, disposed, component swap.</w:t>
      </w:r>
    </w:p>
    <w:p>
      <w:pPr>
        <w:pStyle w:val="ListParagraph"/>
        <w:numPr>
          <w:ilvl w:val="0"/>
          <w:numId w:val="2"/>
        </w:numPr>
        <w:spacing w:after="40" w:before="40" w:line="280"/>
      </w:pPr>
      <w:r>
        <w:rPr>
          <w:rFonts w:ascii="Calibri" w:cs="Calibri" w:eastAsia="Calibri" w:hAnsi="Calibri"/>
          <w:b/>
          <w:bCs/>
          <w:color w:val="1A1A1A"/>
          <w:sz w:val="22"/>
          <w:szCs w:val="22"/>
        </w:rPr>
        <w:t xml:space="preserve">InactiveHolderAlert</w:t>
      </w:r>
      <w:r>
        <w:rPr>
          <w:rFonts w:ascii="Calibri" w:cs="Calibri" w:eastAsia="Calibri" w:hAnsi="Calibri"/>
          <w:color w:val="1A1A1A"/>
          <w:sz w:val="22"/>
          <w:szCs w:val="22"/>
        </w:rPr>
        <w:t xml:space="preserve"> — raised by the sync process when a holder becomes inactive while still holding active assignments. Tracks remediation progress.</w:t>
      </w:r>
    </w:p>
    <w:p>
      <w:pPr>
        <w:pStyle w:val="ListParagraph"/>
        <w:numPr>
          <w:ilvl w:val="0"/>
          <w:numId w:val="2"/>
        </w:numPr>
        <w:spacing w:after="40" w:before="40" w:line="280"/>
      </w:pPr>
      <w:r>
        <w:rPr>
          <w:rFonts w:ascii="Calibri" w:cs="Calibri" w:eastAsia="Calibri" w:hAnsi="Calibri"/>
          <w:b/>
          <w:bCs/>
          <w:color w:val="1A1A1A"/>
          <w:sz w:val="22"/>
          <w:szCs w:val="22"/>
        </w:rPr>
        <w:t xml:space="preserve">AuditSession</w:t>
      </w:r>
      <w:r>
        <w:rPr>
          <w:rFonts w:ascii="Calibri" w:cs="Calibri" w:eastAsia="Calibri" w:hAnsi="Calibri"/>
          <w:color w:val="1A1A1A"/>
          <w:sz w:val="22"/>
          <w:szCs w:val="22"/>
        </w:rPr>
        <w:t xml:space="preserve"> and </w:t>
      </w:r>
      <w:r>
        <w:rPr>
          <w:rFonts w:ascii="Calibri" w:cs="Calibri" w:eastAsia="Calibri" w:hAnsi="Calibri"/>
          <w:b/>
          <w:bCs/>
          <w:color w:val="1A1A1A"/>
          <w:sz w:val="22"/>
          <w:szCs w:val="22"/>
        </w:rPr>
        <w:t xml:space="preserve">AuditScan</w:t>
      </w:r>
      <w:r>
        <w:rPr>
          <w:rFonts w:ascii="Calibri" w:cs="Calibri" w:eastAsia="Calibri" w:hAnsi="Calibri"/>
          <w:color w:val="1A1A1A"/>
          <w:sz w:val="22"/>
          <w:szCs w:val="22"/>
        </w:rPr>
        <w:t xml:space="preserve"> — records a physical inventory audit performed by scanning QR codes with a phone, producing a found / misplaced / missing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16"/>
              <w:bottom w:val="single" w:color="C8A951" w:sz="4"/>
              <w:right w:val="single" w:color="C8A951" w:sz="4"/>
            </w:tcBorders>
            <w:shd w:fill="FAF5E8" w:val="clear"/>
            <w:tcMar>
              <w:top w:type="dxa" w:w="160"/>
              <w:left w:type="dxa" w:w="200"/>
              <w:bottom w:type="dxa" w:w="160"/>
              <w:right w:type="dxa" w:w="200"/>
            </w:tcMar>
          </w:tcPr>
          <w:p>
            <w:pPr>
              <w:spacing w:after="80" w:before="0"/>
            </w:pPr>
            <w:r>
              <w:rPr>
                <w:rFonts w:ascii="Calibri" w:cs="Calibri" w:eastAsia="Calibri" w:hAnsi="Calibri"/>
                <w:b/>
                <w:bCs/>
                <w:color w:val="006633"/>
                <w:sz w:val="22"/>
                <w:szCs w:val="22"/>
              </w:rPr>
              <w:t xml:space="preserve">Why the Snapshot Matters</w:t>
            </w:r>
          </w:p>
          <w:p>
            <w:pPr>
              <w:spacing w:after="0" w:before="0" w:line="280"/>
            </w:pPr>
            <w:r>
              <w:rPr>
                <w:rFonts w:ascii="Calibri" w:cs="Calibri" w:eastAsia="Calibri" w:hAnsi="Calibri"/>
                <w:color w:val="1A1A1A"/>
                <w:sz w:val="22"/>
                <w:szCs w:val="22"/>
              </w:rPr>
              <w:t xml:space="preserve">When an employee is promoted from Section Officer to Deputy Secretary, their cached record updates. Without a snapshot, every historical report would retroactively show them as Deputy Secretary — even for assignments made years earlier. The snapshot JSON is written once at assignment time and never changes, keeping history accurate forever.</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6. Key Workflows</w:t>
      </w:r>
    </w:p>
    <w:p>
      <w:pPr>
        <w:pStyle w:val="Heading2"/>
        <w:spacing w:after="120" w:before="280"/>
      </w:pPr>
      <w:r>
        <w:rPr>
          <w:rFonts w:ascii="Calibri" w:cs="Calibri" w:eastAsia="Calibri" w:hAnsi="Calibri"/>
          <w:b/>
          <w:bCs/>
          <w:color w:val="006633"/>
          <w:sz w:val="26"/>
          <w:szCs w:val="26"/>
        </w:rPr>
        <w:t xml:space="preserve">6.1 Adding an Asset</w:t>
      </w:r>
    </w:p>
    <w:p>
      <w:pPr>
        <w:spacing w:after="60" w:before="60" w:line="300"/>
        <w:jc w:val="left"/>
      </w:pPr>
      <w:r>
        <w:rPr>
          <w:rFonts w:ascii="Calibri" w:cs="Calibri" w:eastAsia="Calibri" w:hAnsi="Calibri"/>
          <w:b w:val="false"/>
          <w:bCs w:val="false"/>
          <w:i w:val="false"/>
          <w:iCs w:val="false"/>
          <w:color w:val="1A1A1A"/>
          <w:sz w:val="22"/>
          <w:szCs w:val="22"/>
        </w:rPr>
        <w:t xml:space="preserve">The IT Officer selects an asset type, the system presents the specification schema for that type, and the officer fills in brand, model, serial, specs, and any optional procurement fields. An asset tag is generated, a QR code is produced for printing, and the asset is placed in a storage location with status IN_STOCK.</w:t>
      </w:r>
    </w:p>
    <w:p>
      <w:pPr>
        <w:pStyle w:val="Heading2"/>
        <w:spacing w:after="120" w:before="280"/>
      </w:pPr>
      <w:r>
        <w:rPr>
          <w:rFonts w:ascii="Calibri" w:cs="Calibri" w:eastAsia="Calibri" w:hAnsi="Calibri"/>
          <w:b/>
          <w:bCs/>
          <w:color w:val="006633"/>
          <w:sz w:val="26"/>
          <w:szCs w:val="26"/>
        </w:rPr>
        <w:t xml:space="preserve">6.2 Assigning an Asset</w:t>
      </w:r>
    </w:p>
    <w:p>
      <w:pPr>
        <w:spacing w:after="60" w:before="60" w:line="300"/>
        <w:jc w:val="left"/>
      </w:pPr>
      <w:r>
        <w:rPr>
          <w:rFonts w:ascii="Calibri" w:cs="Calibri" w:eastAsia="Calibri" w:hAnsi="Calibri"/>
          <w:b w:val="false"/>
          <w:bCs w:val="false"/>
          <w:i w:val="false"/>
          <w:iCs w:val="false"/>
          <w:color w:val="1A1A1A"/>
          <w:sz w:val="22"/>
          <w:szCs w:val="22"/>
        </w:rPr>
        <w:t xml:space="preserve">The officer selects an asset, then searches for a holder (Employee, MP, Office, or Location). The system captures a holder snapshot, creates an Assignment record, sets the asset status to ASSIGNED, and generates a handover PDF for signature.</w:t>
      </w:r>
    </w:p>
    <w:p>
      <w:pPr>
        <w:pStyle w:val="Heading2"/>
        <w:spacing w:after="120" w:before="280"/>
      </w:pPr>
      <w:r>
        <w:rPr>
          <w:rFonts w:ascii="Calibri" w:cs="Calibri" w:eastAsia="Calibri" w:hAnsi="Calibri"/>
          <w:b/>
          <w:bCs/>
          <w:color w:val="006633"/>
          <w:sz w:val="26"/>
          <w:szCs w:val="26"/>
        </w:rPr>
        <w:t xml:space="preserve">6.3 Transferring an Asset</w:t>
      </w:r>
    </w:p>
    <w:p>
      <w:pPr>
        <w:spacing w:after="60" w:before="60" w:line="300"/>
        <w:jc w:val="left"/>
      </w:pPr>
      <w:r>
        <w:rPr>
          <w:rFonts w:ascii="Calibri" w:cs="Calibri" w:eastAsia="Calibri" w:hAnsi="Calibri"/>
          <w:b w:val="false"/>
          <w:bCs w:val="false"/>
          <w:i w:val="false"/>
          <w:iCs w:val="false"/>
          <w:color w:val="1A1A1A"/>
          <w:sz w:val="22"/>
          <w:szCs w:val="22"/>
        </w:rPr>
        <w:t xml:space="preserve">On transfer, the current active Assignment has its returned-at set to now. A new Assignment is opened for the new holder, linked to the previous one. The chain of transfer is preserved fully. Neither row is ever modified again.</w:t>
      </w:r>
    </w:p>
    <w:p>
      <w:pPr>
        <w:pStyle w:val="Heading2"/>
        <w:spacing w:after="120" w:before="280"/>
      </w:pPr>
      <w:r>
        <w:rPr>
          <w:rFonts w:ascii="Calibri" w:cs="Calibri" w:eastAsia="Calibri" w:hAnsi="Calibri"/>
          <w:b/>
          <w:bCs/>
          <w:color w:val="006633"/>
          <w:sz w:val="26"/>
          <w:szCs w:val="26"/>
        </w:rPr>
        <w:t xml:space="preserve">6.4 Bulk Transfer with Mixed Destinations</w:t>
      </w:r>
    </w:p>
    <w:p>
      <w:pPr>
        <w:spacing w:after="60" w:before="60" w:line="300"/>
        <w:jc w:val="left"/>
      </w:pPr>
      <w:r>
        <w:rPr>
          <w:rFonts w:ascii="Calibri" w:cs="Calibri" w:eastAsia="Calibri" w:hAnsi="Calibri"/>
          <w:b w:val="false"/>
          <w:bCs w:val="false"/>
          <w:i w:val="false"/>
          <w:iCs w:val="false"/>
          <w:color w:val="1A1A1A"/>
          <w:sz w:val="22"/>
          <w:szCs w:val="22"/>
        </w:rPr>
        <w:t xml:space="preserve">When an employee or office releases multiple assets at once, the officer selects the source holder and the set of assets to move. For each asset, a separate destination is chosen — another person, office, stock, or maintenance. A TransferBatch groups all resulting Assignment transitions under one reference, producing a single handover document.</w:t>
      </w:r>
    </w:p>
    <w:p>
      <w:pPr>
        <w:pStyle w:val="Heading2"/>
        <w:spacing w:after="120" w:before="280"/>
      </w:pPr>
      <w:r>
        <w:rPr>
          <w:rFonts w:ascii="Calibri" w:cs="Calibri" w:eastAsia="Calibri" w:hAnsi="Calibri"/>
          <w:b/>
          <w:bCs/>
          <w:color w:val="006633"/>
          <w:sz w:val="26"/>
          <w:szCs w:val="26"/>
        </w:rPr>
        <w:t xml:space="preserve">6.5 Lifecycle Events</w:t>
      </w:r>
    </w:p>
    <w:p>
      <w:pPr>
        <w:spacing w:after="60" w:before="60" w:line="300"/>
        <w:jc w:val="left"/>
      </w:pPr>
      <w:r>
        <w:rPr>
          <w:rFonts w:ascii="Calibri" w:cs="Calibri" w:eastAsia="Calibri" w:hAnsi="Calibri"/>
          <w:b w:val="false"/>
          <w:bCs w:val="false"/>
          <w:i w:val="false"/>
          <w:iCs w:val="false"/>
          <w:color w:val="1A1A1A"/>
          <w:sz w:val="22"/>
          <w:szCs w:val="22"/>
        </w:rPr>
        <w:t xml:space="preserve">Maintenance, loss, damage, and disposal are logged as LifecycleEvent records with timestamps, descriptions, vendor details where applicable, and optional attachments. The asset status is updated accordingly. Disposal events carry a disposal certificate reference and committee minute number.</w:t>
      </w:r>
    </w:p>
    <w:p>
      <w:pPr>
        <w:pStyle w:val="Heading2"/>
        <w:spacing w:after="120" w:before="280"/>
      </w:pPr>
      <w:r>
        <w:rPr>
          <w:rFonts w:ascii="Calibri" w:cs="Calibri" w:eastAsia="Calibri" w:hAnsi="Calibri"/>
          <w:b/>
          <w:bCs/>
          <w:color w:val="006633"/>
          <w:sz w:val="26"/>
          <w:szCs w:val="26"/>
        </w:rPr>
        <w:t xml:space="preserve">6.6 Physical Stock Audit</w:t>
      </w:r>
    </w:p>
    <w:p>
      <w:pPr>
        <w:spacing w:after="60" w:before="60" w:line="300"/>
        <w:jc w:val="left"/>
      </w:pPr>
      <w:r>
        <w:rPr>
          <w:rFonts w:ascii="Calibri" w:cs="Calibri" w:eastAsia="Calibri" w:hAnsi="Calibri"/>
          <w:b w:val="false"/>
          <w:bCs w:val="false"/>
          <w:i w:val="false"/>
          <w:iCs w:val="false"/>
          <w:color w:val="1A1A1A"/>
          <w:sz w:val="22"/>
          <w:szCs w:val="22"/>
        </w:rPr>
        <w:t xml:space="preserve">The IT team starts an AuditSession and walks through the premises scanning QR codes with a phone. Each scan records the timestamp and the scanned location. At the end, the system produces a report comparing scanned locations against expected locations, highlighting found-correctly, found-misplaced, and not-found assets.</w:t>
      </w:r>
    </w:p>
    <w:p>
      <w:pPr>
        <w:pStyle w:val="Heading2"/>
        <w:spacing w:after="120" w:before="280"/>
      </w:pPr>
      <w:r>
        <w:rPr>
          <w:rFonts w:ascii="Calibri" w:cs="Calibri" w:eastAsia="Calibri" w:hAnsi="Calibri"/>
          <w:b/>
          <w:bCs/>
          <w:color w:val="006633"/>
          <w:sz w:val="26"/>
          <w:szCs w:val="26"/>
        </w:rPr>
        <w:t xml:space="preserve">6.7 External API Synchronisation</w:t>
      </w:r>
    </w:p>
    <w:p>
      <w:pPr>
        <w:spacing w:after="60" w:before="60" w:line="300"/>
        <w:jc w:val="left"/>
      </w:pPr>
      <w:r>
        <w:rPr>
          <w:rFonts w:ascii="Calibri" w:cs="Calibri" w:eastAsia="Calibri" w:hAnsi="Calibri"/>
          <w:b w:val="false"/>
          <w:bCs w:val="false"/>
          <w:i w:val="false"/>
          <w:iCs w:val="false"/>
          <w:color w:val="1A1A1A"/>
          <w:sz w:val="22"/>
          <w:szCs w:val="22"/>
        </w:rPr>
        <w:t xml:space="preserve">An Admin clicks Sync Now. The system calls the external API, creates or updates CachedEmployee / CachedMP / CachedOffice records, and flags any previously-active holder who did not appear in the response as inactive. Records are never deleted. The last sync timestamp is visible on the dashboard.</w:t>
      </w:r>
    </w:p>
    <w:p>
      <w:pPr>
        <w:pStyle w:val="Heading2"/>
        <w:spacing w:after="120" w:before="280"/>
      </w:pPr>
      <w:r>
        <w:rPr>
          <w:rFonts w:ascii="Calibri" w:cs="Calibri" w:eastAsia="Calibri" w:hAnsi="Calibri"/>
          <w:b/>
          <w:bCs/>
          <w:color w:val="006633"/>
          <w:sz w:val="26"/>
          <w:szCs w:val="26"/>
        </w:rPr>
        <w:t xml:space="preserve">6.8 Clearance for Exiting Employees</w:t>
      </w:r>
    </w:p>
    <w:p>
      <w:pPr>
        <w:spacing w:after="60" w:before="60" w:line="300"/>
        <w:jc w:val="left"/>
      </w:pPr>
      <w:r>
        <w:rPr>
          <w:rFonts w:ascii="Calibri" w:cs="Calibri" w:eastAsia="Calibri" w:hAnsi="Calibri"/>
          <w:b w:val="false"/>
          <w:bCs w:val="false"/>
          <w:i w:val="false"/>
          <w:iCs w:val="false"/>
          <w:color w:val="1A1A1A"/>
          <w:sz w:val="22"/>
          <w:szCs w:val="22"/>
        </w:rPr>
        <w:t xml:space="preserve">On an employee's detail page, the IT Officer clicks Generate Clearance List to produce a PDF listing all currently held assets. This is used during physical exit clearance. After all assets are returned or transferred, the clearance is complete.</w:t>
      </w:r>
    </w:p>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7. Asset History Features</w:t>
      </w:r>
    </w:p>
    <w:p>
      <w:pPr>
        <w:spacing w:after="60" w:before="60" w:line="300"/>
        <w:jc w:val="left"/>
      </w:pPr>
      <w:r>
        <w:rPr>
          <w:rFonts w:ascii="Calibri" w:cs="Calibri" w:eastAsia="Calibri" w:hAnsi="Calibri"/>
          <w:b w:val="false"/>
          <w:bCs w:val="false"/>
          <w:i w:val="false"/>
          <w:iCs w:val="false"/>
          <w:color w:val="1A1A1A"/>
          <w:sz w:val="22"/>
          <w:szCs w:val="22"/>
        </w:rPr>
        <w:t xml:space="preserve">A core design goal is that asset history should be navigable in every direction — from asset to people, from people to assets, and from a past relationship to any related record. All of this is delivered using the existing Assignment data with no additional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Starting Point</w:t>
            </w:r>
          </w:p>
        </w:tc>
        <w:tc>
          <w:tcPr>
            <w:tcW w:type="dxa" w:w="47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What the User Can See</w:t>
            </w:r>
          </w:p>
        </w:tc>
        <w:tc>
          <w:tcPr>
            <w:tcW w:type="dxa" w:w="26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Key Action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An asset</w:t>
            </w:r>
          </w:p>
        </w:tc>
        <w:tc>
          <w:tcPr>
            <w:tcW w:type="dxa" w:w="4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Full timeline of every holder the asset has had, with durations and status transitions</w:t>
            </w:r>
          </w:p>
        </w:tc>
        <w:tc>
          <w:tcPr>
            <w:tcW w:type="dxa" w:w="2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View timeline on asset detail page</w:t>
            </w:r>
          </w:p>
        </w:tc>
      </w:tr>
      <w:tr>
        <w:tc>
          <w:tcPr>
            <w:tcW w:type="dxa" w:w="2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person or office</w:t>
            </w:r>
          </w:p>
        </w:tc>
        <w:tc>
          <w:tcPr>
            <w:tcW w:type="dxa" w:w="47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Currently held assets plus previously held assets with their current status</w:t>
            </w:r>
          </w:p>
        </w:tc>
        <w:tc>
          <w:tcPr>
            <w:tcW w:type="dxa" w:w="26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Click any past asset to jump to its detail</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past holder as search filter</w:t>
            </w:r>
          </w:p>
        </w:tc>
        <w:tc>
          <w:tcPr>
            <w:tcW w:type="dxa" w:w="4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All assets ever used by that holder, grouped by current availability (stock / with others / unavailable)</w:t>
            </w:r>
          </w:p>
        </w:tc>
        <w:tc>
          <w:tcPr>
            <w:tcW w:type="dxa" w:w="2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 any such asset to any person in one flow</w:t>
            </w:r>
          </w:p>
        </w:tc>
      </w:tr>
      <w:tr>
        <w:tc>
          <w:tcPr>
            <w:tcW w:type="dxa" w:w="2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Stock list</w:t>
            </w:r>
          </w:p>
        </w:tc>
        <w:tc>
          <w:tcPr>
            <w:tcW w:type="dxa" w:w="47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"Last Used By" column showing the most recent holder and when they returned it</w:t>
            </w:r>
          </w:p>
        </w:tc>
        <w:tc>
          <w:tcPr>
            <w:tcW w:type="dxa" w:w="26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Informed decision before clicking Assign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 dialog</w:t>
            </w:r>
          </w:p>
        </w:tc>
        <w:tc>
          <w:tcPr>
            <w:tcW w:type="dxa" w:w="4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Previous holders shown as quick-pick chips for single-click re-assignment</w:t>
            </w:r>
          </w:p>
        </w:tc>
        <w:tc>
          <w:tcPr>
            <w:tcW w:type="dxa" w:w="2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One-click re-assign to the previous holder</w:t>
            </w:r>
          </w:p>
        </w:tc>
      </w:tr>
    </w:tbl>
    <w:p>
      <w:pPr>
        <w:pStyle w:val="Heading2"/>
        <w:spacing w:after="120" w:before="280"/>
      </w:pPr>
      <w:r>
        <w:rPr>
          <w:rFonts w:ascii="Calibri" w:cs="Calibri" w:eastAsia="Calibri" w:hAnsi="Calibri"/>
          <w:b/>
          <w:bCs/>
          <w:color w:val="006633"/>
          <w:sz w:val="26"/>
          <w:szCs w:val="26"/>
        </w:rPr>
        <w:t xml:space="preserve">History Search Page</w:t>
      </w:r>
    </w:p>
    <w:p>
      <w:pPr>
        <w:spacing w:after="60" w:before="60" w:line="300"/>
        <w:jc w:val="left"/>
      </w:pPr>
      <w:r>
        <w:rPr>
          <w:rFonts w:ascii="Calibri" w:cs="Calibri" w:eastAsia="Calibri" w:hAnsi="Calibri"/>
          <w:b w:val="false"/>
          <w:bCs w:val="false"/>
          <w:i w:val="false"/>
          <w:iCs w:val="false"/>
          <w:color w:val="1A1A1A"/>
          <w:sz w:val="22"/>
          <w:szCs w:val="22"/>
        </w:rPr>
        <w:t xml:space="preserve">A dedicated search page accepts a holder as the filter criterion and returns every asset ever held by that person or office. Results are grouped by current availability so the officer immediately sees which ones are easy to re-use. Every result has an Assign action that opens the standard assignment dialog, allowing re-assignment to anyone — not necessarily the original 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16"/>
              <w:bottom w:val="single" w:color="C8A951" w:sz="4"/>
              <w:right w:val="single" w:color="C8A951" w:sz="4"/>
            </w:tcBorders>
            <w:shd w:fill="FAF5E8" w:val="clear"/>
            <w:tcMar>
              <w:top w:type="dxa" w:w="160"/>
              <w:left w:type="dxa" w:w="200"/>
              <w:bottom w:type="dxa" w:w="160"/>
              <w:right w:type="dxa" w:w="200"/>
            </w:tcMar>
          </w:tcPr>
          <w:p>
            <w:pPr>
              <w:spacing w:after="80" w:before="0"/>
            </w:pPr>
            <w:r>
              <w:rPr>
                <w:rFonts w:ascii="Calibri" w:cs="Calibri" w:eastAsia="Calibri" w:hAnsi="Calibri"/>
                <w:b/>
                <w:bCs/>
                <w:color w:val="006633"/>
                <w:sz w:val="22"/>
                <w:szCs w:val="22"/>
              </w:rPr>
              <w:t xml:space="preserve">Design Note on History</w:t>
            </w:r>
          </w:p>
          <w:p>
            <w:pPr>
              <w:spacing w:after="0" w:before="0" w:line="280"/>
            </w:pPr>
            <w:r>
              <w:rPr>
                <w:rFonts w:ascii="Calibri" w:cs="Calibri" w:eastAsia="Calibri" w:hAnsi="Calibri"/>
                <w:color w:val="1A1A1A"/>
                <w:sz w:val="22"/>
                <w:szCs w:val="22"/>
              </w:rPr>
              <w:t xml:space="preserve">All history features are derived from the immutable Assignment table. No additional tables, columns, or caching layers are needed. The performance cost at this scale (fewer than 100,000 rows) is negligible with appropriate indexes on (asset_id, returned_at) and (assignee_id, is_active).</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8. Edge Cases Handled</w:t>
      </w:r>
    </w:p>
    <w:p>
      <w:pPr>
        <w:spacing w:after="60" w:before="60" w:line="300"/>
        <w:jc w:val="left"/>
      </w:pPr>
      <w:r>
        <w:rPr>
          <w:rFonts w:ascii="Calibri" w:cs="Calibri" w:eastAsia="Calibri" w:hAnsi="Calibri"/>
          <w:b w:val="false"/>
          <w:bCs w:val="false"/>
          <w:i w:val="false"/>
          <w:iCs w:val="false"/>
          <w:color w:val="1A1A1A"/>
          <w:sz w:val="22"/>
          <w:szCs w:val="22"/>
        </w:rPr>
        <w:t xml:space="preserve">The following table documents every real-world edge case the design addresses and the mechanism that handles it. This list is the result of an iterative review of the architecture and represents the known hazards for a government IT inventory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Situation</w:t>
            </w:r>
          </w:p>
        </w:tc>
        <w:tc>
          <w:tcPr>
            <w:tcW w:type="dxa" w:w="6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How the System Handles It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Employee designation changes after assignment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assignee_snapshot JSON field freezes the designation at assignment time. Historical reports display the correct historical designation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Employee becomes inactive in the external API</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The cached record is flagged inactive (never deleted). An alert is raised for the IT Officer. All active assignments remain linked until human remediation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Inactive employee reappears in the API</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The next sync automatically reactivates the record and resolves any open alert</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Parliamentary term ends (300 MPs become inactive at once)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Dedicated mass-clearance workflow surfaces the full list, allowing bulk transfer of all MP-held assets to stock or to incoming MPs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Office is restructured or renamed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Old office cached record is flagged inactive. The IT Officer bulk-transfers assets from the old office to the new office</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Deceased employee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Manual inactive-reason flag with sensitivity suppression. Clearance list generated for department handover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transferred to the wrong person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Standard transfer workflow corrects the mistake. Original transfer remains in history for accountability</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External API is unavailable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System continues functioning on the local cache. The dashboard shows the last successful sync timestamp with a staleness indicator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Migrating from existing Excel inventory records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 dedicated Excel import tool delivered in Phase 1 performs dry-run validation, handles legacy data gaps, and commits only after review</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physically lost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LifecycleEvent with type REPORTED_LOST logged. Asset status moves to LOST. Investigation notes maintained in event description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disposed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LifecycleEvent with type DISPOSED logged with disposal certificate reference. Asset status moves to DISPOSED but record is preserved permanently</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Component (for example RAM, monitor) replaced</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Old AssetComponent gets removed-at timestamp and removal reason. New AssetComponent is linked to the same parent AssetItem. Both remain queryable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Multiple assets released from one holder with different destinations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TransferBatch groups the transfers under one reference. Each asset's destination is chosen independently in the same workflow</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with past holder currently in stock</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Stock list highlights this context. Suggestion appears when the same past holder is being assigned a new asset of the same type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Audit compliance review spanning many years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Immutable assignments, snapshots, and event log produce a complete forensic timeline for any asset at any past date</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9. The Inactive Holder Scenario</w:t>
      </w:r>
    </w:p>
    <w:p>
      <w:pPr>
        <w:spacing w:after="60" w:before="60" w:line="300"/>
        <w:jc w:val="left"/>
      </w:pPr>
      <w:r>
        <w:rPr>
          <w:rFonts w:ascii="Calibri" w:cs="Calibri" w:eastAsia="Calibri" w:hAnsi="Calibri"/>
          <w:b w:val="false"/>
          <w:bCs w:val="false"/>
          <w:i w:val="false"/>
          <w:iCs w:val="false"/>
          <w:color w:val="1A1A1A"/>
          <w:sz w:val="22"/>
          <w:szCs w:val="22"/>
        </w:rPr>
        <w:t xml:space="preserve">This scenario received dedicated architectural attention because it is the most common source of data integrity failure in inventory systems. The behaviour is documented here in full.</w:t>
      </w:r>
    </w:p>
    <w:p>
      <w:pPr>
        <w:pStyle w:val="Heading2"/>
        <w:spacing w:after="120" w:before="280"/>
      </w:pPr>
      <w:r>
        <w:rPr>
          <w:rFonts w:ascii="Calibri" w:cs="Calibri" w:eastAsia="Calibri" w:hAnsi="Calibri"/>
          <w:b/>
          <w:bCs/>
          <w:color w:val="006633"/>
          <w:sz w:val="26"/>
          <w:szCs w:val="26"/>
        </w:rPr>
        <w:t xml:space="preserve">9.1 What Triggers It</w:t>
      </w:r>
    </w:p>
    <w:p>
      <w:pPr>
        <w:spacing w:after="60" w:before="60" w:line="300"/>
        <w:jc w:val="left"/>
      </w:pPr>
      <w:r>
        <w:rPr>
          <w:rFonts w:ascii="Calibri" w:cs="Calibri" w:eastAsia="Calibri" w:hAnsi="Calibri"/>
          <w:b w:val="false"/>
          <w:bCs w:val="false"/>
          <w:i w:val="false"/>
          <w:iCs w:val="false"/>
          <w:color w:val="1A1A1A"/>
          <w:sz w:val="22"/>
          <w:szCs w:val="22"/>
        </w:rPr>
        <w:t xml:space="preserve">During an on-demand API sync, the system receives a list of active Employees, MPs, or Offices. Any cached record that was previously active but does not appear in the new response is flagged as inactive. This may be caused by retirement, resignation, transfer out, end of MP term, office restructuring, or other reasons.</w:t>
      </w:r>
    </w:p>
    <w:p>
      <w:pPr>
        <w:pStyle w:val="Heading2"/>
        <w:spacing w:after="120" w:before="280"/>
      </w:pPr>
      <w:r>
        <w:rPr>
          <w:rFonts w:ascii="Calibri" w:cs="Calibri" w:eastAsia="Calibri" w:hAnsi="Calibri"/>
          <w:b/>
          <w:bCs/>
          <w:color w:val="006633"/>
          <w:sz w:val="26"/>
          <w:szCs w:val="26"/>
        </w:rPr>
        <w:t xml:space="preserve">9.2 What the System Does — and Does Not Do</w:t>
      </w:r>
    </w:p>
    <w:p>
      <w:pPr>
        <w:pStyle w:val="ListParagraph"/>
        <w:numPr>
          <w:ilvl w:val="0"/>
          <w:numId w:val="2"/>
        </w:numPr>
        <w:spacing w:after="40" w:before="40" w:line="280"/>
      </w:pPr>
      <w:r>
        <w:rPr>
          <w:rFonts w:ascii="Calibri" w:cs="Calibri" w:eastAsia="Calibri" w:hAnsi="Calibri"/>
          <w:b/>
          <w:bCs/>
          <w:color w:val="1A1A1A"/>
          <w:sz w:val="22"/>
          <w:szCs w:val="22"/>
        </w:rPr>
        <w:t xml:space="preserve">Does: </w:t>
      </w:r>
      <w:r>
        <w:rPr>
          <w:rFonts w:ascii="Calibri" w:cs="Calibri" w:eastAsia="Calibri" w:hAnsi="Calibri"/>
          <w:color w:val="1A1A1A"/>
          <w:sz w:val="22"/>
          <w:szCs w:val="22"/>
        </w:rPr>
        <w:t xml:space="preserve">Flag the cached record as inactive with a timestamp and reason field</w:t>
      </w:r>
    </w:p>
    <w:p>
      <w:pPr>
        <w:pStyle w:val="ListParagraph"/>
        <w:numPr>
          <w:ilvl w:val="0"/>
          <w:numId w:val="2"/>
        </w:numPr>
        <w:spacing w:after="40" w:before="40" w:line="280"/>
      </w:pPr>
      <w:r>
        <w:rPr>
          <w:rFonts w:ascii="Calibri" w:cs="Calibri" w:eastAsia="Calibri" w:hAnsi="Calibri"/>
          <w:b/>
          <w:bCs/>
          <w:color w:val="1A1A1A"/>
          <w:sz w:val="22"/>
          <w:szCs w:val="22"/>
        </w:rPr>
        <w:t xml:space="preserve">Does: </w:t>
      </w:r>
      <w:r>
        <w:rPr>
          <w:rFonts w:ascii="Calibri" w:cs="Calibri" w:eastAsia="Calibri" w:hAnsi="Calibri"/>
          <w:color w:val="1A1A1A"/>
          <w:sz w:val="22"/>
          <w:szCs w:val="22"/>
        </w:rPr>
        <w:t xml:space="preserve">Preserve all active assignments linking the asset to this holder</w:t>
      </w:r>
    </w:p>
    <w:p>
      <w:pPr>
        <w:pStyle w:val="ListParagraph"/>
        <w:numPr>
          <w:ilvl w:val="0"/>
          <w:numId w:val="2"/>
        </w:numPr>
        <w:spacing w:after="40" w:before="40" w:line="280"/>
      </w:pPr>
      <w:r>
        <w:rPr>
          <w:rFonts w:ascii="Calibri" w:cs="Calibri" w:eastAsia="Calibri" w:hAnsi="Calibri"/>
          <w:b/>
          <w:bCs/>
          <w:color w:val="1A1A1A"/>
          <w:sz w:val="22"/>
          <w:szCs w:val="22"/>
        </w:rPr>
        <w:t xml:space="preserve">Does: </w:t>
      </w:r>
      <w:r>
        <w:rPr>
          <w:rFonts w:ascii="Calibri" w:cs="Calibri" w:eastAsia="Calibri" w:hAnsi="Calibri"/>
          <w:color w:val="1A1A1A"/>
          <w:sz w:val="22"/>
          <w:szCs w:val="22"/>
        </w:rPr>
        <w:t xml:space="preserve">Raise an InactiveHolderAlert visible on the dashboard</w:t>
      </w:r>
    </w:p>
    <w:p>
      <w:pPr>
        <w:pStyle w:val="ListParagraph"/>
        <w:numPr>
          <w:ilvl w:val="0"/>
          <w:numId w:val="2"/>
        </w:numPr>
        <w:spacing w:after="40" w:before="40" w:line="280"/>
      </w:pPr>
      <w:r>
        <w:rPr>
          <w:rFonts w:ascii="Calibri" w:cs="Calibri" w:eastAsia="Calibri" w:hAnsi="Calibri"/>
          <w:b/>
          <w:bCs/>
          <w:color w:val="1A1A1A"/>
          <w:sz w:val="22"/>
          <w:szCs w:val="22"/>
        </w:rPr>
        <w:t xml:space="preserve">Does: </w:t>
      </w:r>
      <w:r>
        <w:rPr>
          <w:rFonts w:ascii="Calibri" w:cs="Calibri" w:eastAsia="Calibri" w:hAnsi="Calibri"/>
          <w:color w:val="1A1A1A"/>
          <w:sz w:val="22"/>
          <w:szCs w:val="22"/>
        </w:rPr>
        <w:t xml:space="preserve">Exclude the inactive holder from search in new assignment dialogs</w:t>
      </w:r>
    </w:p>
    <w:p>
      <w:pPr>
        <w:pStyle w:val="ListParagraph"/>
        <w:numPr>
          <w:ilvl w:val="0"/>
          <w:numId w:val="2"/>
        </w:numPr>
        <w:spacing w:after="40" w:before="40" w:line="280"/>
      </w:pPr>
      <w:r>
        <w:rPr>
          <w:rFonts w:ascii="Calibri" w:cs="Calibri" w:eastAsia="Calibri" w:hAnsi="Calibri"/>
          <w:b/>
          <w:bCs/>
          <w:color w:val="1A1A1A"/>
          <w:sz w:val="22"/>
          <w:szCs w:val="22"/>
        </w:rPr>
        <w:t xml:space="preserve">Does NOT: </w:t>
      </w:r>
      <w:r>
        <w:rPr>
          <w:rFonts w:ascii="Calibri" w:cs="Calibri" w:eastAsia="Calibri" w:hAnsi="Calibri"/>
          <w:color w:val="1A1A1A"/>
          <w:sz w:val="22"/>
          <w:szCs w:val="22"/>
        </w:rPr>
        <w:t xml:space="preserve">Automatically change asset status or return assets to stock</w:t>
      </w:r>
    </w:p>
    <w:p>
      <w:pPr>
        <w:pStyle w:val="ListParagraph"/>
        <w:numPr>
          <w:ilvl w:val="0"/>
          <w:numId w:val="2"/>
        </w:numPr>
        <w:spacing w:after="40" w:before="40" w:line="280"/>
      </w:pPr>
      <w:r>
        <w:rPr>
          <w:rFonts w:ascii="Calibri" w:cs="Calibri" w:eastAsia="Calibri" w:hAnsi="Calibri"/>
          <w:b/>
          <w:bCs/>
          <w:color w:val="1A1A1A"/>
          <w:sz w:val="22"/>
          <w:szCs w:val="22"/>
        </w:rPr>
        <w:t xml:space="preserve">Does NOT: </w:t>
      </w:r>
      <w:r>
        <w:rPr>
          <w:rFonts w:ascii="Calibri" w:cs="Calibri" w:eastAsia="Calibri" w:hAnsi="Calibri"/>
          <w:color w:val="1A1A1A"/>
          <w:sz w:val="22"/>
          <w:szCs w:val="22"/>
        </w:rPr>
        <w:t xml:space="preserve">Delete the cached record or any assignment history</w:t>
      </w:r>
    </w:p>
    <w:p>
      <w:pPr>
        <w:pStyle w:val="ListParagraph"/>
        <w:numPr>
          <w:ilvl w:val="0"/>
          <w:numId w:val="2"/>
        </w:numPr>
        <w:spacing w:after="40" w:before="40" w:line="280"/>
      </w:pPr>
      <w:r>
        <w:rPr>
          <w:rFonts w:ascii="Calibri" w:cs="Calibri" w:eastAsia="Calibri" w:hAnsi="Calibri"/>
          <w:b/>
          <w:bCs/>
          <w:color w:val="1A1A1A"/>
          <w:sz w:val="22"/>
          <w:szCs w:val="22"/>
        </w:rPr>
        <w:t xml:space="preserve">Does NOT: </w:t>
      </w:r>
      <w:r>
        <w:rPr>
          <w:rFonts w:ascii="Calibri" w:cs="Calibri" w:eastAsia="Calibri" w:hAnsi="Calibri"/>
          <w:color w:val="1A1A1A"/>
          <w:sz w:val="22"/>
          <w:szCs w:val="22"/>
        </w:rPr>
        <w:t xml:space="preserve">Hide active assignments silently</w:t>
      </w:r>
    </w:p>
    <w:p>
      <w:pPr>
        <w:pStyle w:val="Heading2"/>
        <w:spacing w:after="120" w:before="280"/>
      </w:pPr>
      <w:r>
        <w:rPr>
          <w:rFonts w:ascii="Calibri" w:cs="Calibri" w:eastAsia="Calibri" w:hAnsi="Calibri"/>
          <w:b/>
          <w:bCs/>
          <w:color w:val="006633"/>
          <w:sz w:val="26"/>
          <w:szCs w:val="26"/>
        </w:rPr>
        <w:t xml:space="preserve">9.3 Remediation Options Available to the IT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Generate Clearance List (PDF)</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Physically collect the assets from the holder's department or desk</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Bulk Transfer to Replacement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Assets move to the incoming person (new Deputy Secretary, new MP)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Bulk Transfer to Office Pool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Assets return to the holder's department stock</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Confirm Return to Stock</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Assets have been physically collected; mark each as IN_STOCK in the correct storage location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Mark as Lost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Assets cannot be located; LifecycleEvent logged with investigation notes</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Mark as Under Investigation</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Alert remains open but acknowledged; officer needs more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16"/>
              <w:bottom w:val="single" w:color="C8A951" w:sz="4"/>
              <w:right w:val="single" w:color="C8A951" w:sz="4"/>
            </w:tcBorders>
            <w:shd w:fill="FAF5E8" w:val="clear"/>
            <w:tcMar>
              <w:top w:type="dxa" w:w="160"/>
              <w:left w:type="dxa" w:w="200"/>
              <w:bottom w:type="dxa" w:w="160"/>
              <w:right w:type="dxa" w:w="200"/>
            </w:tcMar>
          </w:tcPr>
          <w:p>
            <w:pPr>
              <w:spacing w:after="80" w:before="0"/>
            </w:pPr>
            <w:r>
              <w:rPr>
                <w:rFonts w:ascii="Calibri" w:cs="Calibri" w:eastAsia="Calibri" w:hAnsi="Calibri"/>
                <w:b/>
                <w:bCs/>
                <w:color w:val="006633"/>
                <w:sz w:val="22"/>
                <w:szCs w:val="22"/>
              </w:rPr>
              <w:t xml:space="preserve">Architectural Principle</w:t>
            </w:r>
          </w:p>
          <w:p>
            <w:pPr>
              <w:spacing w:after="0" w:before="0" w:line="280"/>
            </w:pPr>
            <w:r>
              <w:rPr>
                <w:rFonts w:ascii="Calibri" w:cs="Calibri" w:eastAsia="Calibri" w:hAnsi="Calibri"/>
                <w:color w:val="1A1A1A"/>
                <w:sz w:val="22"/>
                <w:szCs w:val="22"/>
              </w:rPr>
              <w:t xml:space="preserve">An external event (API sync) must never cause undetectable data loss or inconsistency in the system of record. The external API may say a person is gone, but their physically-held assets still exist somewhere. The system's responsibility is to surface the problem for human action, not to silently mutate truth.</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10. Roles and Access Control</w:t>
      </w:r>
    </w:p>
    <w:p>
      <w:pPr>
        <w:spacing w:after="60" w:before="60" w:line="300"/>
        <w:jc w:val="left"/>
      </w:pPr>
      <w:r>
        <w:rPr>
          <w:rFonts w:ascii="Calibri" w:cs="Calibri" w:eastAsia="Calibri" w:hAnsi="Calibri"/>
          <w:b w:val="false"/>
          <w:bCs w:val="false"/>
          <w:i w:val="false"/>
          <w:iCs w:val="false"/>
          <w:color w:val="1A1A1A"/>
          <w:sz w:val="22"/>
          <w:szCs w:val="22"/>
        </w:rPr>
        <w:t xml:space="preserve">Three roles are defined using Django Groups. Permissions are enforced at the view level and data is filtered where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Role</w:t>
            </w:r>
          </w:p>
        </w:tc>
        <w:tc>
          <w:tcPr>
            <w:tcW w:type="dxa" w:w="50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Can Do</w:t>
            </w:r>
          </w:p>
        </w:tc>
        <w:tc>
          <w:tcPr>
            <w:tcW w:type="dxa" w:w="27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Cannot Do</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Admin</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Manage asset catalog and types, all assignment and lifecycle actions, run sync, manage users, view all reports, soft-delete records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(nothing restricted)</w:t>
            </w:r>
          </w:p>
        </w:tc>
      </w:tr>
      <w:tr>
        <w:tc>
          <w:tcPr>
            <w:tcW w:type="dxa" w:w="16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IT Officer</w:t>
            </w:r>
          </w:p>
        </w:tc>
        <w:tc>
          <w:tcPr>
            <w:tcW w:type="dxa" w:w="50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Add assets, assign, transfer, log lifecycle events, generate handover forms, perform audits, run sync</w:t>
            </w:r>
          </w:p>
        </w:tc>
        <w:tc>
          <w:tcPr>
            <w:tcW w:type="dxa" w:w="27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Manage asset catalog, delete records, manage users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Viewer</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View assets, holders, and history; generate and download reports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Any modification of records</w:t>
            </w:r>
          </w:p>
        </w:tc>
      </w:tr>
    </w:tbl>
    <w:p>
      <w:pPr>
        <w:pStyle w:val="Heading2"/>
        <w:spacing w:after="120" w:before="280"/>
      </w:pPr>
      <w:r>
        <w:rPr>
          <w:rFonts w:ascii="Calibri" w:cs="Calibri" w:eastAsia="Calibri" w:hAnsi="Calibri"/>
          <w:b/>
          <w:bCs/>
          <w:color w:val="006633"/>
          <w:sz w:val="26"/>
          <w:szCs w:val="26"/>
        </w:rPr>
        <w:t xml:space="preserve">Security and Compliance</w:t>
      </w:r>
    </w:p>
    <w:p>
      <w:pPr>
        <w:pStyle w:val="ListParagraph"/>
        <w:numPr>
          <w:ilvl w:val="0"/>
          <w:numId w:val="2"/>
        </w:numPr>
        <w:spacing w:after="40" w:before="40" w:line="280"/>
      </w:pPr>
      <w:r>
        <w:rPr>
          <w:rFonts w:ascii="Calibri" w:cs="Calibri" w:eastAsia="Calibri" w:hAnsi="Calibri"/>
          <w:color w:val="1A1A1A"/>
          <w:sz w:val="22"/>
          <w:szCs w:val="22"/>
        </w:rPr>
        <w:t xml:space="preserve">HTTPS mandatory even on the Parliament intranet</w:t>
      </w:r>
    </w:p>
    <w:p>
      <w:pPr>
        <w:pStyle w:val="ListParagraph"/>
        <w:numPr>
          <w:ilvl w:val="0"/>
          <w:numId w:val="2"/>
        </w:numPr>
        <w:spacing w:after="40" w:before="40" w:line="280"/>
      </w:pPr>
      <w:r>
        <w:rPr>
          <w:rFonts w:ascii="Calibri" w:cs="Calibri" w:eastAsia="Calibri" w:hAnsi="Calibri"/>
          <w:color w:val="1A1A1A"/>
          <w:sz w:val="22"/>
          <w:szCs w:val="22"/>
        </w:rPr>
        <w:t xml:space="preserve">30-minute idle session timeout</w:t>
      </w:r>
    </w:p>
    <w:p>
      <w:pPr>
        <w:pStyle w:val="ListParagraph"/>
        <w:numPr>
          <w:ilvl w:val="0"/>
          <w:numId w:val="2"/>
        </w:numPr>
        <w:spacing w:after="40" w:before="40" w:line="280"/>
      </w:pPr>
      <w:r>
        <w:rPr>
          <w:rFonts w:ascii="Calibri" w:cs="Calibri" w:eastAsia="Calibri" w:hAnsi="Calibri"/>
          <w:color w:val="1A1A1A"/>
          <w:sz w:val="22"/>
          <w:szCs w:val="22"/>
        </w:rPr>
        <w:t xml:space="preserve">Strong password policy enforced; 2FA available for Admin accounts</w:t>
      </w:r>
    </w:p>
    <w:p>
      <w:pPr>
        <w:pStyle w:val="ListParagraph"/>
        <w:numPr>
          <w:ilvl w:val="0"/>
          <w:numId w:val="2"/>
        </w:numPr>
        <w:spacing w:after="40" w:before="40" w:line="280"/>
      </w:pPr>
      <w:r>
        <w:rPr>
          <w:rFonts w:ascii="Calibri" w:cs="Calibri" w:eastAsia="Calibri" w:hAnsi="Calibri"/>
          <w:color w:val="1A1A1A"/>
          <w:sz w:val="22"/>
          <w:szCs w:val="22"/>
        </w:rPr>
        <w:t xml:space="preserve">Soft-delete only — no hard deletions of any record, ever</w:t>
      </w:r>
    </w:p>
    <w:p>
      <w:pPr>
        <w:pStyle w:val="ListParagraph"/>
        <w:numPr>
          <w:ilvl w:val="0"/>
          <w:numId w:val="2"/>
        </w:numPr>
        <w:spacing w:after="40" w:before="40" w:line="280"/>
      </w:pPr>
      <w:r>
        <w:rPr>
          <w:rFonts w:ascii="Calibri" w:cs="Calibri" w:eastAsia="Calibri" w:hAnsi="Calibri"/>
          <w:color w:val="1A1A1A"/>
          <w:sz w:val="22"/>
          <w:szCs w:val="22"/>
        </w:rPr>
        <w:t xml:space="preserve">Daily database backup; weekly full backup; quarterly restore test</w:t>
      </w:r>
    </w:p>
    <w:p>
      <w:pPr>
        <w:pStyle w:val="ListParagraph"/>
        <w:numPr>
          <w:ilvl w:val="0"/>
          <w:numId w:val="2"/>
        </w:numPr>
        <w:spacing w:after="40" w:before="40" w:line="280"/>
      </w:pPr>
      <w:r>
        <w:rPr>
          <w:rFonts w:ascii="Calibri" w:cs="Calibri" w:eastAsia="Calibri" w:hAnsi="Calibri"/>
          <w:color w:val="1A1A1A"/>
          <w:sz w:val="22"/>
          <w:szCs w:val="22"/>
        </w:rPr>
        <w:t xml:space="preserve">Audit log for sensitive data views (particularly MP records)</w:t>
      </w:r>
    </w:p>
    <w:p>
      <w:pPr>
        <w:pStyle w:val="Heading1"/>
        <w:pBdr>
          <w:bottom w:val="single" w:color="006633" w:sz="12" w:space="4"/>
        </w:pBdr>
        <w:spacing w:after="160" w:before="360"/>
      </w:pPr>
      <w:r>
        <w:rPr>
          <w:rFonts w:ascii="Calibri" w:cs="Calibri" w:eastAsia="Calibri" w:hAnsi="Calibri"/>
          <w:b/>
          <w:bCs/>
          <w:color w:val="006633"/>
          <w:sz w:val="32"/>
          <w:szCs w:val="32"/>
        </w:rPr>
        <w:t xml:space="preserve">11. Reports</w:t>
      </w:r>
    </w:p>
    <w:p>
      <w:pPr>
        <w:spacing w:after="60" w:before="60" w:line="300"/>
        <w:jc w:val="left"/>
      </w:pPr>
      <w:r>
        <w:rPr>
          <w:rFonts w:ascii="Calibri" w:cs="Calibri" w:eastAsia="Calibri" w:hAnsi="Calibri"/>
          <w:b w:val="false"/>
          <w:bCs w:val="false"/>
          <w:i w:val="false"/>
          <w:iCs w:val="false"/>
          <w:color w:val="1A1A1A"/>
          <w:sz w:val="22"/>
          <w:szCs w:val="22"/>
        </w:rPr>
        <w:t xml:space="preserve">All reports are available in Excel and PDF formats, using Parliament green and gold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Report</w:t>
            </w:r>
          </w:p>
        </w:tc>
        <w:tc>
          <w:tcPr>
            <w:tcW w:type="dxa" w:w="6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Current Inventory Report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Full list of assets with type, status, location, current holder. Filterable by type, status, holder, location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 History Report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Complete timeline for a single asset including every assignment, transfer, and lifecycle event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Person/Office History Report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Everything a holder has ever held, currently and historically</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Transfer Log</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All transfers in a date range, filterable by officer who performed them</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Lifecycle Events Report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Maintenance, losses, damages, and disposals in a date range</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Warranty and AMC Expiry Report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Assets with warranty or AMC expiring in the next 30, 60, or 90 days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Physical Audit Report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Result of an audit session: found correctly, misplaced, not found</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Handover Form (per assignment)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Single-assignment handover PDF for signature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Handover Form (per batch)</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Bulk transfer handover PDF listing every asset and its destination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Clearance List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Active assets held by an exiting employee for physical clearance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Disposal Certificate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Formal disposal record with committee minute reference</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Saved Searches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Custom history searches saved for repeated audit use</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12. Development Phases</w:t>
      </w:r>
    </w:p>
    <w:p>
      <w:pPr>
        <w:spacing w:after="60" w:before="60" w:line="300"/>
        <w:jc w:val="left"/>
      </w:pPr>
      <w:r>
        <w:rPr>
          <w:rFonts w:ascii="Calibri" w:cs="Calibri" w:eastAsia="Calibri" w:hAnsi="Calibri"/>
          <w:b w:val="false"/>
          <w:bCs w:val="false"/>
          <w:i w:val="false"/>
          <w:iCs w:val="false"/>
          <w:color w:val="1A1A1A"/>
          <w:sz w:val="22"/>
          <w:szCs w:val="22"/>
        </w:rPr>
        <w:t xml:space="preserve">The build is planned over twelve weeks across five phases. Each phase delivers a testable, demonstrable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Duration</w:t>
            </w:r>
          </w:p>
        </w:tc>
        <w:tc>
          <w:tcPr>
            <w:tcW w:type="dxa" w:w="63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 Foundation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3 weeks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Django project scaffolding, Docker, PostgreSQL setup; assets app with catalog, types, items, and components; locations hierarchy; polished Django admin; Excel import tool for legacy data</w:t>
            </w:r>
          </w:p>
        </w:tc>
      </w:tr>
      <w:tr>
        <w:tc>
          <w:tcPr>
            <w:tcW w:type="dxa" w:w="1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2. Assignment Engine</w:t>
            </w:r>
          </w:p>
        </w:tc>
        <w:tc>
          <w:tcPr>
            <w:tcW w:type="dxa" w:w="12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3 weeks</w:t>
            </w:r>
          </w:p>
        </w:tc>
        <w:tc>
          <w:tcPr>
            <w:tcW w:type="dxa" w:w="63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External API sync with inactive holder detection; unified Assignee layer; Assignment, Transfer, snapshot, and TransferBatch functionality; HTMX-based interactive UI for the core workflow</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3. Lifecycle and QR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2-3 weeks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Lifecycle events (maintenance, lost, damaged, disposed); QR code generation and printing; mobile scan views; physical audit sessions with discrepancy reporting</w:t>
            </w:r>
          </w:p>
        </w:tc>
      </w:tr>
      <w:tr>
        <w:tc>
          <w:tcPr>
            <w:tcW w:type="dxa" w:w="1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4. Reports and Alerts</w:t>
            </w:r>
          </w:p>
        </w:tc>
        <w:tc>
          <w:tcPr>
            <w:tcW w:type="dxa" w:w="12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2 weeks</w:t>
            </w:r>
          </w:p>
        </w:tc>
        <w:tc>
          <w:tcPr>
            <w:tcW w:type="dxa" w:w="63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Excel exports and PDF form generation; history search page; Celery Beat scheduled alerts (warranty, AMC, inactive holders); dashboard with key metrics and alert banners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5. Hardening</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1-2 weeks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User training materials; UAT with the Software Development Branch team; backup and restore testing; production deployment to Parliament intranet</w:t>
            </w:r>
          </w:p>
        </w:tc>
      </w:tr>
    </w:tbl>
    <w:p>
      <w:r>
        <w:br w:type="page"/>
      </w:r>
    </w:p>
    <w:p>
      <w:pPr>
        <w:pStyle w:val="Heading1"/>
        <w:pBdr>
          <w:bottom w:val="single" w:color="006633" w:sz="12" w:space="4"/>
        </w:pBdr>
        <w:spacing w:after="160" w:before="360"/>
      </w:pPr>
      <w:r>
        <w:rPr>
          <w:rFonts w:ascii="Calibri" w:cs="Calibri" w:eastAsia="Calibri" w:hAnsi="Calibri"/>
          <w:b/>
          <w:bCs/>
          <w:color w:val="006633"/>
          <w:sz w:val="32"/>
          <w:szCs w:val="32"/>
        </w:rPr>
        <w:t xml:space="preserve">13. Final Design Checklist</w:t>
      </w:r>
    </w:p>
    <w:p>
      <w:pPr>
        <w:spacing w:after="60" w:before="60" w:line="300"/>
        <w:jc w:val="left"/>
      </w:pPr>
      <w:r>
        <w:rPr>
          <w:rFonts w:ascii="Calibri" w:cs="Calibri" w:eastAsia="Calibri" w:hAnsi="Calibri"/>
          <w:b w:val="false"/>
          <w:bCs w:val="false"/>
          <w:i w:val="false"/>
          <w:iCs w:val="false"/>
          <w:color w:val="1A1A1A"/>
          <w:sz w:val="22"/>
          <w:szCs w:val="22"/>
        </w:rPr>
        <w:t xml:space="preserve">Every concern raised during the architecture review has been addressed. This checklist is the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Concern</w:t>
            </w:r>
          </w:p>
        </w:tc>
        <w:tc>
          <w:tcPr>
            <w:tcW w:type="dxa" w:w="6560"/>
            <w:tcBorders>
              <w:top w:val="single" w:color="CCCCCC" w:sz="1"/>
              <w:left w:val="single" w:color="CCCCCC" w:sz="1"/>
              <w:bottom w:val="single" w:color="CCCCCC" w:sz="1"/>
              <w:right w:val="single" w:color="CCCCCC" w:sz="1"/>
            </w:tcBorders>
            <w:shd w:fill="006633"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Addressed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PC Set with individually replaceable components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Parent + Component model</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Employee / MP / Office / Location as holder</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Unified Assignee table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Full transfer history with audit trail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Immutable assignment rows</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Designation change does not corrupt reports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assignee_snapshot JSON field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Bulk transfer with per-asset destinations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TransferBatch model</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Prevent impossible status transitions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Status state machine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External API downtime tolerance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Local cache with staleness indicator</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Physical identification of assets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 code per asset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Mobile scan-to-action workflow</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qrcodes app mobile views</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Physical stock audit</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AuditSession and AuditScan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Employee exit and clearance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Clearance list PDF on person page</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Warranty and AMC tracking (optional)</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Optional fields with Celery alerts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Inactive holder detection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Alert workflow, no silent deletion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Mass MP term-end clearance</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Dedicated mass-clearance UI</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Search asset by who used it before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History search page with filter</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One-click re-assign to previous holder</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Quick-pick chips in assign dialog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Last-used-by context in stock list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Dedicated column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Legacy Excel data migration</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Import tool in Phase 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Audit compliance for government review</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Immutable history + snapshots + event log</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Excel and PDF report outputs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Reports app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Role-based access control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Three-tier Django Groups</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Scheduled alerts and notifications</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Single Celery Beat task</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Docker-based deployment consistent with other Parliament systems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Docker + Nginx + Gunicorn</w:t>
            </w:r>
          </w:p>
        </w:tc>
      </w:tr>
      <w:tr>
        <w:tc>
          <w:tcPr>
            <w:tcW w:type="dxa" w:w="280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Backup and disaster recovery</w:t>
            </w:r>
          </w:p>
        </w:tc>
        <w:tc>
          <w:tcPr>
            <w:tcW w:type="dxa" w:w="6560"/>
            <w:tcBorders>
              <w:top w:val="single" w:color="CCCCCC" w:sz="1"/>
              <w:left w:val="single" w:color="CCCCCC" w:sz="1"/>
              <w:bottom w:val="single" w:color="CCCCCC" w:sz="1"/>
              <w:right w:val="single" w:color="CCCCCC" w:sz="1"/>
            </w:tcBorders>
            <w:shd w:fill="E8F0EA"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Daily + weekly backups with restore testing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No silent data loss under any scenario</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Soft-delete only, flag-based lifecycle</w:t>
            </w:r>
          </w:p>
        </w:tc>
      </w:tr>
    </w:tbl>
    <w:p>
      <w:pPr>
        <w:pStyle w:val="Heading1"/>
        <w:pBdr>
          <w:bottom w:val="single" w:color="006633" w:sz="12" w:space="4"/>
        </w:pBdr>
        <w:spacing w:after="160" w:before="360"/>
      </w:pPr>
      <w:r>
        <w:rPr>
          <w:rFonts w:ascii="Calibri" w:cs="Calibri" w:eastAsia="Calibri" w:hAnsi="Calibri"/>
          <w:b/>
          <w:bCs/>
          <w:color w:val="006633"/>
          <w:sz w:val="32"/>
          <w:szCs w:val="32"/>
        </w:rPr>
        <w:t xml:space="preserve">14. Architecture Sign-Off</w:t>
      </w:r>
    </w:p>
    <w:p>
      <w:pPr>
        <w:spacing w:after="60" w:before="60" w:line="300"/>
        <w:jc w:val="left"/>
      </w:pPr>
      <w:r>
        <w:rPr>
          <w:rFonts w:ascii="Calibri" w:cs="Calibri" w:eastAsia="Calibri" w:hAnsi="Calibri"/>
          <w:b w:val="false"/>
          <w:bCs w:val="false"/>
          <w:i w:val="false"/>
          <w:iCs w:val="false"/>
          <w:color w:val="1A1A1A"/>
          <w:sz w:val="22"/>
          <w:szCs w:val="22"/>
        </w:rPr>
        <w:t xml:space="preserve">The design is complete, bounded, and stress-tested. The scope is sharp and will not drift. The data model is normalized and audit-proof. Every real-world edge case the Parliament IT operations team is likely to encounter has a defined resolution path. The architecture has ten times the headroom it needs at the stated scale.</w:t>
      </w:r>
    </w:p>
    <w:p>
      <w:pPr>
        <w:spacing w:after="60" w:before="60" w:line="300"/>
        <w:jc w:val="left"/>
      </w:pPr>
      <w:r>
        <w:rPr>
          <w:rFonts w:ascii="Calibri" w:cs="Calibri" w:eastAsia="Calibri" w:hAnsi="Calibri"/>
          <w:b w:val="false"/>
          <w:bCs w:val="false"/>
          <w:i w:val="false"/>
          <w:iCs w:val="false"/>
          <w:color w:val="1A1A1A"/>
          <w:sz w:val="22"/>
          <w:szCs w:val="22"/>
        </w:rPr>
        <w:t xml:space="preserve">The brainstorm and design phase is closed. The next deliverables, in order, are:</w:t>
      </w:r>
    </w:p>
    <w:p>
      <w:pPr>
        <w:pStyle w:val="ListParagraph"/>
        <w:numPr>
          <w:ilvl w:val="0"/>
          <w:numId w:val="2"/>
        </w:numPr>
        <w:spacing w:after="40" w:before="40" w:line="280"/>
      </w:pPr>
      <w:r>
        <w:rPr>
          <w:rFonts w:ascii="Calibri" w:cs="Calibri" w:eastAsia="Calibri" w:hAnsi="Calibri"/>
          <w:color w:val="1A1A1A"/>
          <w:sz w:val="22"/>
          <w:szCs w:val="22"/>
        </w:rPr>
        <w:t xml:space="preserve">ERD diagram (visual)</w:t>
      </w:r>
    </w:p>
    <w:p>
      <w:pPr>
        <w:pStyle w:val="ListParagraph"/>
        <w:numPr>
          <w:ilvl w:val="0"/>
          <w:numId w:val="2"/>
        </w:numPr>
        <w:spacing w:after="40" w:before="40" w:line="280"/>
      </w:pPr>
      <w:r>
        <w:rPr>
          <w:rFonts w:ascii="Calibri" w:cs="Calibri" w:eastAsia="Calibri" w:hAnsi="Calibri"/>
          <w:color w:val="1A1A1A"/>
          <w:sz w:val="22"/>
          <w:szCs w:val="22"/>
        </w:rPr>
        <w:t xml:space="preserve">Full models.py source for all seven applications</w:t>
      </w:r>
    </w:p>
    <w:p>
      <w:pPr>
        <w:pStyle w:val="ListParagraph"/>
        <w:numPr>
          <w:ilvl w:val="0"/>
          <w:numId w:val="2"/>
        </w:numPr>
        <w:spacing w:after="40" w:before="40" w:line="280"/>
      </w:pPr>
      <w:r>
        <w:rPr>
          <w:rFonts w:ascii="Calibri" w:cs="Calibri" w:eastAsia="Calibri" w:hAnsi="Calibri"/>
          <w:color w:val="1A1A1A"/>
          <w:sz w:val="22"/>
          <w:szCs w:val="22"/>
        </w:rPr>
        <w:t xml:space="preserve">Specification schema design per asset type</w:t>
      </w:r>
    </w:p>
    <w:p>
      <w:pPr>
        <w:pStyle w:val="ListParagraph"/>
        <w:numPr>
          <w:ilvl w:val="0"/>
          <w:numId w:val="2"/>
        </w:numPr>
        <w:spacing w:after="40" w:before="40" w:line="280"/>
      </w:pPr>
      <w:r>
        <w:rPr>
          <w:rFonts w:ascii="Calibri" w:cs="Calibri" w:eastAsia="Calibri" w:hAnsi="Calibri"/>
          <w:color w:val="1A1A1A"/>
          <w:sz w:val="22"/>
          <w:szCs w:val="22"/>
        </w:rPr>
        <w:t xml:space="preserve">Project scaffolding including Docker configuration and settings</w:t>
      </w:r>
    </w:p>
    <w:p>
      <w:pPr>
        <w:pStyle w:val="ListParagraph"/>
        <w:numPr>
          <w:ilvl w:val="0"/>
          <w:numId w:val="2"/>
        </w:numPr>
        <w:spacing w:after="40" w:before="40" w:line="280"/>
      </w:pPr>
      <w:r>
        <w:rPr>
          <w:rFonts w:ascii="Calibri" w:cs="Calibri" w:eastAsia="Calibri" w:hAnsi="Calibri"/>
          <w:color w:val="1A1A1A"/>
          <w:sz w:val="22"/>
          <w:szCs w:val="22"/>
        </w:rPr>
        <w:t xml:space="preserve">UI mockups for the critical screens</w:t>
      </w:r>
    </w:p>
    <w:p>
      <w:pPr>
        <w:spacing w:after="120" w:before="400"/>
      </w:pPr>
    </w:p>
    <w:p>
      <w:pPr>
        <w:spacing w:after="60" w:before="60" w:line="300"/>
        <w:jc w:val="center"/>
      </w:pPr>
      <w:r>
        <w:rPr>
          <w:rFonts w:ascii="Calibri" w:cs="Calibri" w:eastAsia="Calibri" w:hAnsi="Calibri"/>
          <w:b w:val="false"/>
          <w:bCs w:val="false"/>
          <w:i/>
          <w:iCs/>
          <w:color w:val="555555"/>
          <w:sz w:val="22"/>
          <w:szCs w:val="22"/>
        </w:rPr>
        <w:t xml:space="preserve">End of document.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4" w:space="4"/>
      </w:pBdr>
      <w:jc w:val="center"/>
    </w:pPr>
    <w:r>
      <w:rPr>
        <w:rFonts w:ascii="Calibri" w:cs="Calibri" w:eastAsia="Calibri" w:hAnsi="Calibri"/>
        <w:color w:val="555555"/>
        <w:sz w:val="18"/>
        <w:szCs w:val="18"/>
      </w:rPr>
      <w:t xml:space="preserve">Bangladesh National Parliament Secretariat  •  </w:t>
    </w:r>
    <w:r>
      <w:rPr>
        <w:rFonts w:ascii="Calibri" w:cs="Calibri" w:eastAsia="Calibri" w:hAnsi="Calibri"/>
        <w:color w:val="555555"/>
        <w:sz w:val="18"/>
        <w:szCs w:val="18"/>
      </w:rPr>
      <w:t xml:space="preserve">Page </w:t>
    </w:r>
    <w:r>
      <w:rPr>
        <w:rFonts w:ascii="Calibri" w:cs="Calibri" w:eastAsia="Calibri" w:hAnsi="Calibri"/>
        <w:b/>
        <w:bCs/>
        <w:color w:val="006633"/>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b/>
        <w:bCs/>
        <w:color w:val="0066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jc w:val="right"/>
    </w:pPr>
    <w:r>
      <w:rPr>
        <w:rFonts w:ascii="Calibri" w:cs="Calibri" w:eastAsia="Calibri" w:hAnsi="Calibri"/>
        <w:i/>
        <w:iCs/>
        <w:color w:val="006633"/>
        <w:sz w:val="18"/>
        <w:szCs w:val="18"/>
      </w:rPr>
      <w:t xml:space="preserve">Parliament IT Inventory Management System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6633"/>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06633"/>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 IT Inventory Management System - Architecture</dc:title>
  <dc:creator>Parliament IT - Software Development Branch</dc:creator>
  <cp:lastModifiedBy>Un-named</cp:lastModifiedBy>
  <cp:revision>1</cp:revision>
  <dcterms:created xsi:type="dcterms:W3CDTF">2026-04-23T06:36:52.932Z</dcterms:created>
  <dcterms:modified xsi:type="dcterms:W3CDTF">2026-04-23T06:36:52.933Z</dcterms:modified>
</cp:coreProperties>
</file>

<file path=docProps/custom.xml><?xml version="1.0" encoding="utf-8"?>
<Properties xmlns="http://schemas.openxmlformats.org/officeDocument/2006/custom-properties" xmlns:vt="http://schemas.openxmlformats.org/officeDocument/2006/docPropsVTypes"/>
</file>