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GeoAI-Based Detection of Urban Growth Hotspots for Climate-Resilient Urban Planning in Kaduna Metropolis, Nigeria</w:t>
      </w:r>
    </w:p>
    <w:p>
      <w:pPr>
        <w:jc w:val="center"/>
      </w:pPr>
      <w:r>
        <w:t>Alamin Musa Magaga | YandyTech Community / Nest Africa AI Innovation Lab | Nigeria | alaminmusamagaga@gmail.com</w:t>
      </w:r>
    </w:p>
    <w:p>
      <w:pPr>
        <w:pStyle w:val="Heading1"/>
      </w:pPr>
      <w:r>
        <w:rPr>
          <w:color w:val="1F4E79"/>
        </w:rPr>
        <w:t>Abstract</w:t>
      </w:r>
    </w:p>
    <w:p>
      <w:pPr>
        <w:spacing w:after="120" w:line="259" w:lineRule="auto"/>
      </w:pPr>
      <w:r>
        <w:t>Rapid urban expansion is reshaping many African cities and increasing pressure on drainage, infrastructure, green spaces, and public services. This study applies a GeoAI-enabled Earth Observation workflow to detect urban growth hotspots in Kaduna Metropolis, Nigeria, from 2000 to 2025. The metropolitan area was defined using four Local Government Areas: Kaduna North, Kaduna South, Chikun, and Igabi. Built-up surface estimates were derived from the Global Human Settlement Layer GHS-BUILT-S P2023A product, while Landsat imagery, OpenStreetMap roads, water features, and administrative boundaries were used for visual and spatial context. Results show that built-up surface increased from 62.1 sq. km in 2000 to 129.7 sq. km in 2025, meaning the built-up footprint more than doubled over the 25-year period. Grid-based analysis identifies the strongest growth cells in Chikun, Igabi, Kaduna South, and Kaduna North, with coordinates and distance metrics linking hotspots to roads, the 2000 built-up core, and river or water features. The study demonstrates a reproducible open-data workflow for climate-resilient urban planning by showing where rapid expansion may require priority attention for drainage, infrastructure, service delivery, green-space protection, and field validation.</w:t>
      </w:r>
    </w:p>
    <w:p>
      <w:pPr>
        <w:spacing w:after="120" w:line="259" w:lineRule="auto"/>
      </w:pPr>
      <w:r>
        <w:t>Keywords: GeoAI; urban growth; GHSL; Kaduna Metropolis; climate resilience; Earth Observation; hotspot analysis</w:t>
      </w:r>
    </w:p>
    <w:p>
      <w:pPr>
        <w:pStyle w:val="Heading1"/>
      </w:pPr>
      <w:r>
        <w:rPr>
          <w:color w:val="1F4E79"/>
        </w:rPr>
        <w:t>1. Introduction</w:t>
      </w:r>
    </w:p>
    <w:p>
      <w:pPr>
        <w:spacing w:after="120" w:line="259" w:lineRule="auto"/>
      </w:pPr>
      <w:r>
        <w:t>Urban growth is a major form of environmental and socioeconomic transformation in African cities. As built-up surfaces replace vegetation, agricultural land, and open spaces, cities may gain housing and economic activity while also increasing runoff, heat exposure, drainage stress, and infrastructure demand.</w:t>
      </w:r>
    </w:p>
    <w:p>
      <w:pPr>
        <w:spacing w:after="120" w:line="259" w:lineRule="auto"/>
      </w:pPr>
      <w:r>
        <w:t>This paper frames Kaduna's urban growth as a climate-resilience planning problem. The goal is not only to measure how much the city expanded, but to identify where growth is concentrated so that planning agencies can prioritize drainage, transport, services, green-space protection, and field validation.</w:t>
      </w:r>
    </w:p>
    <w:p>
      <w:pPr>
        <w:pStyle w:val="Heading1"/>
      </w:pPr>
      <w:r>
        <w:rPr>
          <w:color w:val="1F4E79"/>
        </w:rPr>
        <w:t>2. Study Area</w:t>
      </w:r>
    </w:p>
    <w:p>
      <w:pPr>
        <w:spacing w:after="120" w:line="259" w:lineRule="auto"/>
      </w:pPr>
      <w:r>
        <w:t>Kaduna Metropolis was extracted from Kaduna State using four FAO GAUL level-2 administrative units: Kaduna North, Kaduna South, Chikun, and Igabi. Kaduna North and Kaduna South represent the established urban core, while Chikun and Igabi capture major peri-urban expansion zones.</w:t>
      </w:r>
    </w:p>
    <w:p>
      <w:pPr>
        <w:sectPr>
          <w:pgSz w:w="12240" w:h="15840"/>
          <w:pgMar w:top="1080" w:right="1152" w:bottom="1080" w:left="1152" w:header="720" w:footer="720" w:gutter="0"/>
          <w:cols w:space="720"/>
          <w:docGrid w:linePitch="360"/>
        </w:sectPr>
      </w:pPr>
    </w:p>
    <w:p>
      <w:pPr>
        <w:jc w:val="center"/>
      </w:pPr>
      <w:r>
        <w:rPr>
          <w:b/>
          <w:sz w:val="22"/>
        </w:rPr>
        <w:t>Figure 1. Kaduna Metropolitan Area within Kaduna State.</w:t>
      </w:r>
    </w:p>
    <w:p>
      <w:pPr>
        <w:jc w:val="center"/>
      </w:pPr>
      <w:r>
        <w:drawing>
          <wp:inline xmlns:a="http://schemas.openxmlformats.org/drawingml/2006/main" xmlns:pic="http://schemas.openxmlformats.org/drawingml/2006/picture">
            <wp:extent cx="8869680" cy="8729685"/>
            <wp:docPr id="1" name="Picture 1"/>
            <wp:cNvGraphicFramePr>
              <a:graphicFrameLocks noChangeAspect="1"/>
            </wp:cNvGraphicFramePr>
            <a:graphic>
              <a:graphicData uri="http://schemas.openxmlformats.org/drawingml/2006/picture">
                <pic:pic>
                  <pic:nvPicPr>
                    <pic:cNvPr id="0" name="figure_1_study_area_inset.png"/>
                    <pic:cNvPicPr/>
                  </pic:nvPicPr>
                  <pic:blipFill>
                    <a:blip r:embed="rId9"/>
                    <a:stretch>
                      <a:fillRect/>
                    </a:stretch>
                  </pic:blipFill>
                  <pic:spPr>
                    <a:xfrm>
                      <a:off x="0" y="0"/>
                      <a:ext cx="8869680" cy="8729685"/>
                    </a:xfrm>
                    <a:prstGeom prst="rect"/>
                  </pic:spPr>
                </pic:pic>
              </a:graphicData>
            </a:graphic>
          </wp:inline>
        </w:drawing>
      </w:r>
    </w:p>
    <w:p>
      <w:pPr>
        <w:jc w:val="center"/>
      </w:pPr>
      <w:r>
        <w:rPr>
          <w:i/>
          <w:sz w:val="14"/>
        </w:rPr>
        <w:t>Source figure: kaduna_publication_grade_outputs/figures/figure_1_study_area_inset.png</w:t>
      </w:r>
    </w:p>
    <w:p>
      <w:pPr>
        <w:sectPr>
          <w:pgSz w:w="15840" w:h="12240" w:orient="landscape"/>
          <w:pgMar w:top="605" w:right="720" w:bottom="605" w:left="720" w:header="720" w:footer="720" w:gutter="0"/>
          <w:cols w:space="720"/>
          <w:docGrid w:linePitch="360"/>
        </w:sectPr>
      </w:pPr>
    </w:p>
    <w:p>
      <w:pPr>
        <w:sectPr>
          <w:pgSz w:w="12240" w:h="15840"/>
          <w:pgMar w:top="1080" w:right="1152" w:bottom="1080" w:left="1152" w:header="720" w:footer="720" w:gutter="0"/>
          <w:cols w:space="720"/>
          <w:docGrid w:linePitch="360"/>
        </w:sectPr>
      </w:pPr>
    </w:p>
    <w:p>
      <w:pPr>
        <w:jc w:val="center"/>
      </w:pPr>
      <w:r>
        <w:rPr>
          <w:b/>
          <w:sz w:val="22"/>
        </w:rPr>
        <w:t>Figure 2. Metropolitan context showing LGAs, major roads, water features, and the 2000 built-up core.</w:t>
      </w:r>
    </w:p>
    <w:p>
      <w:pPr>
        <w:jc w:val="center"/>
      </w:pPr>
      <w:r>
        <w:drawing>
          <wp:inline xmlns:a="http://schemas.openxmlformats.org/drawingml/2006/main" xmlns:pic="http://schemas.openxmlformats.org/drawingml/2006/picture">
            <wp:extent cx="8869680" cy="6980209"/>
            <wp:docPr id="2" name="Picture 2"/>
            <wp:cNvGraphicFramePr>
              <a:graphicFrameLocks noChangeAspect="1"/>
            </wp:cNvGraphicFramePr>
            <a:graphic>
              <a:graphicData uri="http://schemas.openxmlformats.org/drawingml/2006/picture">
                <pic:pic>
                  <pic:nvPicPr>
                    <pic:cNvPr id="0" name="figure_2_metropolitan_context_roads_river_core.png"/>
                    <pic:cNvPicPr/>
                  </pic:nvPicPr>
                  <pic:blipFill>
                    <a:blip r:embed="rId10"/>
                    <a:stretch>
                      <a:fillRect/>
                    </a:stretch>
                  </pic:blipFill>
                  <pic:spPr>
                    <a:xfrm>
                      <a:off x="0" y="0"/>
                      <a:ext cx="8869680" cy="6980209"/>
                    </a:xfrm>
                    <a:prstGeom prst="rect"/>
                  </pic:spPr>
                </pic:pic>
              </a:graphicData>
            </a:graphic>
          </wp:inline>
        </w:drawing>
      </w:r>
    </w:p>
    <w:p>
      <w:pPr>
        <w:jc w:val="center"/>
      </w:pPr>
      <w:r>
        <w:rPr>
          <w:i/>
          <w:sz w:val="14"/>
        </w:rPr>
        <w:t>Source figure: kaduna_publication_grade_outputs/figures/figure_2_metropolitan_context_roads_river_core.png</w:t>
      </w:r>
    </w:p>
    <w:p>
      <w:pPr>
        <w:sectPr>
          <w:pgSz w:w="15840" w:h="12240" w:orient="landscape"/>
          <w:pgMar w:top="605" w:right="720" w:bottom="605" w:left="720" w:header="720" w:footer="720" w:gutter="0"/>
          <w:cols w:space="720"/>
          <w:docGrid w:linePitch="360"/>
        </w:sectPr>
      </w:pPr>
    </w:p>
    <w:p>
      <w:pPr>
        <w:pStyle w:val="Heading1"/>
      </w:pPr>
      <w:r>
        <w:rPr>
          <w:color w:val="1F4E79"/>
        </w:rPr>
        <w:t>3. Data and Methods</w:t>
      </w:r>
    </w:p>
    <w:p>
      <w:pPr>
        <w:spacing w:after="120" w:line="259" w:lineRule="auto"/>
      </w:pPr>
      <w:r>
        <w:t>The primary evidence layer was GHSL GHS-BUILT-S P2023A for 2000, 2005, 2010, 2015, 2020, and 2025. GHSL was selected because it provides a consistent multi-temporal built-up surface product and avoids the temporal bias observed when a classifier trained on a modern reference year is applied backward to older Landsat imagery.</w:t>
      </w:r>
    </w:p>
    <w:p>
      <w:pPr>
        <w:spacing w:after="120" w:line="259" w:lineRule="auto"/>
      </w:pPr>
      <w:r>
        <w:t>Built-up growth was calculated as the 2025 built-up surface minus the 2000 built-up surface, with negative values set to zero. The study area was divided into regular grid cells, and each cell was ranked by total built-up surface increase. The ranked cells are treated as planning-oriented growth-intensity hotspots, not as formal inferential statistical clusters.</w:t>
      </w:r>
    </w:p>
    <w:p>
      <w:pPr>
        <w:spacing w:after="120" w:line="259" w:lineRule="auto"/>
      </w:pPr>
      <w:r>
        <w:t>Spatial driver context was assessed by overlaying growth cells with OSM major roads, river and water features, LGA boundaries, and the 2000 built-up core. For each top hotspot cell, distances to the nearest major road, nearest river or water feature, and baseline built-up core were calculated.</w:t>
      </w:r>
    </w:p>
    <w:p>
      <w:pPr>
        <w:pStyle w:val="Heading1"/>
      </w:pPr>
      <w:r>
        <w:rPr>
          <w:color w:val="1F4E79"/>
        </w:rPr>
        <w:t>4. Results</w:t>
      </w:r>
    </w:p>
    <w:p>
      <w:pPr>
        <w:pStyle w:val="Heading2"/>
      </w:pPr>
      <w:r>
        <w:rPr>
          <w:color w:val="1F4E79"/>
        </w:rPr>
        <w:t>4.1 Built-Up Surface Trend</w:t>
      </w:r>
    </w:p>
    <w:p>
      <w:pPr>
        <w:spacing w:after="120" w:line="259" w:lineRule="auto"/>
      </w:pPr>
      <w:r>
        <w:t>Built-up surface increased from 62.1 sq. km in 2000 to 129.7 sq. km in 2025. The largest interval gains occurred from 2005 to 2010 and from 2010 to 2015, while growth continued at a lower rate after 2015.</w:t>
      </w:r>
    </w:p>
    <w:p>
      <w:pPr>
        <w:jc w:val="center"/>
      </w:pPr>
      <w:r>
        <w:rPr>
          <w:b/>
          <w:sz w:val="20"/>
        </w:rPr>
        <w:t>Table 1. GHSL built-up surface statistics for Kaduna Metropolis.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vAlign w:val="center"/>
            <w:shd w:fill="D9EAF7"/>
          </w:tcPr>
          <w:p>
            <w:pPr>
              <w:jc w:val="center"/>
            </w:pPr>
            <w:r/>
            <w:r>
              <w:rPr>
                <w:b/>
                <w:sz w:val="16"/>
              </w:rPr>
              <w:t>Year</w:t>
            </w:r>
          </w:p>
        </w:tc>
        <w:tc>
          <w:tcPr>
            <w:tcW w:type="dxa" w:w="2448"/>
            <w:vAlign w:val="center"/>
            <w:shd w:fill="D9EAF7"/>
          </w:tcPr>
          <w:p>
            <w:pPr>
              <w:jc w:val="center"/>
            </w:pPr>
            <w:r/>
            <w:r>
              <w:rPr>
                <w:b/>
                <w:sz w:val="16"/>
              </w:rPr>
              <w:t>Built-up surface (sq. km)</w:t>
            </w:r>
          </w:p>
        </w:tc>
        <w:tc>
          <w:tcPr>
            <w:tcW w:type="dxa" w:w="2016"/>
            <w:vAlign w:val="center"/>
            <w:shd w:fill="D9EAF7"/>
          </w:tcPr>
          <w:p>
            <w:pPr>
              <w:jc w:val="center"/>
            </w:pPr>
            <w:r/>
            <w:r>
              <w:rPr>
                <w:b/>
                <w:sz w:val="16"/>
              </w:rPr>
              <w:t>Change (sq. km)</w:t>
            </w:r>
          </w:p>
        </w:tc>
        <w:tc>
          <w:tcPr>
            <w:tcW w:type="dxa" w:w="2160"/>
            <w:vAlign w:val="center"/>
            <w:shd w:fill="D9EAF7"/>
          </w:tcPr>
          <w:p>
            <w:pPr>
              <w:jc w:val="center"/>
            </w:pPr>
            <w:r/>
            <w:r>
              <w:rPr>
                <w:b/>
                <w:sz w:val="16"/>
              </w:rPr>
              <w:t>Percentage change</w:t>
            </w:r>
          </w:p>
        </w:tc>
      </w:tr>
      <w:tr>
        <w:tc>
          <w:tcPr>
            <w:tcW w:type="dxa" w:w="1296"/>
            <w:vAlign w:val="center"/>
          </w:tcPr>
          <w:p>
            <w:pPr>
              <w:jc w:val="center"/>
            </w:pPr>
            <w:r/>
            <w:r>
              <w:rPr>
                <w:b w:val="0"/>
                <w:sz w:val="16"/>
              </w:rPr>
              <w:t>2000</w:t>
            </w:r>
          </w:p>
        </w:tc>
        <w:tc>
          <w:tcPr>
            <w:tcW w:type="dxa" w:w="2448"/>
            <w:vAlign w:val="center"/>
          </w:tcPr>
          <w:p>
            <w:pPr>
              <w:jc w:val="center"/>
            </w:pPr>
            <w:r/>
            <w:r>
              <w:rPr>
                <w:b w:val="0"/>
                <w:sz w:val="16"/>
              </w:rPr>
              <w:t>62.1</w:t>
            </w:r>
          </w:p>
        </w:tc>
        <w:tc>
          <w:tcPr>
            <w:tcW w:type="dxa" w:w="2016"/>
            <w:vAlign w:val="center"/>
          </w:tcPr>
          <w:p>
            <w:pPr>
              <w:jc w:val="center"/>
            </w:pPr>
            <w:r/>
            <w:r>
              <w:rPr>
                <w:b w:val="0"/>
                <w:sz w:val="16"/>
              </w:rPr>
              <w:t>-</w:t>
            </w:r>
          </w:p>
        </w:tc>
        <w:tc>
          <w:tcPr>
            <w:tcW w:type="dxa" w:w="2160"/>
            <w:vAlign w:val="center"/>
          </w:tcPr>
          <w:p>
            <w:pPr>
              <w:jc w:val="center"/>
            </w:pPr>
            <w:r/>
            <w:r>
              <w:rPr>
                <w:b w:val="0"/>
                <w:sz w:val="16"/>
              </w:rPr>
              <w:t>-</w:t>
            </w:r>
          </w:p>
        </w:tc>
      </w:tr>
      <w:tr>
        <w:tc>
          <w:tcPr>
            <w:tcW w:type="dxa" w:w="1296"/>
            <w:vAlign w:val="center"/>
          </w:tcPr>
          <w:p>
            <w:pPr>
              <w:jc w:val="center"/>
            </w:pPr>
            <w:r/>
            <w:r>
              <w:rPr>
                <w:b w:val="0"/>
                <w:sz w:val="16"/>
              </w:rPr>
              <w:t>2005</w:t>
            </w:r>
          </w:p>
        </w:tc>
        <w:tc>
          <w:tcPr>
            <w:tcW w:type="dxa" w:w="2448"/>
            <w:vAlign w:val="center"/>
          </w:tcPr>
          <w:p>
            <w:pPr>
              <w:jc w:val="center"/>
            </w:pPr>
            <w:r/>
            <w:r>
              <w:rPr>
                <w:b w:val="0"/>
                <w:sz w:val="16"/>
              </w:rPr>
              <w:t>75.4</w:t>
            </w:r>
          </w:p>
        </w:tc>
        <w:tc>
          <w:tcPr>
            <w:tcW w:type="dxa" w:w="2016"/>
            <w:vAlign w:val="center"/>
          </w:tcPr>
          <w:p>
            <w:pPr>
              <w:jc w:val="center"/>
            </w:pPr>
            <w:r/>
            <w:r>
              <w:rPr>
                <w:b w:val="0"/>
                <w:sz w:val="16"/>
              </w:rPr>
              <w:t>13.3</w:t>
            </w:r>
          </w:p>
        </w:tc>
        <w:tc>
          <w:tcPr>
            <w:tcW w:type="dxa" w:w="2160"/>
            <w:vAlign w:val="center"/>
          </w:tcPr>
          <w:p>
            <w:pPr>
              <w:jc w:val="center"/>
            </w:pPr>
            <w:r/>
            <w:r>
              <w:rPr>
                <w:b w:val="0"/>
                <w:sz w:val="16"/>
              </w:rPr>
              <w:t>21.4%</w:t>
            </w:r>
          </w:p>
        </w:tc>
      </w:tr>
      <w:tr>
        <w:tc>
          <w:tcPr>
            <w:tcW w:type="dxa" w:w="1296"/>
            <w:vAlign w:val="center"/>
          </w:tcPr>
          <w:p>
            <w:pPr>
              <w:jc w:val="center"/>
            </w:pPr>
            <w:r/>
            <w:r>
              <w:rPr>
                <w:b w:val="0"/>
                <w:sz w:val="16"/>
              </w:rPr>
              <w:t>2010</w:t>
            </w:r>
          </w:p>
        </w:tc>
        <w:tc>
          <w:tcPr>
            <w:tcW w:type="dxa" w:w="2448"/>
            <w:vAlign w:val="center"/>
          </w:tcPr>
          <w:p>
            <w:pPr>
              <w:jc w:val="center"/>
            </w:pPr>
            <w:r/>
            <w:r>
              <w:rPr>
                <w:b w:val="0"/>
                <w:sz w:val="16"/>
              </w:rPr>
              <w:t>94.4</w:t>
            </w:r>
          </w:p>
        </w:tc>
        <w:tc>
          <w:tcPr>
            <w:tcW w:type="dxa" w:w="2016"/>
            <w:vAlign w:val="center"/>
          </w:tcPr>
          <w:p>
            <w:pPr>
              <w:jc w:val="center"/>
            </w:pPr>
            <w:r/>
            <w:r>
              <w:rPr>
                <w:b w:val="0"/>
                <w:sz w:val="16"/>
              </w:rPr>
              <w:t>19.0</w:t>
            </w:r>
          </w:p>
        </w:tc>
        <w:tc>
          <w:tcPr>
            <w:tcW w:type="dxa" w:w="2160"/>
            <w:vAlign w:val="center"/>
          </w:tcPr>
          <w:p>
            <w:pPr>
              <w:jc w:val="center"/>
            </w:pPr>
            <w:r/>
            <w:r>
              <w:rPr>
                <w:b w:val="0"/>
                <w:sz w:val="16"/>
              </w:rPr>
              <w:t>25.2%</w:t>
            </w:r>
          </w:p>
        </w:tc>
      </w:tr>
      <w:tr>
        <w:tc>
          <w:tcPr>
            <w:tcW w:type="dxa" w:w="1296"/>
            <w:vAlign w:val="center"/>
          </w:tcPr>
          <w:p>
            <w:pPr>
              <w:jc w:val="center"/>
            </w:pPr>
            <w:r/>
            <w:r>
              <w:rPr>
                <w:b w:val="0"/>
                <w:sz w:val="16"/>
              </w:rPr>
              <w:t>2015</w:t>
            </w:r>
          </w:p>
        </w:tc>
        <w:tc>
          <w:tcPr>
            <w:tcW w:type="dxa" w:w="2448"/>
            <w:vAlign w:val="center"/>
          </w:tcPr>
          <w:p>
            <w:pPr>
              <w:jc w:val="center"/>
            </w:pPr>
            <w:r/>
            <w:r>
              <w:rPr>
                <w:b w:val="0"/>
                <w:sz w:val="16"/>
              </w:rPr>
              <w:t>114.4</w:t>
            </w:r>
          </w:p>
        </w:tc>
        <w:tc>
          <w:tcPr>
            <w:tcW w:type="dxa" w:w="2016"/>
            <w:vAlign w:val="center"/>
          </w:tcPr>
          <w:p>
            <w:pPr>
              <w:jc w:val="center"/>
            </w:pPr>
            <w:r/>
            <w:r>
              <w:rPr>
                <w:b w:val="0"/>
                <w:sz w:val="16"/>
              </w:rPr>
              <w:t>20.0</w:t>
            </w:r>
          </w:p>
        </w:tc>
        <w:tc>
          <w:tcPr>
            <w:tcW w:type="dxa" w:w="2160"/>
            <w:vAlign w:val="center"/>
          </w:tcPr>
          <w:p>
            <w:pPr>
              <w:jc w:val="center"/>
            </w:pPr>
            <w:r/>
            <w:r>
              <w:rPr>
                <w:b w:val="0"/>
                <w:sz w:val="16"/>
              </w:rPr>
              <w:t>21.2%</w:t>
            </w:r>
          </w:p>
        </w:tc>
      </w:tr>
      <w:tr>
        <w:tc>
          <w:tcPr>
            <w:tcW w:type="dxa" w:w="1296"/>
            <w:vAlign w:val="center"/>
          </w:tcPr>
          <w:p>
            <w:pPr>
              <w:jc w:val="center"/>
            </w:pPr>
            <w:r/>
            <w:r>
              <w:rPr>
                <w:b w:val="0"/>
                <w:sz w:val="16"/>
              </w:rPr>
              <w:t>2020</w:t>
            </w:r>
          </w:p>
        </w:tc>
        <w:tc>
          <w:tcPr>
            <w:tcW w:type="dxa" w:w="2448"/>
            <w:vAlign w:val="center"/>
          </w:tcPr>
          <w:p>
            <w:pPr>
              <w:jc w:val="center"/>
            </w:pPr>
            <w:r/>
            <w:r>
              <w:rPr>
                <w:b w:val="0"/>
                <w:sz w:val="16"/>
              </w:rPr>
              <w:t>122.8</w:t>
            </w:r>
          </w:p>
        </w:tc>
        <w:tc>
          <w:tcPr>
            <w:tcW w:type="dxa" w:w="2016"/>
            <w:vAlign w:val="center"/>
          </w:tcPr>
          <w:p>
            <w:pPr>
              <w:jc w:val="center"/>
            </w:pPr>
            <w:r/>
            <w:r>
              <w:rPr>
                <w:b w:val="0"/>
                <w:sz w:val="16"/>
              </w:rPr>
              <w:t>8.4</w:t>
            </w:r>
          </w:p>
        </w:tc>
        <w:tc>
          <w:tcPr>
            <w:tcW w:type="dxa" w:w="2160"/>
            <w:vAlign w:val="center"/>
          </w:tcPr>
          <w:p>
            <w:pPr>
              <w:jc w:val="center"/>
            </w:pPr>
            <w:r/>
            <w:r>
              <w:rPr>
                <w:b w:val="0"/>
                <w:sz w:val="16"/>
              </w:rPr>
              <w:t>7.4%</w:t>
            </w:r>
          </w:p>
        </w:tc>
      </w:tr>
      <w:tr>
        <w:tc>
          <w:tcPr>
            <w:tcW w:type="dxa" w:w="1296"/>
            <w:vAlign w:val="center"/>
          </w:tcPr>
          <w:p>
            <w:pPr>
              <w:jc w:val="center"/>
            </w:pPr>
            <w:r/>
            <w:r>
              <w:rPr>
                <w:b w:val="0"/>
                <w:sz w:val="16"/>
              </w:rPr>
              <w:t>2025</w:t>
            </w:r>
          </w:p>
        </w:tc>
        <w:tc>
          <w:tcPr>
            <w:tcW w:type="dxa" w:w="2448"/>
            <w:vAlign w:val="center"/>
          </w:tcPr>
          <w:p>
            <w:pPr>
              <w:jc w:val="center"/>
            </w:pPr>
            <w:r/>
            <w:r>
              <w:rPr>
                <w:b w:val="0"/>
                <w:sz w:val="16"/>
              </w:rPr>
              <w:t>129.7</w:t>
            </w:r>
          </w:p>
        </w:tc>
        <w:tc>
          <w:tcPr>
            <w:tcW w:type="dxa" w:w="2016"/>
            <w:vAlign w:val="center"/>
          </w:tcPr>
          <w:p>
            <w:pPr>
              <w:jc w:val="center"/>
            </w:pPr>
            <w:r/>
            <w:r>
              <w:rPr>
                <w:b w:val="0"/>
                <w:sz w:val="16"/>
              </w:rPr>
              <w:t>6.9</w:t>
            </w:r>
          </w:p>
        </w:tc>
        <w:tc>
          <w:tcPr>
            <w:tcW w:type="dxa" w:w="2160"/>
            <w:vAlign w:val="center"/>
          </w:tcPr>
          <w:p>
            <w:pPr>
              <w:jc w:val="center"/>
            </w:pPr>
            <w:r/>
            <w:r>
              <w:rPr>
                <w:b w:val="0"/>
                <w:sz w:val="16"/>
              </w:rPr>
              <w:t>5.6%</w:t>
            </w:r>
          </w:p>
        </w:tc>
      </w:tr>
    </w:tbl>
    <w:p>
      <w:pPr>
        <w:sectPr>
          <w:pgSz w:w="12240" w:h="15840"/>
          <w:pgMar w:top="1080" w:right="1152" w:bottom="1080" w:left="1152" w:header="720" w:footer="720" w:gutter="0"/>
          <w:cols w:space="720"/>
          <w:docGrid w:linePitch="360"/>
        </w:sectPr>
      </w:pPr>
    </w:p>
    <w:p>
      <w:pPr>
        <w:jc w:val="center"/>
      </w:pPr>
      <w:r>
        <w:rPr>
          <w:b/>
          <w:sz w:val="22"/>
        </w:rPr>
        <w:t>Figure 3. Built-up surface trend in Kaduna Metropolis, 2000-2025.</w:t>
      </w:r>
    </w:p>
    <w:p>
      <w:pPr>
        <w:jc w:val="center"/>
      </w:pPr>
      <w:r>
        <w:drawing>
          <wp:inline xmlns:a="http://schemas.openxmlformats.org/drawingml/2006/main" xmlns:pic="http://schemas.openxmlformats.org/drawingml/2006/picture">
            <wp:extent cx="8869680" cy="5781434"/>
            <wp:docPr id="3" name="Picture 3"/>
            <wp:cNvGraphicFramePr>
              <a:graphicFrameLocks noChangeAspect="1"/>
            </wp:cNvGraphicFramePr>
            <a:graphic>
              <a:graphicData uri="http://schemas.openxmlformats.org/drawingml/2006/picture">
                <pic:pic>
                  <pic:nvPicPr>
                    <pic:cNvPr id="0" name="figure_3_builtup_surface_trend.png"/>
                    <pic:cNvPicPr/>
                  </pic:nvPicPr>
                  <pic:blipFill>
                    <a:blip r:embed="rId11"/>
                    <a:stretch>
                      <a:fillRect/>
                    </a:stretch>
                  </pic:blipFill>
                  <pic:spPr>
                    <a:xfrm>
                      <a:off x="0" y="0"/>
                      <a:ext cx="8869680" cy="5781434"/>
                    </a:xfrm>
                    <a:prstGeom prst="rect"/>
                  </pic:spPr>
                </pic:pic>
              </a:graphicData>
            </a:graphic>
          </wp:inline>
        </w:drawing>
      </w:r>
    </w:p>
    <w:p>
      <w:pPr>
        <w:jc w:val="center"/>
      </w:pPr>
      <w:r>
        <w:rPr>
          <w:i/>
          <w:sz w:val="14"/>
        </w:rPr>
        <w:t>Source figure: kaduna_publication_grade_outputs/figures/figure_3_builtup_surface_trend.png</w:t>
      </w:r>
    </w:p>
    <w:p>
      <w:pPr>
        <w:sectPr>
          <w:pgSz w:w="15840" w:h="12240" w:orient="landscape"/>
          <w:pgMar w:top="605" w:right="720" w:bottom="605" w:left="720" w:header="720" w:footer="720" w:gutter="0"/>
          <w:cols w:space="720"/>
          <w:docGrid w:linePitch="360"/>
        </w:sectPr>
      </w:pPr>
    </w:p>
    <w:p>
      <w:pPr>
        <w:sectPr>
          <w:pgSz w:w="12240" w:h="15840"/>
          <w:pgMar w:top="1080" w:right="1152" w:bottom="1080" w:left="1152" w:header="720" w:footer="720" w:gutter="0"/>
          <w:cols w:space="720"/>
          <w:docGrid w:linePitch="360"/>
        </w:sectPr>
      </w:pPr>
    </w:p>
    <w:p>
      <w:pPr>
        <w:jc w:val="center"/>
      </w:pPr>
      <w:r>
        <w:rPr>
          <w:b/>
          <w:sz w:val="22"/>
        </w:rPr>
        <w:t>Figure 4. Built-up expansion by period in Kaduna Metropolis.</w:t>
      </w:r>
    </w:p>
    <w:p>
      <w:pPr>
        <w:jc w:val="center"/>
      </w:pPr>
      <w:r>
        <w:drawing>
          <wp:inline xmlns:a="http://schemas.openxmlformats.org/drawingml/2006/main" xmlns:pic="http://schemas.openxmlformats.org/drawingml/2006/picture">
            <wp:extent cx="8869680" cy="9373851"/>
            <wp:docPr id="4" name="Picture 4"/>
            <wp:cNvGraphicFramePr>
              <a:graphicFrameLocks noChangeAspect="1"/>
            </wp:cNvGraphicFramePr>
            <a:graphic>
              <a:graphicData uri="http://schemas.openxmlformats.org/drawingml/2006/picture">
                <pic:pic>
                  <pic:nvPicPr>
                    <pic:cNvPr id="0" name="figure_4_builtup_expansion_by_period.png"/>
                    <pic:cNvPicPr/>
                  </pic:nvPicPr>
                  <pic:blipFill>
                    <a:blip r:embed="rId12"/>
                    <a:stretch>
                      <a:fillRect/>
                    </a:stretch>
                  </pic:blipFill>
                  <pic:spPr>
                    <a:xfrm>
                      <a:off x="0" y="0"/>
                      <a:ext cx="8869680" cy="9373851"/>
                    </a:xfrm>
                    <a:prstGeom prst="rect"/>
                  </pic:spPr>
                </pic:pic>
              </a:graphicData>
            </a:graphic>
          </wp:inline>
        </w:drawing>
      </w:r>
    </w:p>
    <w:p>
      <w:pPr>
        <w:jc w:val="center"/>
      </w:pPr>
      <w:r>
        <w:rPr>
          <w:i/>
          <w:sz w:val="14"/>
        </w:rPr>
        <w:t>Source figure: kaduna_publication_grade_outputs/figures/figure_4_builtup_expansion_by_period.png</w:t>
      </w:r>
    </w:p>
    <w:p>
      <w:pPr>
        <w:sectPr>
          <w:pgSz w:w="15840" w:h="12240" w:orient="landscape"/>
          <w:pgMar w:top="605" w:right="720" w:bottom="605" w:left="720" w:header="720" w:footer="720" w:gutter="0"/>
          <w:cols w:space="720"/>
          <w:docGrid w:linePitch="360"/>
        </w:sectPr>
      </w:pPr>
    </w:p>
    <w:p>
      <w:pPr>
        <w:sectPr>
          <w:pgSz w:w="12240" w:h="15840"/>
          <w:pgMar w:top="1080" w:right="1152" w:bottom="1080" w:left="1152" w:header="720" w:footer="720" w:gutter="0"/>
          <w:cols w:space="720"/>
          <w:docGrid w:linePitch="360"/>
        </w:sectPr>
      </w:pPr>
    </w:p>
    <w:p>
      <w:pPr>
        <w:jc w:val="center"/>
      </w:pPr>
      <w:r>
        <w:rPr>
          <w:b/>
          <w:sz w:val="22"/>
        </w:rPr>
        <w:t>Figure 5. Built-up growth intensity from 2000 to 2025.</w:t>
      </w:r>
    </w:p>
    <w:p>
      <w:pPr>
        <w:jc w:val="center"/>
      </w:pPr>
      <w:r>
        <w:drawing>
          <wp:inline xmlns:a="http://schemas.openxmlformats.org/drawingml/2006/main" xmlns:pic="http://schemas.openxmlformats.org/drawingml/2006/picture">
            <wp:extent cx="8869680" cy="9373851"/>
            <wp:docPr id="5" name="Picture 5"/>
            <wp:cNvGraphicFramePr>
              <a:graphicFrameLocks noChangeAspect="1"/>
            </wp:cNvGraphicFramePr>
            <a:graphic>
              <a:graphicData uri="http://schemas.openxmlformats.org/drawingml/2006/picture">
                <pic:pic>
                  <pic:nvPicPr>
                    <pic:cNvPr id="0" name="figure_5_growth_intensity_2000_2025.png"/>
                    <pic:cNvPicPr/>
                  </pic:nvPicPr>
                  <pic:blipFill>
                    <a:blip r:embed="rId13"/>
                    <a:stretch>
                      <a:fillRect/>
                    </a:stretch>
                  </pic:blipFill>
                  <pic:spPr>
                    <a:xfrm>
                      <a:off x="0" y="0"/>
                      <a:ext cx="8869680" cy="9373851"/>
                    </a:xfrm>
                    <a:prstGeom prst="rect"/>
                  </pic:spPr>
                </pic:pic>
              </a:graphicData>
            </a:graphic>
          </wp:inline>
        </w:drawing>
      </w:r>
    </w:p>
    <w:p>
      <w:pPr>
        <w:jc w:val="center"/>
      </w:pPr>
      <w:r>
        <w:rPr>
          <w:i/>
          <w:sz w:val="14"/>
        </w:rPr>
        <w:t>Source figure: kaduna_publication_grade_outputs/figures/figure_5_growth_intensity_2000_2025.png</w:t>
      </w:r>
    </w:p>
    <w:p>
      <w:pPr>
        <w:sectPr>
          <w:pgSz w:w="15840" w:h="12240" w:orient="landscape"/>
          <w:pgMar w:top="605" w:right="720" w:bottom="605" w:left="720" w:header="720" w:footer="720" w:gutter="0"/>
          <w:cols w:space="720"/>
          <w:docGrid w:linePitch="360"/>
        </w:sectPr>
      </w:pPr>
    </w:p>
    <w:p>
      <w:pPr>
        <w:pStyle w:val="Heading2"/>
      </w:pPr>
      <w:r>
        <w:rPr>
          <w:color w:val="1F4E79"/>
        </w:rPr>
        <w:t>4.2 Growth Hotspots and Spatial Context</w:t>
      </w:r>
    </w:p>
    <w:p>
      <w:pPr>
        <w:spacing w:after="120" w:line="259" w:lineRule="auto"/>
      </w:pPr>
      <w:r>
        <w:t>The strongest growth cells are concentrated around the central metropolitan belt and adjacent peri-urban areas. Chikun and Igabi contain several high-ranking cells, while Kaduna South and Kaduna North remain important because they contain central growth and edge-expansion locations.</w:t>
      </w:r>
    </w:p>
    <w:p>
      <w:pPr>
        <w:sectPr>
          <w:pgSz w:w="12240" w:h="15840"/>
          <w:pgMar w:top="1080" w:right="1152" w:bottom="1080" w:left="1152" w:header="720" w:footer="720" w:gutter="0"/>
          <w:cols w:space="720"/>
          <w:docGrid w:linePitch="360"/>
        </w:sectPr>
      </w:pPr>
    </w:p>
    <w:p>
      <w:pPr>
        <w:jc w:val="center"/>
      </w:pPr>
      <w:r>
        <w:rPr>
          <w:b/>
          <w:sz w:val="22"/>
        </w:rPr>
        <w:t>Figure 6. Urban growth intensity hotspots, 2000-2025.</w:t>
      </w:r>
    </w:p>
    <w:p>
      <w:pPr>
        <w:jc w:val="center"/>
      </w:pPr>
      <w:r>
        <w:drawing>
          <wp:inline xmlns:a="http://schemas.openxmlformats.org/drawingml/2006/main" xmlns:pic="http://schemas.openxmlformats.org/drawingml/2006/picture">
            <wp:extent cx="8869680" cy="7249057"/>
            <wp:docPr id="6" name="Picture 6"/>
            <wp:cNvGraphicFramePr>
              <a:graphicFrameLocks noChangeAspect="1"/>
            </wp:cNvGraphicFramePr>
            <a:graphic>
              <a:graphicData uri="http://schemas.openxmlformats.org/drawingml/2006/picture">
                <pic:pic>
                  <pic:nvPicPr>
                    <pic:cNvPr id="0" name="figure_6_urban_growth_hotspots.png"/>
                    <pic:cNvPicPr/>
                  </pic:nvPicPr>
                  <pic:blipFill>
                    <a:blip r:embed="rId14"/>
                    <a:stretch>
                      <a:fillRect/>
                    </a:stretch>
                  </pic:blipFill>
                  <pic:spPr>
                    <a:xfrm>
                      <a:off x="0" y="0"/>
                      <a:ext cx="8869680" cy="7249057"/>
                    </a:xfrm>
                    <a:prstGeom prst="rect"/>
                  </pic:spPr>
                </pic:pic>
              </a:graphicData>
            </a:graphic>
          </wp:inline>
        </w:drawing>
      </w:r>
    </w:p>
    <w:p>
      <w:pPr>
        <w:jc w:val="center"/>
      </w:pPr>
      <w:r>
        <w:rPr>
          <w:i/>
          <w:sz w:val="14"/>
        </w:rPr>
        <w:t>Source figure: kaduna_publication_grade_outputs/figures/figure_6_urban_growth_hotspots.png</w:t>
      </w:r>
    </w:p>
    <w:p>
      <w:pPr>
        <w:sectPr>
          <w:pgSz w:w="15840" w:h="12240" w:orient="landscape"/>
          <w:pgMar w:top="605" w:right="720" w:bottom="605" w:left="720" w:header="720" w:footer="720" w:gutter="0"/>
          <w:cols w:space="720"/>
          <w:docGrid w:linePitch="360"/>
        </w:sectPr>
      </w:pPr>
    </w:p>
    <w:p>
      <w:pPr>
        <w:sectPr>
          <w:pgSz w:w="12240" w:h="15840"/>
          <w:pgMar w:top="1080" w:right="1152" w:bottom="1080" w:left="1152" w:header="720" w:footer="720" w:gutter="0"/>
          <w:cols w:space="720"/>
          <w:docGrid w:linePitch="360"/>
        </w:sectPr>
      </w:pPr>
    </w:p>
    <w:p>
      <w:pPr>
        <w:jc w:val="center"/>
      </w:pPr>
      <w:r>
        <w:rPr>
          <w:b/>
          <w:sz w:val="22"/>
        </w:rPr>
        <w:t>Figure 7. Hotspot and spatial driver context overlay.</w:t>
      </w:r>
    </w:p>
    <w:p>
      <w:pPr>
        <w:jc w:val="center"/>
      </w:pPr>
      <w:r>
        <w:drawing>
          <wp:inline xmlns:a="http://schemas.openxmlformats.org/drawingml/2006/main" xmlns:pic="http://schemas.openxmlformats.org/drawingml/2006/picture">
            <wp:extent cx="8869680" cy="8665493"/>
            <wp:docPr id="7" name="Picture 7"/>
            <wp:cNvGraphicFramePr>
              <a:graphicFrameLocks noChangeAspect="1"/>
            </wp:cNvGraphicFramePr>
            <a:graphic>
              <a:graphicData uri="http://schemas.openxmlformats.org/drawingml/2006/picture">
                <pic:pic>
                  <pic:nvPicPr>
                    <pic:cNvPr id="0" name="figure_7_hotspots_spatial_drivers_overlay.png"/>
                    <pic:cNvPicPr/>
                  </pic:nvPicPr>
                  <pic:blipFill>
                    <a:blip r:embed="rId15"/>
                    <a:stretch>
                      <a:fillRect/>
                    </a:stretch>
                  </pic:blipFill>
                  <pic:spPr>
                    <a:xfrm>
                      <a:off x="0" y="0"/>
                      <a:ext cx="8869680" cy="8665493"/>
                    </a:xfrm>
                    <a:prstGeom prst="rect"/>
                  </pic:spPr>
                </pic:pic>
              </a:graphicData>
            </a:graphic>
          </wp:inline>
        </w:drawing>
      </w:r>
    </w:p>
    <w:p>
      <w:pPr>
        <w:jc w:val="center"/>
      </w:pPr>
      <w:r>
        <w:rPr>
          <w:i/>
          <w:sz w:val="14"/>
        </w:rPr>
        <w:t>Source figure: kaduna_publication_grade_outputs/figures/figure_7_hotspots_spatial_drivers_overlay.png</w:t>
      </w:r>
    </w:p>
    <w:p>
      <w:pPr>
        <w:sectPr>
          <w:pgSz w:w="15840" w:h="12240" w:orient="landscape"/>
          <w:pgMar w:top="605" w:right="720" w:bottom="605" w:left="720" w:header="720" w:footer="720" w:gutter="0"/>
          <w:cols w:space="720"/>
          <w:docGrid w:linePitch="360"/>
        </w:sectPr>
      </w:pPr>
    </w:p>
    <w:p>
      <w:pPr>
        <w:jc w:val="center"/>
      </w:pPr>
      <w:r>
        <w:rPr>
          <w:b/>
          <w:sz w:val="20"/>
        </w:rPr>
        <w:t>Table 2. Top built-up growth hotspot cells with coordinates and driver metrics.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648"/>
            <w:vAlign w:val="center"/>
            <w:shd w:fill="D9EAF7"/>
          </w:tcPr>
          <w:p>
            <w:pPr>
              <w:jc w:val="center"/>
            </w:pPr>
            <w:r/>
            <w:r>
              <w:rPr>
                <w:b/>
                <w:sz w:val="14"/>
              </w:rPr>
              <w:t>Rank</w:t>
            </w:r>
          </w:p>
        </w:tc>
        <w:tc>
          <w:tcPr>
            <w:tcW w:type="dxa" w:w="1224"/>
            <w:vAlign w:val="center"/>
            <w:shd w:fill="D9EAF7"/>
          </w:tcPr>
          <w:p>
            <w:pPr>
              <w:jc w:val="center"/>
            </w:pPr>
            <w:r/>
            <w:r>
              <w:rPr>
                <w:b/>
                <w:sz w:val="14"/>
              </w:rPr>
              <w:t>LGA</w:t>
            </w:r>
          </w:p>
        </w:tc>
        <w:tc>
          <w:tcPr>
            <w:tcW w:type="dxa" w:w="936"/>
            <w:vAlign w:val="center"/>
            <w:shd w:fill="D9EAF7"/>
          </w:tcPr>
          <w:p>
            <w:pPr>
              <w:jc w:val="center"/>
            </w:pPr>
            <w:r/>
            <w:r>
              <w:rPr>
                <w:b/>
                <w:sz w:val="14"/>
              </w:rPr>
              <w:t>Lat.</w:t>
            </w:r>
          </w:p>
        </w:tc>
        <w:tc>
          <w:tcPr>
            <w:tcW w:type="dxa" w:w="936"/>
            <w:vAlign w:val="center"/>
            <w:shd w:fill="D9EAF7"/>
          </w:tcPr>
          <w:p>
            <w:pPr>
              <w:jc w:val="center"/>
            </w:pPr>
            <w:r/>
            <w:r>
              <w:rPr>
                <w:b/>
                <w:sz w:val="14"/>
              </w:rPr>
              <w:t>Lon.</w:t>
            </w:r>
          </w:p>
        </w:tc>
        <w:tc>
          <w:tcPr>
            <w:tcW w:type="dxa" w:w="1224"/>
            <w:vAlign w:val="center"/>
            <w:shd w:fill="D9EAF7"/>
          </w:tcPr>
          <w:p>
            <w:pPr>
              <w:jc w:val="center"/>
            </w:pPr>
            <w:r/>
            <w:r>
              <w:rPr>
                <w:b/>
                <w:sz w:val="14"/>
              </w:rPr>
              <w:t>Growth 2000-2025 (sq. km)</w:t>
            </w:r>
          </w:p>
        </w:tc>
        <w:tc>
          <w:tcPr>
            <w:tcW w:type="dxa" w:w="936"/>
            <w:vAlign w:val="center"/>
            <w:shd w:fill="D9EAF7"/>
          </w:tcPr>
          <w:p>
            <w:pPr>
              <w:jc w:val="center"/>
            </w:pPr>
            <w:r/>
            <w:r>
              <w:rPr>
                <w:b/>
                <w:sz w:val="14"/>
              </w:rPr>
              <w:t>Road dist. (km)</w:t>
            </w:r>
          </w:p>
        </w:tc>
        <w:tc>
          <w:tcPr>
            <w:tcW w:type="dxa" w:w="936"/>
            <w:vAlign w:val="center"/>
            <w:shd w:fill="D9EAF7"/>
          </w:tcPr>
          <w:p>
            <w:pPr>
              <w:jc w:val="center"/>
            </w:pPr>
            <w:r/>
            <w:r>
              <w:rPr>
                <w:b/>
                <w:sz w:val="14"/>
              </w:rPr>
              <w:t>Core dist. (km)</w:t>
            </w:r>
          </w:p>
        </w:tc>
        <w:tc>
          <w:tcPr>
            <w:tcW w:type="dxa" w:w="936"/>
            <w:vAlign w:val="center"/>
            <w:shd w:fill="D9EAF7"/>
          </w:tcPr>
          <w:p>
            <w:pPr>
              <w:jc w:val="center"/>
            </w:pPr>
            <w:r/>
            <w:r>
              <w:rPr>
                <w:b/>
                <w:sz w:val="14"/>
              </w:rPr>
              <w:t>River dist. (km)</w:t>
            </w:r>
          </w:p>
        </w:tc>
        <w:tc>
          <w:tcPr>
            <w:tcW w:type="dxa" w:w="3888"/>
            <w:vAlign w:val="center"/>
            <w:shd w:fill="D9EAF7"/>
          </w:tcPr>
          <w:p>
            <w:pPr>
              <w:jc w:val="center"/>
            </w:pPr>
            <w:r/>
            <w:r>
              <w:rPr>
                <w:b/>
                <w:sz w:val="14"/>
              </w:rPr>
              <w:t>Planning interpretation</w:t>
            </w:r>
          </w:p>
        </w:tc>
      </w:tr>
      <w:tr>
        <w:tc>
          <w:tcPr>
            <w:tcW w:type="dxa" w:w="648"/>
            <w:vAlign w:val="center"/>
          </w:tcPr>
          <w:p>
            <w:pPr>
              <w:jc w:val="center"/>
            </w:pPr>
            <w:r/>
            <w:r>
              <w:rPr>
                <w:b w:val="0"/>
                <w:sz w:val="14"/>
              </w:rPr>
              <w:t>1</w:t>
            </w:r>
          </w:p>
        </w:tc>
        <w:tc>
          <w:tcPr>
            <w:tcW w:type="dxa" w:w="1224"/>
            <w:vAlign w:val="center"/>
          </w:tcPr>
          <w:p>
            <w:pPr>
              <w:jc w:val="center"/>
            </w:pPr>
            <w:r/>
            <w:r>
              <w:rPr>
                <w:b w:val="0"/>
                <w:sz w:val="14"/>
              </w:rPr>
              <w:t>Chikun</w:t>
            </w:r>
          </w:p>
        </w:tc>
        <w:tc>
          <w:tcPr>
            <w:tcW w:type="dxa" w:w="936"/>
            <w:vAlign w:val="center"/>
          </w:tcPr>
          <w:p>
            <w:pPr>
              <w:jc w:val="center"/>
            </w:pPr>
            <w:r/>
            <w:r>
              <w:rPr>
                <w:b w:val="0"/>
                <w:sz w:val="14"/>
              </w:rPr>
              <w:t>10.42227</w:t>
            </w:r>
          </w:p>
        </w:tc>
        <w:tc>
          <w:tcPr>
            <w:tcW w:type="dxa" w:w="936"/>
            <w:vAlign w:val="center"/>
          </w:tcPr>
          <w:p>
            <w:pPr>
              <w:jc w:val="center"/>
            </w:pPr>
            <w:r/>
            <w:r>
              <w:rPr>
                <w:b w:val="0"/>
                <w:sz w:val="14"/>
              </w:rPr>
              <w:t>7.39427</w:t>
            </w:r>
          </w:p>
        </w:tc>
        <w:tc>
          <w:tcPr>
            <w:tcW w:type="dxa" w:w="1224"/>
            <w:vAlign w:val="center"/>
          </w:tcPr>
          <w:p>
            <w:pPr>
              <w:jc w:val="center"/>
            </w:pPr>
            <w:r/>
            <w:r>
              <w:rPr>
                <w:b w:val="0"/>
                <w:sz w:val="14"/>
              </w:rPr>
              <w:t>2.205</w:t>
            </w:r>
          </w:p>
        </w:tc>
        <w:tc>
          <w:tcPr>
            <w:tcW w:type="dxa" w:w="936"/>
            <w:vAlign w:val="center"/>
          </w:tcPr>
          <w:p>
            <w:pPr>
              <w:jc w:val="center"/>
            </w:pPr>
            <w:r/>
            <w:r>
              <w:rPr>
                <w:b w:val="0"/>
                <w:sz w:val="14"/>
              </w:rPr>
              <w:t>0.172</w:t>
            </w:r>
          </w:p>
        </w:tc>
        <w:tc>
          <w:tcPr>
            <w:tcW w:type="dxa" w:w="936"/>
            <w:vAlign w:val="center"/>
          </w:tcPr>
          <w:p>
            <w:pPr>
              <w:jc w:val="center"/>
            </w:pPr>
            <w:r/>
            <w:r>
              <w:rPr>
                <w:b w:val="0"/>
                <w:sz w:val="14"/>
              </w:rPr>
              <w:t>0.0</w:t>
            </w:r>
          </w:p>
        </w:tc>
        <w:tc>
          <w:tcPr>
            <w:tcW w:type="dxa" w:w="936"/>
            <w:vAlign w:val="center"/>
          </w:tcPr>
          <w:p>
            <w:pPr>
              <w:jc w:val="center"/>
            </w:pPr>
            <w:r/>
            <w:r>
              <w:rPr>
                <w:b w:val="0"/>
                <w:sz w:val="14"/>
              </w:rPr>
              <w:t>0.203</w:t>
            </w:r>
          </w:p>
        </w:tc>
        <w:tc>
          <w:tcPr>
            <w:tcW w:type="dxa" w:w="3888"/>
            <w:vAlign w:val="center"/>
          </w:tcPr>
          <w:p>
            <w:pPr>
              <w:jc w:val="center"/>
            </w:pPr>
            <w:r/>
            <w:r>
              <w:rPr>
                <w:b w:val="0"/>
                <w:sz w:val="14"/>
              </w:rPr>
              <w:t>Peri-urban expansion zone</w:t>
            </w:r>
          </w:p>
        </w:tc>
      </w:tr>
      <w:tr>
        <w:tc>
          <w:tcPr>
            <w:tcW w:type="dxa" w:w="648"/>
            <w:vAlign w:val="center"/>
          </w:tcPr>
          <w:p>
            <w:pPr>
              <w:jc w:val="center"/>
            </w:pPr>
            <w:r/>
            <w:r>
              <w:rPr>
                <w:b w:val="0"/>
                <w:sz w:val="14"/>
              </w:rPr>
              <w:t>2</w:t>
            </w:r>
          </w:p>
        </w:tc>
        <w:tc>
          <w:tcPr>
            <w:tcW w:type="dxa" w:w="1224"/>
            <w:vAlign w:val="center"/>
          </w:tcPr>
          <w:p>
            <w:pPr>
              <w:jc w:val="center"/>
            </w:pPr>
            <w:r/>
            <w:r>
              <w:rPr>
                <w:b w:val="0"/>
                <w:sz w:val="14"/>
              </w:rPr>
              <w:t>Igabi</w:t>
            </w:r>
          </w:p>
        </w:tc>
        <w:tc>
          <w:tcPr>
            <w:tcW w:type="dxa" w:w="936"/>
            <w:vAlign w:val="center"/>
          </w:tcPr>
          <w:p>
            <w:pPr>
              <w:jc w:val="center"/>
            </w:pPr>
            <w:r/>
            <w:r>
              <w:rPr>
                <w:b w:val="0"/>
                <w:sz w:val="14"/>
              </w:rPr>
              <w:t>10.54824</w:t>
            </w:r>
          </w:p>
        </w:tc>
        <w:tc>
          <w:tcPr>
            <w:tcW w:type="dxa" w:w="936"/>
            <w:vAlign w:val="center"/>
          </w:tcPr>
          <w:p>
            <w:pPr>
              <w:jc w:val="center"/>
            </w:pPr>
            <w:r/>
            <w:r>
              <w:rPr>
                <w:b w:val="0"/>
                <w:sz w:val="14"/>
              </w:rPr>
              <w:t>7.39427</w:t>
            </w:r>
          </w:p>
        </w:tc>
        <w:tc>
          <w:tcPr>
            <w:tcW w:type="dxa" w:w="1224"/>
            <w:vAlign w:val="center"/>
          </w:tcPr>
          <w:p>
            <w:pPr>
              <w:jc w:val="center"/>
            </w:pPr>
            <w:r/>
            <w:r>
              <w:rPr>
                <w:b w:val="0"/>
                <w:sz w:val="14"/>
              </w:rPr>
              <w:t>2.097</w:t>
            </w:r>
          </w:p>
        </w:tc>
        <w:tc>
          <w:tcPr>
            <w:tcW w:type="dxa" w:w="936"/>
            <w:vAlign w:val="center"/>
          </w:tcPr>
          <w:p>
            <w:pPr>
              <w:jc w:val="center"/>
            </w:pPr>
            <w:r/>
            <w:r>
              <w:rPr>
                <w:b w:val="0"/>
                <w:sz w:val="14"/>
              </w:rPr>
              <w:t>0.017</w:t>
            </w:r>
          </w:p>
        </w:tc>
        <w:tc>
          <w:tcPr>
            <w:tcW w:type="dxa" w:w="936"/>
            <w:vAlign w:val="center"/>
          </w:tcPr>
          <w:p>
            <w:pPr>
              <w:jc w:val="center"/>
            </w:pPr>
            <w:r/>
            <w:r>
              <w:rPr>
                <w:b w:val="0"/>
                <w:sz w:val="14"/>
              </w:rPr>
              <w:t>0.361</w:t>
            </w:r>
          </w:p>
        </w:tc>
        <w:tc>
          <w:tcPr>
            <w:tcW w:type="dxa" w:w="936"/>
            <w:vAlign w:val="center"/>
          </w:tcPr>
          <w:p>
            <w:pPr>
              <w:jc w:val="center"/>
            </w:pPr>
            <w:r/>
            <w:r>
              <w:rPr>
                <w:b w:val="0"/>
                <w:sz w:val="14"/>
              </w:rPr>
              <w:t>0.208</w:t>
            </w:r>
          </w:p>
        </w:tc>
        <w:tc>
          <w:tcPr>
            <w:tcW w:type="dxa" w:w="3888"/>
            <w:vAlign w:val="center"/>
          </w:tcPr>
          <w:p>
            <w:pPr>
              <w:jc w:val="center"/>
            </w:pPr>
            <w:r/>
            <w:r>
              <w:rPr>
                <w:b w:val="0"/>
                <w:sz w:val="14"/>
              </w:rPr>
              <w:t>Peri-urban expansion zone</w:t>
            </w:r>
          </w:p>
        </w:tc>
      </w:tr>
      <w:tr>
        <w:tc>
          <w:tcPr>
            <w:tcW w:type="dxa" w:w="648"/>
            <w:vAlign w:val="center"/>
          </w:tcPr>
          <w:p>
            <w:pPr>
              <w:jc w:val="center"/>
            </w:pPr>
            <w:r/>
            <w:r>
              <w:rPr>
                <w:b w:val="0"/>
                <w:sz w:val="14"/>
              </w:rPr>
              <w:t>3</w:t>
            </w:r>
          </w:p>
        </w:tc>
        <w:tc>
          <w:tcPr>
            <w:tcW w:type="dxa" w:w="1224"/>
            <w:vAlign w:val="center"/>
          </w:tcPr>
          <w:p>
            <w:pPr>
              <w:jc w:val="center"/>
            </w:pPr>
            <w:r/>
            <w:r>
              <w:rPr>
                <w:b w:val="0"/>
                <w:sz w:val="14"/>
              </w:rPr>
              <w:t>Chikun</w:t>
            </w:r>
          </w:p>
        </w:tc>
        <w:tc>
          <w:tcPr>
            <w:tcW w:type="dxa" w:w="936"/>
            <w:vAlign w:val="center"/>
          </w:tcPr>
          <w:p>
            <w:pPr>
              <w:jc w:val="center"/>
            </w:pPr>
            <w:r/>
            <w:r>
              <w:rPr>
                <w:b w:val="0"/>
                <w:sz w:val="14"/>
              </w:rPr>
              <w:t>10.44746</w:t>
            </w:r>
          </w:p>
        </w:tc>
        <w:tc>
          <w:tcPr>
            <w:tcW w:type="dxa" w:w="936"/>
            <w:vAlign w:val="center"/>
          </w:tcPr>
          <w:p>
            <w:pPr>
              <w:jc w:val="center"/>
            </w:pPr>
            <w:r/>
            <w:r>
              <w:rPr>
                <w:b w:val="0"/>
                <w:sz w:val="14"/>
              </w:rPr>
              <w:t>7.49027</w:t>
            </w:r>
          </w:p>
        </w:tc>
        <w:tc>
          <w:tcPr>
            <w:tcW w:type="dxa" w:w="1224"/>
            <w:vAlign w:val="center"/>
          </w:tcPr>
          <w:p>
            <w:pPr>
              <w:jc w:val="center"/>
            </w:pPr>
            <w:r/>
            <w:r>
              <w:rPr>
                <w:b w:val="0"/>
                <w:sz w:val="14"/>
              </w:rPr>
              <w:t>1.942</w:t>
            </w:r>
          </w:p>
        </w:tc>
        <w:tc>
          <w:tcPr>
            <w:tcW w:type="dxa" w:w="936"/>
            <w:vAlign w:val="center"/>
          </w:tcPr>
          <w:p>
            <w:pPr>
              <w:jc w:val="center"/>
            </w:pPr>
            <w:r/>
            <w:r>
              <w:rPr>
                <w:b w:val="0"/>
                <w:sz w:val="14"/>
              </w:rPr>
              <w:t>0.112</w:t>
            </w:r>
          </w:p>
        </w:tc>
        <w:tc>
          <w:tcPr>
            <w:tcW w:type="dxa" w:w="936"/>
            <w:vAlign w:val="center"/>
          </w:tcPr>
          <w:p>
            <w:pPr>
              <w:jc w:val="center"/>
            </w:pPr>
            <w:r/>
            <w:r>
              <w:rPr>
                <w:b w:val="0"/>
                <w:sz w:val="14"/>
              </w:rPr>
              <w:t>0.361</w:t>
            </w:r>
          </w:p>
        </w:tc>
        <w:tc>
          <w:tcPr>
            <w:tcW w:type="dxa" w:w="936"/>
            <w:vAlign w:val="center"/>
          </w:tcPr>
          <w:p>
            <w:pPr>
              <w:jc w:val="center"/>
            </w:pPr>
            <w:r/>
            <w:r>
              <w:rPr>
                <w:b w:val="0"/>
                <w:sz w:val="14"/>
              </w:rPr>
              <w:t>0.47</w:t>
            </w:r>
          </w:p>
        </w:tc>
        <w:tc>
          <w:tcPr>
            <w:tcW w:type="dxa" w:w="3888"/>
            <w:vAlign w:val="center"/>
          </w:tcPr>
          <w:p>
            <w:pPr>
              <w:jc w:val="center"/>
            </w:pPr>
            <w:r/>
            <w:r>
              <w:rPr>
                <w:b w:val="0"/>
                <w:sz w:val="14"/>
              </w:rPr>
              <w:t>Peri-urban expansion zone</w:t>
            </w:r>
          </w:p>
        </w:tc>
      </w:tr>
      <w:tr>
        <w:tc>
          <w:tcPr>
            <w:tcW w:type="dxa" w:w="648"/>
            <w:vAlign w:val="center"/>
          </w:tcPr>
          <w:p>
            <w:pPr>
              <w:jc w:val="center"/>
            </w:pPr>
            <w:r/>
            <w:r>
              <w:rPr>
                <w:b w:val="0"/>
                <w:sz w:val="14"/>
              </w:rPr>
              <w:t>4</w:t>
            </w:r>
          </w:p>
        </w:tc>
        <w:tc>
          <w:tcPr>
            <w:tcW w:type="dxa" w:w="1224"/>
            <w:vAlign w:val="center"/>
          </w:tcPr>
          <w:p>
            <w:pPr>
              <w:jc w:val="center"/>
            </w:pPr>
            <w:r/>
            <w:r>
              <w:rPr>
                <w:b w:val="0"/>
                <w:sz w:val="14"/>
              </w:rPr>
              <w:t>Igabi</w:t>
            </w:r>
          </w:p>
        </w:tc>
        <w:tc>
          <w:tcPr>
            <w:tcW w:type="dxa" w:w="936"/>
            <w:vAlign w:val="center"/>
          </w:tcPr>
          <w:p>
            <w:pPr>
              <w:jc w:val="center"/>
            </w:pPr>
            <w:r/>
            <w:r>
              <w:rPr>
                <w:b w:val="0"/>
                <w:sz w:val="14"/>
              </w:rPr>
              <w:t>10.52305</w:t>
            </w:r>
          </w:p>
        </w:tc>
        <w:tc>
          <w:tcPr>
            <w:tcW w:type="dxa" w:w="936"/>
            <w:vAlign w:val="center"/>
          </w:tcPr>
          <w:p>
            <w:pPr>
              <w:jc w:val="center"/>
            </w:pPr>
            <w:r/>
            <w:r>
              <w:rPr>
                <w:b w:val="0"/>
                <w:sz w:val="14"/>
              </w:rPr>
              <w:t>7.49027</w:t>
            </w:r>
          </w:p>
        </w:tc>
        <w:tc>
          <w:tcPr>
            <w:tcW w:type="dxa" w:w="1224"/>
            <w:vAlign w:val="center"/>
          </w:tcPr>
          <w:p>
            <w:pPr>
              <w:jc w:val="center"/>
            </w:pPr>
            <w:r/>
            <w:r>
              <w:rPr>
                <w:b w:val="0"/>
                <w:sz w:val="14"/>
              </w:rPr>
              <w:t>1.641</w:t>
            </w:r>
          </w:p>
        </w:tc>
        <w:tc>
          <w:tcPr>
            <w:tcW w:type="dxa" w:w="936"/>
            <w:vAlign w:val="center"/>
          </w:tcPr>
          <w:p>
            <w:pPr>
              <w:jc w:val="center"/>
            </w:pPr>
            <w:r/>
            <w:r>
              <w:rPr>
                <w:b w:val="0"/>
                <w:sz w:val="14"/>
              </w:rPr>
              <w:t>0.659</w:t>
            </w:r>
          </w:p>
        </w:tc>
        <w:tc>
          <w:tcPr>
            <w:tcW w:type="dxa" w:w="936"/>
            <w:vAlign w:val="center"/>
          </w:tcPr>
          <w:p>
            <w:pPr>
              <w:jc w:val="center"/>
            </w:pPr>
            <w:r/>
            <w:r>
              <w:rPr>
                <w:b w:val="0"/>
                <w:sz w:val="14"/>
              </w:rPr>
              <w:t>0.539</w:t>
            </w:r>
          </w:p>
        </w:tc>
        <w:tc>
          <w:tcPr>
            <w:tcW w:type="dxa" w:w="936"/>
            <w:vAlign w:val="center"/>
          </w:tcPr>
          <w:p>
            <w:pPr>
              <w:jc w:val="center"/>
            </w:pPr>
            <w:r/>
            <w:r>
              <w:rPr>
                <w:b w:val="0"/>
                <w:sz w:val="14"/>
              </w:rPr>
              <w:t>1.135</w:t>
            </w:r>
          </w:p>
        </w:tc>
        <w:tc>
          <w:tcPr>
            <w:tcW w:type="dxa" w:w="3888"/>
            <w:vAlign w:val="center"/>
          </w:tcPr>
          <w:p>
            <w:pPr>
              <w:jc w:val="center"/>
            </w:pPr>
            <w:r/>
            <w:r>
              <w:rPr>
                <w:b w:val="0"/>
                <w:sz w:val="14"/>
              </w:rPr>
              <w:t>Peri-urban expansion zone</w:t>
            </w:r>
          </w:p>
        </w:tc>
      </w:tr>
      <w:tr>
        <w:tc>
          <w:tcPr>
            <w:tcW w:type="dxa" w:w="648"/>
            <w:vAlign w:val="center"/>
          </w:tcPr>
          <w:p>
            <w:pPr>
              <w:jc w:val="center"/>
            </w:pPr>
            <w:r/>
            <w:r>
              <w:rPr>
                <w:b w:val="0"/>
                <w:sz w:val="14"/>
              </w:rPr>
              <w:t>5</w:t>
            </w:r>
          </w:p>
        </w:tc>
        <w:tc>
          <w:tcPr>
            <w:tcW w:type="dxa" w:w="1224"/>
            <w:vAlign w:val="center"/>
          </w:tcPr>
          <w:p>
            <w:pPr>
              <w:jc w:val="center"/>
            </w:pPr>
            <w:r/>
            <w:r>
              <w:rPr>
                <w:b w:val="0"/>
                <w:sz w:val="14"/>
              </w:rPr>
              <w:t>Chikun</w:t>
            </w:r>
          </w:p>
        </w:tc>
        <w:tc>
          <w:tcPr>
            <w:tcW w:type="dxa" w:w="936"/>
            <w:vAlign w:val="center"/>
          </w:tcPr>
          <w:p>
            <w:pPr>
              <w:jc w:val="center"/>
            </w:pPr>
            <w:r/>
            <w:r>
              <w:rPr>
                <w:b w:val="0"/>
                <w:sz w:val="14"/>
              </w:rPr>
              <w:t>10.42227</w:t>
            </w:r>
          </w:p>
        </w:tc>
        <w:tc>
          <w:tcPr>
            <w:tcW w:type="dxa" w:w="936"/>
            <w:vAlign w:val="center"/>
          </w:tcPr>
          <w:p>
            <w:pPr>
              <w:jc w:val="center"/>
            </w:pPr>
            <w:r/>
            <w:r>
              <w:rPr>
                <w:b w:val="0"/>
                <w:sz w:val="14"/>
              </w:rPr>
              <w:t>7.52227</w:t>
            </w:r>
          </w:p>
        </w:tc>
        <w:tc>
          <w:tcPr>
            <w:tcW w:type="dxa" w:w="1224"/>
            <w:vAlign w:val="center"/>
          </w:tcPr>
          <w:p>
            <w:pPr>
              <w:jc w:val="center"/>
            </w:pPr>
            <w:r/>
            <w:r>
              <w:rPr>
                <w:b w:val="0"/>
                <w:sz w:val="14"/>
              </w:rPr>
              <w:t>1.625</w:t>
            </w:r>
          </w:p>
        </w:tc>
        <w:tc>
          <w:tcPr>
            <w:tcW w:type="dxa" w:w="936"/>
            <w:vAlign w:val="center"/>
          </w:tcPr>
          <w:p>
            <w:pPr>
              <w:jc w:val="center"/>
            </w:pPr>
            <w:r/>
            <w:r>
              <w:rPr>
                <w:b w:val="0"/>
                <w:sz w:val="14"/>
              </w:rPr>
              <w:t>0.928</w:t>
            </w:r>
          </w:p>
        </w:tc>
        <w:tc>
          <w:tcPr>
            <w:tcW w:type="dxa" w:w="936"/>
            <w:vAlign w:val="center"/>
          </w:tcPr>
          <w:p>
            <w:pPr>
              <w:jc w:val="center"/>
            </w:pPr>
            <w:r/>
            <w:r>
              <w:rPr>
                <w:b w:val="0"/>
                <w:sz w:val="14"/>
              </w:rPr>
              <w:t>0.447</w:t>
            </w:r>
          </w:p>
        </w:tc>
        <w:tc>
          <w:tcPr>
            <w:tcW w:type="dxa" w:w="936"/>
            <w:vAlign w:val="center"/>
          </w:tcPr>
          <w:p>
            <w:pPr>
              <w:jc w:val="center"/>
            </w:pPr>
            <w:r/>
            <w:r>
              <w:rPr>
                <w:b w:val="0"/>
                <w:sz w:val="14"/>
              </w:rPr>
              <w:t>0.941</w:t>
            </w:r>
          </w:p>
        </w:tc>
        <w:tc>
          <w:tcPr>
            <w:tcW w:type="dxa" w:w="3888"/>
            <w:vAlign w:val="center"/>
          </w:tcPr>
          <w:p>
            <w:pPr>
              <w:jc w:val="center"/>
            </w:pPr>
            <w:r/>
            <w:r>
              <w:rPr>
                <w:b w:val="0"/>
                <w:sz w:val="14"/>
              </w:rPr>
              <w:t>Peri-urban expansion zone</w:t>
            </w:r>
          </w:p>
        </w:tc>
      </w:tr>
      <w:tr>
        <w:tc>
          <w:tcPr>
            <w:tcW w:type="dxa" w:w="648"/>
            <w:vAlign w:val="center"/>
          </w:tcPr>
          <w:p>
            <w:pPr>
              <w:jc w:val="center"/>
            </w:pPr>
            <w:r/>
            <w:r>
              <w:rPr>
                <w:b w:val="0"/>
                <w:sz w:val="14"/>
              </w:rPr>
              <w:t>6</w:t>
            </w:r>
          </w:p>
        </w:tc>
        <w:tc>
          <w:tcPr>
            <w:tcW w:type="dxa" w:w="1224"/>
            <w:vAlign w:val="center"/>
          </w:tcPr>
          <w:p>
            <w:pPr>
              <w:jc w:val="center"/>
            </w:pPr>
            <w:r/>
            <w:r>
              <w:rPr>
                <w:b w:val="0"/>
                <w:sz w:val="14"/>
              </w:rPr>
              <w:t>Chikun</w:t>
            </w:r>
          </w:p>
        </w:tc>
        <w:tc>
          <w:tcPr>
            <w:tcW w:type="dxa" w:w="936"/>
            <w:vAlign w:val="center"/>
          </w:tcPr>
          <w:p>
            <w:pPr>
              <w:jc w:val="center"/>
            </w:pPr>
            <w:r/>
            <w:r>
              <w:rPr>
                <w:b w:val="0"/>
                <w:sz w:val="14"/>
              </w:rPr>
              <w:t>10.47266</w:t>
            </w:r>
          </w:p>
        </w:tc>
        <w:tc>
          <w:tcPr>
            <w:tcW w:type="dxa" w:w="936"/>
            <w:vAlign w:val="center"/>
          </w:tcPr>
          <w:p>
            <w:pPr>
              <w:jc w:val="center"/>
            </w:pPr>
            <w:r/>
            <w:r>
              <w:rPr>
                <w:b w:val="0"/>
                <w:sz w:val="14"/>
              </w:rPr>
              <w:t>7.45827</w:t>
            </w:r>
          </w:p>
        </w:tc>
        <w:tc>
          <w:tcPr>
            <w:tcW w:type="dxa" w:w="1224"/>
            <w:vAlign w:val="center"/>
          </w:tcPr>
          <w:p>
            <w:pPr>
              <w:jc w:val="center"/>
            </w:pPr>
            <w:r/>
            <w:r>
              <w:rPr>
                <w:b w:val="0"/>
                <w:sz w:val="14"/>
              </w:rPr>
              <w:t>1.500</w:t>
            </w:r>
          </w:p>
        </w:tc>
        <w:tc>
          <w:tcPr>
            <w:tcW w:type="dxa" w:w="936"/>
            <w:vAlign w:val="center"/>
          </w:tcPr>
          <w:p>
            <w:pPr>
              <w:jc w:val="center"/>
            </w:pPr>
            <w:r/>
            <w:r>
              <w:rPr>
                <w:b w:val="0"/>
                <w:sz w:val="14"/>
              </w:rPr>
              <w:t>0.187</w:t>
            </w:r>
          </w:p>
        </w:tc>
        <w:tc>
          <w:tcPr>
            <w:tcW w:type="dxa" w:w="936"/>
            <w:vAlign w:val="center"/>
          </w:tcPr>
          <w:p>
            <w:pPr>
              <w:jc w:val="center"/>
            </w:pPr>
            <w:r/>
            <w:r>
              <w:rPr>
                <w:b w:val="0"/>
                <w:sz w:val="14"/>
              </w:rPr>
              <w:t>0.0</w:t>
            </w:r>
          </w:p>
        </w:tc>
        <w:tc>
          <w:tcPr>
            <w:tcW w:type="dxa" w:w="936"/>
            <w:vAlign w:val="center"/>
          </w:tcPr>
          <w:p>
            <w:pPr>
              <w:jc w:val="center"/>
            </w:pPr>
            <w:r/>
            <w:r>
              <w:rPr>
                <w:b w:val="0"/>
                <w:sz w:val="14"/>
              </w:rPr>
              <w:t>0.328</w:t>
            </w:r>
          </w:p>
        </w:tc>
        <w:tc>
          <w:tcPr>
            <w:tcW w:type="dxa" w:w="3888"/>
            <w:vAlign w:val="center"/>
          </w:tcPr>
          <w:p>
            <w:pPr>
              <w:jc w:val="center"/>
            </w:pPr>
            <w:r/>
            <w:r>
              <w:rPr>
                <w:b w:val="0"/>
                <w:sz w:val="14"/>
              </w:rPr>
              <w:t>Drainage-sensitive edge expansion near existing urban core</w:t>
            </w:r>
          </w:p>
        </w:tc>
      </w:tr>
      <w:tr>
        <w:tc>
          <w:tcPr>
            <w:tcW w:type="dxa" w:w="648"/>
            <w:vAlign w:val="center"/>
          </w:tcPr>
          <w:p>
            <w:pPr>
              <w:jc w:val="center"/>
            </w:pPr>
            <w:r/>
            <w:r>
              <w:rPr>
                <w:b w:val="0"/>
                <w:sz w:val="14"/>
              </w:rPr>
              <w:t>7</w:t>
            </w:r>
          </w:p>
        </w:tc>
        <w:tc>
          <w:tcPr>
            <w:tcW w:type="dxa" w:w="1224"/>
            <w:vAlign w:val="center"/>
          </w:tcPr>
          <w:p>
            <w:pPr>
              <w:jc w:val="center"/>
            </w:pPr>
            <w:r/>
            <w:r>
              <w:rPr>
                <w:b w:val="0"/>
                <w:sz w:val="14"/>
              </w:rPr>
              <w:t>Kaduna South</w:t>
            </w:r>
          </w:p>
        </w:tc>
        <w:tc>
          <w:tcPr>
            <w:tcW w:type="dxa" w:w="936"/>
            <w:vAlign w:val="center"/>
          </w:tcPr>
          <w:p>
            <w:pPr>
              <w:jc w:val="center"/>
            </w:pPr>
            <w:r/>
            <w:r>
              <w:rPr>
                <w:b w:val="0"/>
                <w:sz w:val="14"/>
              </w:rPr>
              <w:t>10.42227</w:t>
            </w:r>
          </w:p>
        </w:tc>
        <w:tc>
          <w:tcPr>
            <w:tcW w:type="dxa" w:w="936"/>
            <w:vAlign w:val="center"/>
          </w:tcPr>
          <w:p>
            <w:pPr>
              <w:jc w:val="center"/>
            </w:pPr>
            <w:r/>
            <w:r>
              <w:rPr>
                <w:b w:val="0"/>
                <w:sz w:val="14"/>
              </w:rPr>
              <w:t>7.42627</w:t>
            </w:r>
          </w:p>
        </w:tc>
        <w:tc>
          <w:tcPr>
            <w:tcW w:type="dxa" w:w="1224"/>
            <w:vAlign w:val="center"/>
          </w:tcPr>
          <w:p>
            <w:pPr>
              <w:jc w:val="center"/>
            </w:pPr>
            <w:r/>
            <w:r>
              <w:rPr>
                <w:b w:val="0"/>
                <w:sz w:val="14"/>
              </w:rPr>
              <w:t>1.483</w:t>
            </w:r>
          </w:p>
        </w:tc>
        <w:tc>
          <w:tcPr>
            <w:tcW w:type="dxa" w:w="936"/>
            <w:vAlign w:val="center"/>
          </w:tcPr>
          <w:p>
            <w:pPr>
              <w:jc w:val="center"/>
            </w:pPr>
            <w:r/>
            <w:r>
              <w:rPr>
                <w:b w:val="0"/>
                <w:sz w:val="14"/>
              </w:rPr>
              <w:t>0.078</w:t>
            </w:r>
          </w:p>
        </w:tc>
        <w:tc>
          <w:tcPr>
            <w:tcW w:type="dxa" w:w="936"/>
            <w:vAlign w:val="center"/>
          </w:tcPr>
          <w:p>
            <w:pPr>
              <w:jc w:val="center"/>
            </w:pPr>
            <w:r/>
            <w:r>
              <w:rPr>
                <w:b w:val="0"/>
                <w:sz w:val="14"/>
              </w:rPr>
              <w:t>0.3</w:t>
            </w:r>
          </w:p>
        </w:tc>
        <w:tc>
          <w:tcPr>
            <w:tcW w:type="dxa" w:w="936"/>
            <w:vAlign w:val="center"/>
          </w:tcPr>
          <w:p>
            <w:pPr>
              <w:jc w:val="center"/>
            </w:pPr>
            <w:r/>
            <w:r>
              <w:rPr>
                <w:b w:val="0"/>
                <w:sz w:val="14"/>
              </w:rPr>
              <w:t>0.308</w:t>
            </w:r>
          </w:p>
        </w:tc>
        <w:tc>
          <w:tcPr>
            <w:tcW w:type="dxa" w:w="3888"/>
            <w:vAlign w:val="center"/>
          </w:tcPr>
          <w:p>
            <w:pPr>
              <w:jc w:val="center"/>
            </w:pPr>
            <w:r/>
            <w:r>
              <w:rPr>
                <w:b w:val="0"/>
                <w:sz w:val="14"/>
              </w:rPr>
              <w:t>Emerging peripheral growth cell</w:t>
            </w:r>
          </w:p>
        </w:tc>
      </w:tr>
      <w:tr>
        <w:tc>
          <w:tcPr>
            <w:tcW w:type="dxa" w:w="648"/>
            <w:vAlign w:val="center"/>
          </w:tcPr>
          <w:p>
            <w:pPr>
              <w:jc w:val="center"/>
            </w:pPr>
            <w:r/>
            <w:r>
              <w:rPr>
                <w:b w:val="0"/>
                <w:sz w:val="14"/>
              </w:rPr>
              <w:t>8</w:t>
            </w:r>
          </w:p>
        </w:tc>
        <w:tc>
          <w:tcPr>
            <w:tcW w:type="dxa" w:w="1224"/>
            <w:vAlign w:val="center"/>
          </w:tcPr>
          <w:p>
            <w:pPr>
              <w:jc w:val="center"/>
            </w:pPr>
            <w:r/>
            <w:r>
              <w:rPr>
                <w:b w:val="0"/>
                <w:sz w:val="14"/>
              </w:rPr>
              <w:t>Kaduna North</w:t>
            </w:r>
          </w:p>
        </w:tc>
        <w:tc>
          <w:tcPr>
            <w:tcW w:type="dxa" w:w="936"/>
            <w:vAlign w:val="center"/>
          </w:tcPr>
          <w:p>
            <w:pPr>
              <w:jc w:val="center"/>
            </w:pPr>
            <w:r/>
            <w:r>
              <w:rPr>
                <w:b w:val="0"/>
                <w:sz w:val="14"/>
              </w:rPr>
              <w:t>10.52305</w:t>
            </w:r>
          </w:p>
        </w:tc>
        <w:tc>
          <w:tcPr>
            <w:tcW w:type="dxa" w:w="936"/>
            <w:vAlign w:val="center"/>
          </w:tcPr>
          <w:p>
            <w:pPr>
              <w:jc w:val="center"/>
            </w:pPr>
            <w:r/>
            <w:r>
              <w:rPr>
                <w:b w:val="0"/>
                <w:sz w:val="14"/>
              </w:rPr>
              <w:t>7.45827</w:t>
            </w:r>
          </w:p>
        </w:tc>
        <w:tc>
          <w:tcPr>
            <w:tcW w:type="dxa" w:w="1224"/>
            <w:vAlign w:val="center"/>
          </w:tcPr>
          <w:p>
            <w:pPr>
              <w:jc w:val="center"/>
            </w:pPr>
            <w:r/>
            <w:r>
              <w:rPr>
                <w:b w:val="0"/>
                <w:sz w:val="14"/>
              </w:rPr>
              <w:t>1.334</w:t>
            </w:r>
          </w:p>
        </w:tc>
        <w:tc>
          <w:tcPr>
            <w:tcW w:type="dxa" w:w="936"/>
            <w:vAlign w:val="center"/>
          </w:tcPr>
          <w:p>
            <w:pPr>
              <w:jc w:val="center"/>
            </w:pPr>
            <w:r/>
            <w:r>
              <w:rPr>
                <w:b w:val="0"/>
                <w:sz w:val="14"/>
              </w:rPr>
              <w:t>0.112</w:t>
            </w:r>
          </w:p>
        </w:tc>
        <w:tc>
          <w:tcPr>
            <w:tcW w:type="dxa" w:w="936"/>
            <w:vAlign w:val="center"/>
          </w:tcPr>
          <w:p>
            <w:pPr>
              <w:jc w:val="center"/>
            </w:pPr>
            <w:r/>
            <w:r>
              <w:rPr>
                <w:b w:val="0"/>
                <w:sz w:val="14"/>
              </w:rPr>
              <w:t>0.141</w:t>
            </w:r>
          </w:p>
        </w:tc>
        <w:tc>
          <w:tcPr>
            <w:tcW w:type="dxa" w:w="936"/>
            <w:vAlign w:val="center"/>
          </w:tcPr>
          <w:p>
            <w:pPr>
              <w:jc w:val="center"/>
            </w:pPr>
            <w:r/>
            <w:r>
              <w:rPr>
                <w:b w:val="0"/>
                <w:sz w:val="14"/>
              </w:rPr>
              <w:t>0.234</w:t>
            </w:r>
          </w:p>
        </w:tc>
        <w:tc>
          <w:tcPr>
            <w:tcW w:type="dxa" w:w="3888"/>
            <w:vAlign w:val="center"/>
          </w:tcPr>
          <w:p>
            <w:pPr>
              <w:jc w:val="center"/>
            </w:pPr>
            <w:r/>
            <w:r>
              <w:rPr>
                <w:b w:val="0"/>
                <w:sz w:val="14"/>
              </w:rPr>
              <w:t>Drainage-sensitive edge expansion near existing urban core</w:t>
            </w:r>
          </w:p>
        </w:tc>
      </w:tr>
      <w:tr>
        <w:tc>
          <w:tcPr>
            <w:tcW w:type="dxa" w:w="648"/>
            <w:vAlign w:val="center"/>
          </w:tcPr>
          <w:p>
            <w:pPr>
              <w:jc w:val="center"/>
            </w:pPr>
            <w:r/>
            <w:r>
              <w:rPr>
                <w:b w:val="0"/>
                <w:sz w:val="14"/>
              </w:rPr>
              <w:t>9</w:t>
            </w:r>
          </w:p>
        </w:tc>
        <w:tc>
          <w:tcPr>
            <w:tcW w:type="dxa" w:w="1224"/>
            <w:vAlign w:val="center"/>
          </w:tcPr>
          <w:p>
            <w:pPr>
              <w:jc w:val="center"/>
            </w:pPr>
            <w:r/>
            <w:r>
              <w:rPr>
                <w:b w:val="0"/>
                <w:sz w:val="14"/>
              </w:rPr>
              <w:t>Kaduna North</w:t>
            </w:r>
          </w:p>
        </w:tc>
        <w:tc>
          <w:tcPr>
            <w:tcW w:type="dxa" w:w="936"/>
            <w:vAlign w:val="center"/>
          </w:tcPr>
          <w:p>
            <w:pPr>
              <w:jc w:val="center"/>
            </w:pPr>
            <w:r/>
            <w:r>
              <w:rPr>
                <w:b w:val="0"/>
                <w:sz w:val="14"/>
              </w:rPr>
              <w:t>10.49785</w:t>
            </w:r>
          </w:p>
        </w:tc>
        <w:tc>
          <w:tcPr>
            <w:tcW w:type="dxa" w:w="936"/>
            <w:vAlign w:val="center"/>
          </w:tcPr>
          <w:p>
            <w:pPr>
              <w:jc w:val="center"/>
            </w:pPr>
            <w:r/>
            <w:r>
              <w:rPr>
                <w:b w:val="0"/>
                <w:sz w:val="14"/>
              </w:rPr>
              <w:t>7.45827</w:t>
            </w:r>
          </w:p>
        </w:tc>
        <w:tc>
          <w:tcPr>
            <w:tcW w:type="dxa" w:w="1224"/>
            <w:vAlign w:val="center"/>
          </w:tcPr>
          <w:p>
            <w:pPr>
              <w:jc w:val="center"/>
            </w:pPr>
            <w:r/>
            <w:r>
              <w:rPr>
                <w:b w:val="0"/>
                <w:sz w:val="14"/>
              </w:rPr>
              <w:t>1.299</w:t>
            </w:r>
          </w:p>
        </w:tc>
        <w:tc>
          <w:tcPr>
            <w:tcW w:type="dxa" w:w="936"/>
            <w:vAlign w:val="center"/>
          </w:tcPr>
          <w:p>
            <w:pPr>
              <w:jc w:val="center"/>
            </w:pPr>
            <w:r/>
            <w:r>
              <w:rPr>
                <w:b w:val="0"/>
                <w:sz w:val="14"/>
              </w:rPr>
              <w:t>0.834</w:t>
            </w:r>
          </w:p>
        </w:tc>
        <w:tc>
          <w:tcPr>
            <w:tcW w:type="dxa" w:w="936"/>
            <w:vAlign w:val="center"/>
          </w:tcPr>
          <w:p>
            <w:pPr>
              <w:jc w:val="center"/>
            </w:pPr>
            <w:r/>
            <w:r>
              <w:rPr>
                <w:b w:val="0"/>
                <w:sz w:val="14"/>
              </w:rPr>
              <w:t>0.51</w:t>
            </w:r>
          </w:p>
        </w:tc>
        <w:tc>
          <w:tcPr>
            <w:tcW w:type="dxa" w:w="936"/>
            <w:vAlign w:val="center"/>
          </w:tcPr>
          <w:p>
            <w:pPr>
              <w:jc w:val="center"/>
            </w:pPr>
            <w:r/>
            <w:r>
              <w:rPr>
                <w:b w:val="0"/>
                <w:sz w:val="14"/>
              </w:rPr>
              <w:t>0.037</w:t>
            </w:r>
          </w:p>
        </w:tc>
        <w:tc>
          <w:tcPr>
            <w:tcW w:type="dxa" w:w="3888"/>
            <w:vAlign w:val="center"/>
          </w:tcPr>
          <w:p>
            <w:pPr>
              <w:jc w:val="center"/>
            </w:pPr>
            <w:r/>
            <w:r>
              <w:rPr>
                <w:b w:val="0"/>
                <w:sz w:val="14"/>
              </w:rPr>
              <w:t>Drainage-sensitive edge expansion near existing urban core</w:t>
            </w:r>
          </w:p>
        </w:tc>
      </w:tr>
      <w:tr>
        <w:tc>
          <w:tcPr>
            <w:tcW w:type="dxa" w:w="648"/>
            <w:vAlign w:val="center"/>
          </w:tcPr>
          <w:p>
            <w:pPr>
              <w:jc w:val="center"/>
            </w:pPr>
            <w:r/>
            <w:r>
              <w:rPr>
                <w:b w:val="0"/>
                <w:sz w:val="14"/>
              </w:rPr>
              <w:t>10</w:t>
            </w:r>
          </w:p>
        </w:tc>
        <w:tc>
          <w:tcPr>
            <w:tcW w:type="dxa" w:w="1224"/>
            <w:vAlign w:val="center"/>
          </w:tcPr>
          <w:p>
            <w:pPr>
              <w:jc w:val="center"/>
            </w:pPr>
            <w:r/>
            <w:r>
              <w:rPr>
                <w:b w:val="0"/>
                <w:sz w:val="14"/>
              </w:rPr>
              <w:t>Chikun</w:t>
            </w:r>
          </w:p>
        </w:tc>
        <w:tc>
          <w:tcPr>
            <w:tcW w:type="dxa" w:w="936"/>
            <w:vAlign w:val="center"/>
          </w:tcPr>
          <w:p>
            <w:pPr>
              <w:jc w:val="center"/>
            </w:pPr>
            <w:r/>
            <w:r>
              <w:rPr>
                <w:b w:val="0"/>
                <w:sz w:val="14"/>
              </w:rPr>
              <w:t>10.47266</w:t>
            </w:r>
          </w:p>
        </w:tc>
        <w:tc>
          <w:tcPr>
            <w:tcW w:type="dxa" w:w="936"/>
            <w:vAlign w:val="center"/>
          </w:tcPr>
          <w:p>
            <w:pPr>
              <w:jc w:val="center"/>
            </w:pPr>
            <w:r/>
            <w:r>
              <w:rPr>
                <w:b w:val="0"/>
                <w:sz w:val="14"/>
              </w:rPr>
              <w:t>7.49027</w:t>
            </w:r>
          </w:p>
        </w:tc>
        <w:tc>
          <w:tcPr>
            <w:tcW w:type="dxa" w:w="1224"/>
            <w:vAlign w:val="center"/>
          </w:tcPr>
          <w:p>
            <w:pPr>
              <w:jc w:val="center"/>
            </w:pPr>
            <w:r/>
            <w:r>
              <w:rPr>
                <w:b w:val="0"/>
                <w:sz w:val="14"/>
              </w:rPr>
              <w:t>1.249</w:t>
            </w:r>
          </w:p>
        </w:tc>
        <w:tc>
          <w:tcPr>
            <w:tcW w:type="dxa" w:w="936"/>
            <w:vAlign w:val="center"/>
          </w:tcPr>
          <w:p>
            <w:pPr>
              <w:jc w:val="center"/>
            </w:pPr>
            <w:r/>
            <w:r>
              <w:rPr>
                <w:b w:val="0"/>
                <w:sz w:val="14"/>
              </w:rPr>
              <w:t>0.088</w:t>
            </w:r>
          </w:p>
        </w:tc>
        <w:tc>
          <w:tcPr>
            <w:tcW w:type="dxa" w:w="936"/>
            <w:vAlign w:val="center"/>
          </w:tcPr>
          <w:p>
            <w:pPr>
              <w:jc w:val="center"/>
            </w:pPr>
            <w:r/>
            <w:r>
              <w:rPr>
                <w:b w:val="0"/>
                <w:sz w:val="14"/>
              </w:rPr>
              <w:t>0.5</w:t>
            </w:r>
          </w:p>
        </w:tc>
        <w:tc>
          <w:tcPr>
            <w:tcW w:type="dxa" w:w="936"/>
            <w:vAlign w:val="center"/>
          </w:tcPr>
          <w:p>
            <w:pPr>
              <w:jc w:val="center"/>
            </w:pPr>
            <w:r/>
            <w:r>
              <w:rPr>
                <w:b w:val="0"/>
                <w:sz w:val="14"/>
              </w:rPr>
              <w:t>0.418</w:t>
            </w:r>
          </w:p>
        </w:tc>
        <w:tc>
          <w:tcPr>
            <w:tcW w:type="dxa" w:w="3888"/>
            <w:vAlign w:val="center"/>
          </w:tcPr>
          <w:p>
            <w:pPr>
              <w:jc w:val="center"/>
            </w:pPr>
            <w:r/>
            <w:r>
              <w:rPr>
                <w:b w:val="0"/>
                <w:sz w:val="14"/>
              </w:rPr>
              <w:t>Peri-urban expansion zone</w:t>
            </w:r>
          </w:p>
        </w:tc>
      </w:tr>
      <w:tr>
        <w:tc>
          <w:tcPr>
            <w:tcW w:type="dxa" w:w="648"/>
            <w:vAlign w:val="center"/>
          </w:tcPr>
          <w:p>
            <w:pPr>
              <w:jc w:val="center"/>
            </w:pPr>
            <w:r/>
            <w:r>
              <w:rPr>
                <w:b w:val="0"/>
                <w:sz w:val="14"/>
              </w:rPr>
              <w:t>11</w:t>
            </w:r>
          </w:p>
        </w:tc>
        <w:tc>
          <w:tcPr>
            <w:tcW w:type="dxa" w:w="1224"/>
            <w:vAlign w:val="center"/>
          </w:tcPr>
          <w:p>
            <w:pPr>
              <w:jc w:val="center"/>
            </w:pPr>
            <w:r/>
            <w:r>
              <w:rPr>
                <w:b w:val="0"/>
                <w:sz w:val="14"/>
              </w:rPr>
              <w:t>Igabi</w:t>
            </w:r>
          </w:p>
        </w:tc>
        <w:tc>
          <w:tcPr>
            <w:tcW w:type="dxa" w:w="936"/>
            <w:vAlign w:val="center"/>
          </w:tcPr>
          <w:p>
            <w:pPr>
              <w:jc w:val="center"/>
            </w:pPr>
            <w:r/>
            <w:r>
              <w:rPr>
                <w:b w:val="0"/>
                <w:sz w:val="14"/>
              </w:rPr>
              <w:t>10.54824</w:t>
            </w:r>
          </w:p>
        </w:tc>
        <w:tc>
          <w:tcPr>
            <w:tcW w:type="dxa" w:w="936"/>
            <w:vAlign w:val="center"/>
          </w:tcPr>
          <w:p>
            <w:pPr>
              <w:jc w:val="center"/>
            </w:pPr>
            <w:r/>
            <w:r>
              <w:rPr>
                <w:b w:val="0"/>
                <w:sz w:val="14"/>
              </w:rPr>
              <w:t>7.49027</w:t>
            </w:r>
          </w:p>
        </w:tc>
        <w:tc>
          <w:tcPr>
            <w:tcW w:type="dxa" w:w="1224"/>
            <w:vAlign w:val="center"/>
          </w:tcPr>
          <w:p>
            <w:pPr>
              <w:jc w:val="center"/>
            </w:pPr>
            <w:r/>
            <w:r>
              <w:rPr>
                <w:b w:val="0"/>
                <w:sz w:val="14"/>
              </w:rPr>
              <w:t>1.227</w:t>
            </w:r>
          </w:p>
        </w:tc>
        <w:tc>
          <w:tcPr>
            <w:tcW w:type="dxa" w:w="936"/>
            <w:vAlign w:val="center"/>
          </w:tcPr>
          <w:p>
            <w:pPr>
              <w:jc w:val="center"/>
            </w:pPr>
            <w:r/>
            <w:r>
              <w:rPr>
                <w:b w:val="0"/>
                <w:sz w:val="14"/>
              </w:rPr>
              <w:t>0.392</w:t>
            </w:r>
          </w:p>
        </w:tc>
        <w:tc>
          <w:tcPr>
            <w:tcW w:type="dxa" w:w="936"/>
            <w:vAlign w:val="center"/>
          </w:tcPr>
          <w:p>
            <w:pPr>
              <w:jc w:val="center"/>
            </w:pPr>
            <w:r/>
            <w:r>
              <w:rPr>
                <w:b w:val="0"/>
                <w:sz w:val="14"/>
              </w:rPr>
              <w:t>0.224</w:t>
            </w:r>
          </w:p>
        </w:tc>
        <w:tc>
          <w:tcPr>
            <w:tcW w:type="dxa" w:w="936"/>
            <w:vAlign w:val="center"/>
          </w:tcPr>
          <w:p>
            <w:pPr>
              <w:jc w:val="center"/>
            </w:pPr>
            <w:r/>
            <w:r>
              <w:rPr>
                <w:b w:val="0"/>
                <w:sz w:val="14"/>
              </w:rPr>
              <w:t>0.373</w:t>
            </w:r>
          </w:p>
        </w:tc>
        <w:tc>
          <w:tcPr>
            <w:tcW w:type="dxa" w:w="3888"/>
            <w:vAlign w:val="center"/>
          </w:tcPr>
          <w:p>
            <w:pPr>
              <w:jc w:val="center"/>
            </w:pPr>
            <w:r/>
            <w:r>
              <w:rPr>
                <w:b w:val="0"/>
                <w:sz w:val="14"/>
              </w:rPr>
              <w:t>Peri-urban expansion zone</w:t>
            </w:r>
          </w:p>
        </w:tc>
      </w:tr>
      <w:tr>
        <w:tc>
          <w:tcPr>
            <w:tcW w:type="dxa" w:w="648"/>
            <w:vAlign w:val="center"/>
          </w:tcPr>
          <w:p>
            <w:pPr>
              <w:jc w:val="center"/>
            </w:pPr>
            <w:r/>
            <w:r>
              <w:rPr>
                <w:b w:val="0"/>
                <w:sz w:val="14"/>
              </w:rPr>
              <w:t>12</w:t>
            </w:r>
          </w:p>
        </w:tc>
        <w:tc>
          <w:tcPr>
            <w:tcW w:type="dxa" w:w="1224"/>
            <w:vAlign w:val="center"/>
          </w:tcPr>
          <w:p>
            <w:pPr>
              <w:jc w:val="center"/>
            </w:pPr>
            <w:r/>
            <w:r>
              <w:rPr>
                <w:b w:val="0"/>
                <w:sz w:val="14"/>
              </w:rPr>
              <w:t>Igabi</w:t>
            </w:r>
          </w:p>
        </w:tc>
        <w:tc>
          <w:tcPr>
            <w:tcW w:type="dxa" w:w="936"/>
            <w:vAlign w:val="center"/>
          </w:tcPr>
          <w:p>
            <w:pPr>
              <w:jc w:val="center"/>
            </w:pPr>
            <w:r/>
            <w:r>
              <w:rPr>
                <w:b w:val="0"/>
                <w:sz w:val="14"/>
              </w:rPr>
              <w:t>10.49785</w:t>
            </w:r>
          </w:p>
        </w:tc>
        <w:tc>
          <w:tcPr>
            <w:tcW w:type="dxa" w:w="936"/>
            <w:vAlign w:val="center"/>
          </w:tcPr>
          <w:p>
            <w:pPr>
              <w:jc w:val="center"/>
            </w:pPr>
            <w:r/>
            <w:r>
              <w:rPr>
                <w:b w:val="0"/>
                <w:sz w:val="14"/>
              </w:rPr>
              <w:t>7.39427</w:t>
            </w:r>
          </w:p>
        </w:tc>
        <w:tc>
          <w:tcPr>
            <w:tcW w:type="dxa" w:w="1224"/>
            <w:vAlign w:val="center"/>
          </w:tcPr>
          <w:p>
            <w:pPr>
              <w:jc w:val="center"/>
            </w:pPr>
            <w:r/>
            <w:r>
              <w:rPr>
                <w:b w:val="0"/>
                <w:sz w:val="14"/>
              </w:rPr>
              <w:t>1.223</w:t>
            </w:r>
          </w:p>
        </w:tc>
        <w:tc>
          <w:tcPr>
            <w:tcW w:type="dxa" w:w="936"/>
            <w:vAlign w:val="center"/>
          </w:tcPr>
          <w:p>
            <w:pPr>
              <w:jc w:val="center"/>
            </w:pPr>
            <w:r/>
            <w:r>
              <w:rPr>
                <w:b w:val="0"/>
                <w:sz w:val="14"/>
              </w:rPr>
              <w:t>0.253</w:t>
            </w:r>
          </w:p>
        </w:tc>
        <w:tc>
          <w:tcPr>
            <w:tcW w:type="dxa" w:w="936"/>
            <w:vAlign w:val="center"/>
          </w:tcPr>
          <w:p>
            <w:pPr>
              <w:jc w:val="center"/>
            </w:pPr>
            <w:r/>
            <w:r>
              <w:rPr>
                <w:b w:val="0"/>
                <w:sz w:val="14"/>
              </w:rPr>
              <w:t>0.0</w:t>
            </w:r>
          </w:p>
        </w:tc>
        <w:tc>
          <w:tcPr>
            <w:tcW w:type="dxa" w:w="936"/>
            <w:vAlign w:val="center"/>
          </w:tcPr>
          <w:p>
            <w:pPr>
              <w:jc w:val="center"/>
            </w:pPr>
            <w:r/>
            <w:r>
              <w:rPr>
                <w:b w:val="0"/>
                <w:sz w:val="14"/>
              </w:rPr>
              <w:t>1.137</w:t>
            </w:r>
          </w:p>
        </w:tc>
        <w:tc>
          <w:tcPr>
            <w:tcW w:type="dxa" w:w="3888"/>
            <w:vAlign w:val="center"/>
          </w:tcPr>
          <w:p>
            <w:pPr>
              <w:jc w:val="center"/>
            </w:pPr>
            <w:r/>
            <w:r>
              <w:rPr>
                <w:b w:val="0"/>
                <w:sz w:val="14"/>
              </w:rPr>
              <w:t>Peri-urban expansion zone</w:t>
            </w:r>
          </w:p>
        </w:tc>
      </w:tr>
    </w:tbl>
    <w:p>
      <w:pPr>
        <w:sectPr>
          <w:pgSz w:w="12240" w:h="15840"/>
          <w:pgMar w:top="1080" w:right="1152" w:bottom="1080" w:left="1152" w:header="720" w:footer="720" w:gutter="0"/>
          <w:cols w:space="720"/>
          <w:docGrid w:linePitch="360"/>
        </w:sectPr>
      </w:pPr>
    </w:p>
    <w:p>
      <w:pPr>
        <w:jc w:val="center"/>
      </w:pPr>
      <w:r>
        <w:rPr>
          <w:b/>
          <w:sz w:val="22"/>
        </w:rPr>
        <w:t>Figure 8. Satellite context for top growth hotspots, 2010 and 2025.</w:t>
      </w:r>
    </w:p>
    <w:p>
      <w:pPr>
        <w:jc w:val="center"/>
      </w:pPr>
      <w:r>
        <w:drawing>
          <wp:inline xmlns:a="http://schemas.openxmlformats.org/drawingml/2006/main" xmlns:pic="http://schemas.openxmlformats.org/drawingml/2006/picture">
            <wp:extent cx="8869680" cy="17351785"/>
            <wp:docPr id="8" name="Picture 8"/>
            <wp:cNvGraphicFramePr>
              <a:graphicFrameLocks noChangeAspect="1"/>
            </wp:cNvGraphicFramePr>
            <a:graphic>
              <a:graphicData uri="http://schemas.openxmlformats.org/drawingml/2006/picture">
                <pic:pic>
                  <pic:nvPicPr>
                    <pic:cNvPr id="0" name="figure_8_before_after_hotspot_panels.png"/>
                    <pic:cNvPicPr/>
                  </pic:nvPicPr>
                  <pic:blipFill>
                    <a:blip r:embed="rId16"/>
                    <a:stretch>
                      <a:fillRect/>
                    </a:stretch>
                  </pic:blipFill>
                  <pic:spPr>
                    <a:xfrm>
                      <a:off x="0" y="0"/>
                      <a:ext cx="8869680" cy="17351785"/>
                    </a:xfrm>
                    <a:prstGeom prst="rect"/>
                  </pic:spPr>
                </pic:pic>
              </a:graphicData>
            </a:graphic>
          </wp:inline>
        </w:drawing>
      </w:r>
    </w:p>
    <w:p>
      <w:pPr>
        <w:jc w:val="center"/>
      </w:pPr>
      <w:r>
        <w:rPr>
          <w:i/>
          <w:sz w:val="14"/>
        </w:rPr>
        <w:t>Source figure: kaduna_publication_grade_outputs/figures/figure_8_before_after_hotspot_panels.png</w:t>
      </w:r>
    </w:p>
    <w:p>
      <w:pPr>
        <w:sectPr>
          <w:pgSz w:w="15840" w:h="12240" w:orient="landscape"/>
          <w:pgMar w:top="605" w:right="720" w:bottom="605" w:left="720" w:header="720" w:footer="720" w:gutter="0"/>
          <w:cols w:space="720"/>
          <w:docGrid w:linePitch="360"/>
        </w:sectPr>
      </w:pPr>
    </w:p>
    <w:p>
      <w:pPr>
        <w:pStyle w:val="Heading1"/>
      </w:pPr>
      <w:r>
        <w:rPr>
          <w:color w:val="1F4E79"/>
        </w:rPr>
        <w:t>5. Discussion</w:t>
      </w:r>
    </w:p>
    <w:p>
      <w:pPr>
        <w:spacing w:after="120" w:line="259" w:lineRule="auto"/>
      </w:pPr>
      <w:r>
        <w:t>The results indicate substantial and spatially uneven urban expansion in Kaduna Metropolis. Growth is strongest around the established metropolitan belt and peri-urban extension zones, especially in Chikun and Igabi. This pattern is consistent with outward metropolitan expansion beyond the older core LGAs.</w:t>
      </w:r>
    </w:p>
    <w:p>
      <w:pPr>
        <w:spacing w:after="120" w:line="259" w:lineRule="auto"/>
      </w:pPr>
      <w:r>
        <w:t>The climate-resilience relevance comes from the physical consequences of built-up expansion. More impervious surface can increase runoff, reduce infiltration, raise local heat exposure, and place pressure on drainage and public services. Hotspot mapping therefore provides a practical way to identify where adaptation-oriented planning attention should be prioritized.</w:t>
      </w:r>
    </w:p>
    <w:p>
      <w:pPr>
        <w:spacing w:after="120" w:line="259" w:lineRule="auto"/>
      </w:pPr>
      <w:r>
        <w:t>The earlier Random Forest LULC experiment produced implausible historical built-up results, including a false built-up decline. The corrected workflow uses GHSL as the primary long-term evidence layer and uses Landsat and contextual data for interpretation. This correction strengthens the publication value of the analysis because it explicitly handles visual QA and plausibility checking.</w:t>
      </w:r>
    </w:p>
    <w:p>
      <w:pPr>
        <w:pStyle w:val="Heading1"/>
      </w:pPr>
      <w:r>
        <w:rPr>
          <w:color w:val="1F4E79"/>
        </w:rPr>
        <w:t>6. Limitations</w:t>
      </w:r>
    </w:p>
    <w:p>
      <w:pPr>
        <w:spacing w:after="120" w:line="259" w:lineRule="auto"/>
      </w:pPr>
      <w:r>
        <w:t>GHSL is a generalized built-up surface product and may miss small structures or fine local changes. The hotspot grid identifies high-growth cells and spatial associations, but it does not prove causal drivers. Coordinates are grid-cell centroids and should be used for field orientation rather than parcel-level decisions.</w:t>
      </w:r>
    </w:p>
    <w:p>
      <w:pPr>
        <w:pStyle w:val="Heading1"/>
      </w:pPr>
      <w:r>
        <w:rPr>
          <w:color w:val="1F4E79"/>
        </w:rPr>
        <w:t>7. Conclusion</w:t>
      </w:r>
    </w:p>
    <w:p>
      <w:pPr>
        <w:spacing w:after="120" w:line="259" w:lineRule="auto"/>
      </w:pPr>
      <w:r>
        <w:t>This study provides a reproducible GeoAI workflow for detecting urban growth hotspots in Kaduna Metropolis using open Earth Observation and geospatial data. The built-up surface more than doubled between 2000 and 2025, with growth concentrated in Chikun, Igabi, Kaduna South, and Kaduna North. The outputs support climate-resilient planning by identifying priority areas for drainage assessment, infrastructure planning, green-space protection, service delivery, and field validation.</w:t>
      </w:r>
    </w:p>
    <w:p>
      <w:pPr>
        <w:pStyle w:val="Heading1"/>
      </w:pPr>
      <w:r>
        <w:rPr>
          <w:color w:val="1F4E79"/>
        </w:rPr>
        <w:t>References</w:t>
      </w:r>
    </w:p>
    <w:p>
      <w:pPr>
        <w:spacing w:after="120" w:line="259" w:lineRule="auto"/>
      </w:pPr>
      <w:r>
        <w:t>European Commission, Joint Research Centre. Global Human Settlement Layer GHS-BUILT-S P2023A. Google Earth Engine dataset: JRC/GHSL/P2023A/GHS_BUILT_S.</w:t>
      </w:r>
    </w:p>
    <w:p>
      <w:pPr>
        <w:spacing w:after="120" w:line="259" w:lineRule="auto"/>
      </w:pPr>
      <w:r>
        <w:t>FAO. GAUL 2015 administrative boundaries. Google Earth Engine dataset: FAO/GAUL/2015.</w:t>
      </w:r>
    </w:p>
    <w:p>
      <w:pPr>
        <w:spacing w:after="120" w:line="259" w:lineRule="auto"/>
      </w:pPr>
      <w:r>
        <w:t>OpenStreetMap contributors. Road and water feature data accessed through OSMnx.</w:t>
      </w:r>
    </w:p>
    <w:p>
      <w:pPr>
        <w:spacing w:after="120" w:line="259" w:lineRule="auto"/>
      </w:pPr>
      <w:r>
        <w:t>United States Geological Survey. Landsat Collection 2 Level 2 surface reflectance imagery.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