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peinture intérieure</w:t>
      </w:r>
    </w:p>
    <w:p w:rsidR="00000000" w:rsidDel="00000000" w:rsidP="00000000" w:rsidRDefault="00000000" w:rsidRPr="00000000" w14:paraId="00000002">
      <w:pPr>
        <w:rPr/>
      </w:pPr>
      <w:r w:rsidDel="00000000" w:rsidR="00000000" w:rsidRPr="00000000">
        <w:rPr>
          <w:rtl w:val="0"/>
        </w:rPr>
        <w:t xml:space="preserve">résidentiel</w:t>
      </w:r>
    </w:p>
    <w:p w:rsidR="00000000" w:rsidDel="00000000" w:rsidP="00000000" w:rsidRDefault="00000000" w:rsidRPr="00000000" w14:paraId="00000003">
      <w:pPr>
        <w:rPr/>
      </w:pPr>
      <w:r w:rsidDel="00000000" w:rsidR="00000000" w:rsidRPr="00000000">
        <w:rPr>
          <w:rtl w:val="0"/>
        </w:rPr>
        <w:t xml:space="preserve">armoires de cuisine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312" w:lineRule="auto"/>
        <w:rPr>
          <w:b w:val="1"/>
          <w:bCs w:val="1"/>
          <w:color w:val="1a202c"/>
          <w:sz w:val="27"/>
          <w:szCs w:val="27"/>
        </w:rPr>
      </w:pPr>
      <w:bookmarkStart w:colFirst="0" w:colLast="0" w:name="_vo8vvaegv5t1" w:id="0"/>
      <w:bookmarkEnd w:id="0"/>
      <w:r w:rsidDel="00000000" w:rsidR="00000000" w:rsidRPr="00000000">
        <w:rPr>
          <w:b w:val="1"/>
          <w:bCs w:val="1"/>
          <w:color w:val="1a202c"/>
          <w:sz w:val="27"/>
          <w:szCs w:val="27"/>
          <w:rtl w:val="0"/>
        </w:rPr>
        <w:t xml:space="preserve">Préparation et peinture d’armoire de cuisine en bois pour un look plus moderne</w:t>
      </w:r>
    </w:p>
    <w:p w:rsidR="00000000" w:rsidDel="00000000" w:rsidP="00000000" w:rsidRDefault="00000000" w:rsidRPr="00000000" w14:paraId="00000006">
      <w:pPr>
        <w:pBdr>
          <w:top w:color="e2e8f0" w:space="0" w:sz="0" w:val="none"/>
          <w:left w:color="e2e8f0" w:space="0" w:sz="0" w:val="none"/>
          <w:bottom w:color="e2e8f0" w:space="0" w:sz="0" w:val="none"/>
          <w:right w:color="e2e8f0" w:space="0" w:sz="0" w:val="none"/>
          <w:between w:color="e2e8f0" w:space="0" w:sz="0" w:val="none"/>
        </w:pBdr>
        <w:shd w:fill="ffffff" w:val="clear"/>
        <w:spacing w:line="384.00000000000006" w:lineRule="auto"/>
        <w:rPr>
          <w:color w:val="2355ca"/>
          <w:sz w:val="21"/>
          <w:szCs w:val="21"/>
        </w:rPr>
      </w:pPr>
      <w:r w:rsidDel="00000000" w:rsidR="00000000" w:rsidRPr="00000000">
        <w:rPr>
          <w:color w:val="2355ca"/>
          <w:sz w:val="21"/>
          <w:szCs w:val="21"/>
          <w:rtl w:val="0"/>
        </w:rPr>
        <w:t xml:space="preserve">Laval</w:t>
      </w:r>
      <w:r w:rsidDel="00000000" w:rsidR="00000000" w:rsidRPr="00000000">
        <w:rPr>
          <w:rtl w:val="0"/>
        </w:rPr>
      </w:r>
    </w:p>
    <w:p w:rsidR="00000000" w:rsidDel="00000000" w:rsidP="00000000" w:rsidRDefault="00000000" w:rsidRPr="00000000" w14:paraId="00000007">
      <w:pPr>
        <w:pBdr>
          <w:top w:color="e2e8f0" w:space="0" w:sz="0" w:val="none"/>
          <w:left w:color="e2e8f0" w:space="0" w:sz="0" w:val="none"/>
          <w:bottom w:color="e2e8f0" w:space="0" w:sz="0" w:val="none"/>
          <w:right w:color="e2e8f0" w:space="0" w:sz="0" w:val="none"/>
          <w:between w:color="e2e8f0" w:space="0" w:sz="0" w:val="none"/>
        </w:pBdr>
        <w:shd w:fill="ffffff" w:val="clear"/>
        <w:spacing w:after="60" w:line="384.00000000000006" w:lineRule="auto"/>
        <w:rPr>
          <w:b w:val="1"/>
          <w:bCs w:val="1"/>
          <w:color w:val="6b7280"/>
          <w:sz w:val="18"/>
          <w:szCs w:val="18"/>
        </w:rPr>
      </w:pPr>
      <w:r w:rsidDel="00000000" w:rsidR="00000000" w:rsidRPr="00000000">
        <w:rPr>
          <w:b w:val="1"/>
          <w:bCs w:val="1"/>
          <w:color w:val="6b7280"/>
          <w:sz w:val="18"/>
          <w:szCs w:val="18"/>
          <w:rtl w:val="0"/>
        </w:rPr>
        <w:t xml:space="preserve">Contexte</w:t>
      </w:r>
    </w:p>
    <w:p w:rsidR="00000000" w:rsidDel="00000000" w:rsidP="00000000" w:rsidRDefault="00000000" w:rsidRPr="00000000" w14:paraId="00000008">
      <w:pPr>
        <w:pBdr>
          <w:top w:color="e2e8f0" w:space="0" w:sz="0" w:val="none"/>
          <w:left w:color="e2e8f0" w:space="0" w:sz="0" w:val="none"/>
          <w:bottom w:color="e2e8f0" w:space="0" w:sz="0" w:val="none"/>
          <w:right w:color="e2e8f0" w:space="0" w:sz="0" w:val="none"/>
          <w:between w:color="e2e8f0" w:space="0" w:sz="0" w:val="none"/>
        </w:pBdr>
        <w:shd w:fill="ffffff" w:val="clear"/>
        <w:spacing w:line="384.00000000000006" w:lineRule="auto"/>
        <w:rPr>
          <w:color w:val="4a5568"/>
          <w:sz w:val="21"/>
          <w:szCs w:val="21"/>
        </w:rPr>
      </w:pPr>
      <w:r w:rsidDel="00000000" w:rsidR="00000000" w:rsidRPr="00000000">
        <w:rPr>
          <w:color w:val="4a5568"/>
          <w:sz w:val="21"/>
          <w:szCs w:val="21"/>
          <w:rtl w:val="0"/>
        </w:rPr>
        <w:t xml:space="preserve">Nos clients avaient leurs armoires en bois massifs pour plus de 20 ans et on décidé de leur donner un nouveau look, sans dépenser une fortune pour acheter des nouveaux caissons. Dégraissage, sablage, application de primer et application d’un produit fait spécifiquement pour les portes d’armoires au pistolet.</w:t>
      </w:r>
      <w:r w:rsidDel="00000000" w:rsidR="00000000" w:rsidRPr="00000000">
        <w:rPr>
          <w:rtl w:val="0"/>
        </w:rPr>
      </w:r>
    </w:p>
    <w:p w:rsidR="00000000" w:rsidDel="00000000" w:rsidP="00000000" w:rsidRDefault="00000000" w:rsidRPr="00000000" w14:paraId="00000009">
      <w:pPr>
        <w:pBdr>
          <w:top w:color="e2e8f0" w:space="0" w:sz="0" w:val="none"/>
          <w:left w:color="e2e8f0" w:space="0" w:sz="0" w:val="none"/>
          <w:bottom w:color="e2e8f0" w:space="0" w:sz="0" w:val="none"/>
          <w:right w:color="e2e8f0" w:space="0" w:sz="0" w:val="none"/>
          <w:between w:color="e2e8f0" w:space="0" w:sz="0" w:val="none"/>
        </w:pBdr>
        <w:shd w:fill="ffffff" w:val="clear"/>
        <w:spacing w:after="60" w:line="384.00000000000006" w:lineRule="auto"/>
        <w:rPr>
          <w:b w:val="1"/>
          <w:bCs w:val="1"/>
          <w:color w:val="6b7280"/>
          <w:sz w:val="18"/>
          <w:szCs w:val="18"/>
        </w:rPr>
      </w:pPr>
      <w:r w:rsidDel="00000000" w:rsidR="00000000" w:rsidRPr="00000000">
        <w:rPr>
          <w:b w:val="1"/>
          <w:bCs w:val="1"/>
          <w:color w:val="6b7280"/>
          <w:sz w:val="18"/>
          <w:szCs w:val="18"/>
          <w:rtl w:val="0"/>
        </w:rPr>
        <w:t xml:space="preserve">Résultat</w:t>
      </w:r>
    </w:p>
    <w:p w:rsidR="00000000" w:rsidDel="00000000" w:rsidP="00000000" w:rsidRDefault="00000000" w:rsidRPr="00000000" w14:paraId="0000000A">
      <w:pPr>
        <w:pBdr>
          <w:top w:color="e2e8f0" w:space="0" w:sz="0" w:val="none"/>
          <w:left w:color="e2e8f0" w:space="0" w:sz="0" w:val="none"/>
          <w:bottom w:color="e2e8f0" w:space="0" w:sz="0" w:val="none"/>
          <w:right w:color="e2e8f0" w:space="0" w:sz="0" w:val="none"/>
          <w:between w:color="e2e8f0" w:space="0" w:sz="0" w:val="none"/>
        </w:pBdr>
        <w:shd w:fill="ffffff" w:val="clear"/>
        <w:spacing w:line="384.00000000000006" w:lineRule="auto"/>
        <w:rPr/>
      </w:pPr>
      <w:r w:rsidDel="00000000" w:rsidR="00000000" w:rsidRPr="00000000">
        <w:rPr>
          <w:color w:val="2d3748"/>
          <w:sz w:val="21"/>
          <w:szCs w:val="21"/>
          <w:rtl w:val="0"/>
        </w:rPr>
        <w:t xml:space="preserve">Un fini lisse, uniforme et durable avec une apparence au goût du jour.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