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</w:pPr>
      <w:r>
        <w:rPr>
          <w:rFonts w:ascii="Cormorant Garamond" w:cs="Cormorant Garamond" w:eastAsia="Cormorant Garamond" w:hAnsi="Cormorant Garamond"/>
          <w:b w:val="false"/>
          <w:bCs w:val="false"/>
          <w:color w:val="3B82F6"/>
          <w:spacing w:val="40"/>
          <w:sz w:val="18"/>
          <w:szCs w:val="18"/>
        </w:rPr>
        <w:t xml:space="preserve">SYNTIQ · ANEXO AL SISTEMA DE MARCA</w:t>
      </w:r>
    </w:p>
    <w:p>
      <w:pPr>
        <w:spacing w:after="200" w:before="200"/>
      </w:pPr>
      <w:r>
        <w:rPr>
          <w:rFonts w:ascii="Cormorant Garamond" w:cs="Cormorant Garamond" w:eastAsia="Cormorant Garamond" w:hAnsi="Cormorant Garamond"/>
          <w:color w:val="0F172A"/>
          <w:sz w:val="56"/>
          <w:szCs w:val="56"/>
        </w:rPr>
        <w:t xml:space="preserve">Guía de Implementación Visual</w:t>
      </w:r>
    </w:p>
    <w:p>
      <w:pPr>
        <w:spacing w:after="120"/>
      </w:pPr>
      <w:r>
        <w:rPr>
          <w:rFonts w:ascii="Cormorant Garamond" w:cs="Cormorant Garamond" w:eastAsia="Cormorant Garamond" w:hAnsi="Cormorant Garamond"/>
          <w:i/>
          <w:iCs/>
          <w:color w:val="6B7280"/>
          <w:sz w:val="22"/>
          <w:szCs w:val="22"/>
        </w:rPr>
        <w:t xml:space="preserve">Corrección del efecto "página muy blanca" — mapa sección por sección para syntiq-web-seven.vercel.app</w:t>
      </w:r>
    </w:p>
    <w:p>
      <w:pPr>
        <w:spacing w:after="150" w:before="300"/>
      </w:pPr>
      <w:r>
        <w:rPr>
          <w:rFonts w:ascii="Cormorant Garamond" w:cs="Cormorant Garamond" w:eastAsia="Cormorant Garamond" w:hAnsi="Cormorant Garamond"/>
          <w:b/>
          <w:bCs/>
          <w:color w:val="0F172A"/>
          <w:sz w:val="32"/>
          <w:szCs w:val="32"/>
        </w:rPr>
        <w:t xml:space="preserve">Logotipo de referencia</w:t>
      </w:r>
    </w:p>
    <w:p>
      <w:pPr>
        <w:shd w:fill="FFFFFF" w:val="clear"/>
        <w:spacing w:after="100"/>
      </w:pPr>
      <w:r>
        <w:drawing>
          <wp:inline distT="0" distB="0" distL="0" distR="0">
            <wp:extent cx="36195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ormorant Garamond" w:cs="Cormorant Garamond" w:eastAsia="Cormorant Garamond" w:hAnsi="Cormorant Garamond"/>
          <w:i/>
          <w:iCs/>
          <w:color w:val="6B7280"/>
          <w:sz w:val="22"/>
          <w:szCs w:val="22"/>
        </w:rPr>
        <w:t xml:space="preserve">Archivo: LOGO_FINAL_.png · Trazo del isotipo en Azul Noche (#0F172A) y nodos/conexiones en Azul Brillante (#3B82F6) — coherente con la paleta de marca.</w:t>
      </w:r>
    </w:p>
    <w:p>
      <w:pPr>
        <w:spacing w:after="120"/>
      </w:pPr>
      <w:r>
        <w:rPr>
          <w:rFonts w:ascii="Cormorant Garamond" w:cs="Cormorant Garamond" w:eastAsia="Cormorant Garamond" w:hAnsi="Cormorant Garamond"/>
          <w:i w:val="false"/>
          <w:iCs w:val="false"/>
          <w:color w:val="B91C1C"/>
          <w:sz w:val="22"/>
          <w:szCs w:val="22"/>
        </w:rPr>
        <w:t xml:space="preserve">Nota de implementación: esta versión solo funciona sobre fondos claros (Blanco o Azul Hielo). Sobre las secciones oscuras (#0F172A) que propone esta guía — Hero, Resultados, Blueprint, CTA final, Footer — el texto "SYNTIQ" en Azul Noche perderá contraste casi por completo. Se recomienda generar una variante clara (isotipo + wordmark en blanco, o en blanco con el nodo en Azul Brillante) para uso exclusivo sobre fondo oscuro.</w:t>
      </w:r>
    </w:p>
    <w:p>
      <w:pPr>
        <w:spacing w:after="150" w:before="300"/>
      </w:pPr>
      <w:r>
        <w:rPr>
          <w:rFonts w:ascii="Cormorant Garamond" w:cs="Cormorant Garamond" w:eastAsia="Cormorant Garamond" w:hAnsi="Cormorant Garamond"/>
          <w:b/>
          <w:bCs/>
          <w:color w:val="0F172A"/>
          <w:sz w:val="32"/>
          <w:szCs w:val="32"/>
        </w:rPr>
        <w:t xml:space="preserve">Diagnóstico</w:t>
      </w:r>
    </w:p>
    <w:p>
      <w:pPr>
        <w:spacing w:after="120"/>
      </w:pPr>
      <w:r>
        <w:rPr>
          <w:rFonts w:ascii="Cormorant Garamond" w:cs="Cormorant Garamond" w:eastAsia="Cormorant Garamond" w:hAnsi="Cormorant Garamond"/>
          <w:i w:val="false"/>
          <w:iCs w:val="false"/>
          <w:color w:val="1F2937"/>
          <w:sz w:val="22"/>
          <w:szCs w:val="22"/>
        </w:rPr>
        <w:t xml:space="preserve">La paleta de marca define cuatro colores, pero la web actual usa casi exclusivamente el Blanco Puro como fondo. El Azul Noche y el Azul Hielo — pensados como fondo secundario y fondo alterno — apenas aparecen fuera del footer. Combinado con el peso tipográfico 300 (bajo contraste sobre blanco), esto genera la sensación de vacío / "demasiado blanco".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</w:tblGrid>
      <w:tr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0F172A"/>
                <w:sz w:val="18"/>
                <w:szCs w:val="18"/>
              </w:rPr>
              <w:t xml:space="preserve">#FFFFFF
Blanco Puro</w:t>
            </w:r>
          </w:p>
        </w:tc>
        <w:tc>
          <w:tcPr>
            <w:tcW w:type="dxa" w:w="1600"/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18"/>
                <w:szCs w:val="18"/>
              </w:rPr>
              <w:t xml:space="preserve">#0F172A
Azul Noche</w:t>
            </w:r>
          </w:p>
        </w:tc>
        <w:tc>
          <w:tcPr>
            <w:tcW w:type="dxa" w:w="1600"/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18"/>
                <w:szCs w:val="18"/>
              </w:rPr>
              <w:t xml:space="preserve">#3B82F6
Azul Brillante</w:t>
            </w:r>
          </w:p>
        </w:tc>
        <w:tc>
          <w:tcPr>
            <w:tcW w:type="dxa" w:w="1600"/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0F172A"/>
                <w:sz w:val="18"/>
                <w:szCs w:val="18"/>
              </w:rPr>
              <w:t xml:space="preserve">#EFF6FF
Azul Hielo</w:t>
            </w:r>
          </w:p>
        </w:tc>
      </w:tr>
    </w:tbl>
    <w:p>
      <w:pPr>
        <w:spacing w:after="150" w:before="300"/>
      </w:pPr>
      <w:r>
        <w:rPr>
          <w:rFonts w:ascii="Cormorant Garamond" w:cs="Cormorant Garamond" w:eastAsia="Cormorant Garamond" w:hAnsi="Cormorant Garamond"/>
          <w:b/>
          <w:bCs/>
          <w:color w:val="0F172A"/>
          <w:sz w:val="32"/>
          <w:szCs w:val="32"/>
        </w:rPr>
        <w:t xml:space="preserve">Principio de alternancia</w:t>
      </w:r>
    </w:p>
    <w:p>
      <w:pPr>
        <w:spacing w:after="120"/>
      </w:pPr>
      <w:r>
        <w:rPr>
          <w:rFonts w:ascii="Cormorant Garamond" w:cs="Cormorant Garamond" w:eastAsia="Cormorant Garamond" w:hAnsi="Cormorant Garamond"/>
          <w:i w:val="false"/>
          <w:iCs w:val="false"/>
          <w:color w:val="1F2937"/>
          <w:sz w:val="22"/>
          <w:szCs w:val="22"/>
        </w:rPr>
        <w:t xml:space="preserve">Ningún fondo se repite en dos secciones consecutivas. El scroll debe leerse como una secuencia de bloques de color, no como un lienzo blanco continuo con texto encima: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Oscuro (Hero) → Hielo → Blanco → Hielo → Blanco → Oscuro (Resultados) → Hielo → Blanco → Oscuro (Blueprint) → Hielo (FAQ) → Oscuro (CTA/Footer)</w:t>
      </w:r>
    </w:p>
    <w:p>
      <w:pPr>
        <w:spacing w:after="150" w:before="300"/>
      </w:pPr>
      <w:r>
        <w:rPr>
          <w:rFonts w:ascii="Cormorant Garamond" w:cs="Cormorant Garamond" w:eastAsia="Cormorant Garamond" w:hAnsi="Cormorant Garamond"/>
          <w:b/>
          <w:bCs/>
          <w:color w:val="0F172A"/>
          <w:sz w:val="32"/>
          <w:szCs w:val="32"/>
        </w:rPr>
        <w:t xml:space="preserve">Mapa de secciones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000"/>
        <w:gridCol w:w="2860"/>
      </w:tblGrid>
      <w:tr>
        <w:trPr>
          <w:tblHeader/>
        </w:trPr>
        <w:tc>
          <w:tcPr>
            <w:tcW w:type="dxa" w:w="20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0"/>
                <w:szCs w:val="20"/>
              </w:rPr>
              <w:t xml:space="preserve">Sección de la web</w:t>
            </w:r>
          </w:p>
        </w:tc>
        <w:tc>
          <w:tcPr>
            <w:tcW w:type="dxa" w:w="17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0"/>
                <w:szCs w:val="20"/>
              </w:rPr>
              <w:t xml:space="preserve">Fondo</w:t>
            </w:r>
          </w:p>
        </w:tc>
        <w:tc>
          <w:tcPr>
            <w:tcW w:type="dxa" w:w="20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0"/>
                <w:szCs w:val="20"/>
              </w:rPr>
              <w:t xml:space="preserve">Texto / Números</w:t>
            </w:r>
          </w:p>
        </w:tc>
        <w:tc>
          <w:tcPr>
            <w:tcW w:type="dxa" w:w="286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0"/>
                <w:szCs w:val="20"/>
              </w:rPr>
              <w:t xml:space="preserve">Detalle de acento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Hero (Inicio)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 #0F172A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Blanco / itálica en Azul Brillante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CTA sólido en Azul Brillante, botón secundario con borde blanco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Herramientas reales (marquee logos)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Hielo #EFF6FF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Separador entre hero oscuro y contenido — rompe el salto brusco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Qué vas a aprender a construir (4 tarjetas)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Blanco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Borde superior 3px Azul Brillante + fondo interior Azul Hielo suave en cada tarjeta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Método SyntIQ (pasos 01–04)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Hielo #EFF6FF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Números grandes en Azul Noche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Círculo de acento en Azul Brillante alrededor del número de paso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Formatos de formación (3 planes)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Blanco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Tarjeta "Más elegido": borde completo Azul Brillante + badge de fondo Azul Brillante, texto blanco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Resultados / testimonios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 #0F172A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Blanco, cifras grandes en Azul Brillante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Sección "ancla" de autoridad — mayor contraste de toda la página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Calculadora ROTI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Hielo #EFF6FF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Caja de resultado: fondo Azul Noche, texto blanco, cifra clave en Azul Brillante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Equipo fundador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Blanco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Borde inferior 2px Azul Brillante bajo cada foto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Blueprint (recurso gratuito)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 #0F172A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Blanco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Tarjeta blanca flotante centrada — efecto "spotlight" sobre fondo oscuro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FAQ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Hielo #EFF6FF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Línea divisoria sutil Azul Noche al 10% de opacidad entre preguntas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CTA final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 #0F172A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Blanco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Botón principal sólido en Azul Brillante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/>
                <w:bCs/>
                <w:color w:val="1F2937"/>
                <w:sz w:val="20"/>
                <w:szCs w:val="20"/>
              </w:rPr>
              <w:t xml:space="preserve">Footer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Azul Noche #0F172A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Blanco / gris claro</w:t>
            </w:r>
          </w:p>
        </w:tc>
        <w:tc>
          <w:tcPr>
            <w:tcW w:type="dxa" w:w="2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morant Garamond" w:cs="Cormorant Garamond" w:eastAsia="Cormorant Garamond" w:hAnsi="Cormorant Garamond"/>
                <w:b w:val="false"/>
                <w:bCs w:val="false"/>
                <w:color w:val="1F2937"/>
                <w:sz w:val="20"/>
                <w:szCs w:val="20"/>
              </w:rPr>
              <w:t xml:space="preserve">Mantener — ya funciona como ancla oscura de cierre</w:t>
            </w:r>
          </w:p>
        </w:tc>
      </w:tr>
    </w:tbl>
    <w:p>
      <w:pPr>
        <w:spacing w:after="150" w:before="300"/>
      </w:pPr>
      <w:r>
        <w:rPr>
          <w:rFonts w:ascii="Cormorant Garamond" w:cs="Cormorant Garamond" w:eastAsia="Cormorant Garamond" w:hAnsi="Cormorant Garamond"/>
          <w:b/>
          <w:bCs/>
          <w:color w:val="0F172A"/>
          <w:sz w:val="32"/>
          <w:szCs w:val="32"/>
        </w:rPr>
        <w:t xml:space="preserve">Ajustes tipográficos que refuerzan el cambio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rmorant Garamond" w:cs="Cormorant Garamond" w:eastAsia="Cormorant Garamond" w:hAnsi="Cormorant Garamond"/>
          <w:color w:val="1F2937"/>
          <w:sz w:val="22"/>
          <w:szCs w:val="22"/>
        </w:rPr>
        <w:t xml:space="preserve">Sobre fondo blanco: mantener peso 300, pero aumentar el line-height del body a 1.6–1.7 para dar más "peso visual" al bloque sin engrosar el trazo.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rmorant Garamond" w:cs="Cormorant Garamond" w:eastAsia="Cormorant Garamond" w:hAnsi="Cormorant Garamond"/>
          <w:color w:val="1F2937"/>
          <w:sz w:val="22"/>
          <w:szCs w:val="22"/>
        </w:rPr>
        <w:t xml:space="preserve">Sobre fondo oscuro (Azul Noche): el blanco sobre negro ya se percibe más grueso ópticamente — el peso 300 sigue siendo legible, no hace falta subirlo.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rmorant Garamond" w:cs="Cormorant Garamond" w:eastAsia="Cormorant Garamond" w:hAnsi="Cormorant Garamond"/>
          <w:color w:val="1F2937"/>
          <w:sz w:val="22"/>
          <w:szCs w:val="22"/>
        </w:rPr>
        <w:t xml:space="preserve">Cifras y números grandes (ROTI, resultados, pasos): usar peso 400 en vez de 300 — son elementos de foco, no de lectura continua.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rmorant Garamond" w:cs="Cormorant Garamond" w:eastAsia="Cormorant Garamond" w:hAnsi="Cormorant Garamond"/>
          <w:color w:val="1F2937"/>
          <w:sz w:val="22"/>
          <w:szCs w:val="22"/>
        </w:rPr>
        <w:t xml:space="preserve">Labels: mantener el tracking 0.25–0.30em, pero sobre fondo Azul Noche usar el propio Azul Brillante o un gris azulado claro, nunca blanco puro, para que no compitan con los titulares.</w:t>
      </w:r>
    </w:p>
    <w:p>
      <w:pPr>
        <w:spacing w:after="150" w:before="300"/>
      </w:pPr>
      <w:r>
        <w:rPr>
          <w:rFonts w:ascii="Cormorant Garamond" w:cs="Cormorant Garamond" w:eastAsia="Cormorant Garamond" w:hAnsi="Cormorant Garamond"/>
          <w:b/>
          <w:bCs/>
          <w:color w:val="0F172A"/>
          <w:sz w:val="32"/>
          <w:szCs w:val="32"/>
        </w:rPr>
        <w:t xml:space="preserve">Bloque CSS — utilidades por sección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:root {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--color-dark: #0F172A;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--color-accent: #3B82F6;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--color-light: #EFF6FF;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--color-white: #FFFFFF;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.section-dark {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background: var(--color-dark);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color: var(--color-white);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.section-dark em { color: var(--color-accent); font-style: italic; }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.section-light {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background: var(--color-light);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color: var(--color-dark);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.card {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background: var(--color-white);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border-top: 3px solid var(--color-accent);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border-radius: 4px;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padding: 24px;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.card--featured {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border: 1.5px solid var(--color-accent);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box-shadow: 0 8px 24px rgba(59,130,246,0.12);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.badge {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background: var(--color-accent);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color: var(--color-white);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padding: 4px 12px;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letter-spacing: 0.25em;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text-transform: uppercase;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font-size: 11px;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font-weight: 500;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.divider-soft {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border-bottom: 1px solid rgba(15,23,42,0.1);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.stat-figure {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color: var(--color-accent);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font-weight: 400;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font-size: clamp(36px, 5vw, 56px);</w:t>
      </w:r>
    </w:p>
    <w:p>
      <w:pPr>
        <w:shd w:fill="F8FAFC" w:val="clear"/>
        <w:spacing w:after="2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50" w:before="300"/>
      </w:pPr>
      <w:r>
        <w:rPr>
          <w:rFonts w:ascii="Cormorant Garamond" w:cs="Cormorant Garamond" w:eastAsia="Cormorant Garamond" w:hAnsi="Cormorant Garamond"/>
          <w:b/>
          <w:bCs/>
          <w:color w:val="0F172A"/>
          <w:sz w:val="32"/>
          <w:szCs w:val="32"/>
        </w:rPr>
        <w:t xml:space="preserve">Orden de implementación sugerido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rmorant Garamond" w:cs="Cormorant Garamond" w:eastAsia="Cormorant Garamond" w:hAnsi="Cormorant Garamond"/>
          <w:color w:val="1F2937"/>
          <w:sz w:val="22"/>
          <w:szCs w:val="22"/>
        </w:rPr>
        <w:t xml:space="preserve">1. Aplicar section-dark al Hero, a Resultados, al Blueprint y al CTA final (el cambio con más impacto visual inmediato).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rmorant Garamond" w:cs="Cormorant Garamond" w:eastAsia="Cormorant Garamond" w:hAnsi="Cormorant Garamond"/>
          <w:color w:val="1F2937"/>
          <w:sz w:val="22"/>
          <w:szCs w:val="22"/>
        </w:rPr>
        <w:t xml:space="preserve">2. Cambiar Método, Calculadora ROTI y FAQ de blanco a Azul Hielo.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rmorant Garamond" w:cs="Cormorant Garamond" w:eastAsia="Cormorant Garamond" w:hAnsi="Cormorant Garamond"/>
          <w:color w:val="1F2937"/>
          <w:sz w:val="22"/>
          <w:szCs w:val="22"/>
        </w:rPr>
        <w:t xml:space="preserve">3. Añadir .card a las tarjetas de "Qué vas a construir" y de Formatos de formación, con .card--featured en el plan "Más elegido".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rmorant Garamond" w:cs="Cormorant Garamond" w:eastAsia="Cormorant Garamond" w:hAnsi="Cormorant Garamond"/>
          <w:color w:val="1F2937"/>
          <w:sz w:val="22"/>
          <w:szCs w:val="22"/>
        </w:rPr>
        <w:t xml:space="preserve">4. Añadir .badge donde hoy hay texto plano destacado (Más elegido, resultados de la calculadora).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rmorant Garamond" w:cs="Cormorant Garamond" w:eastAsia="Cormorant Garamond" w:hAnsi="Cormorant Garamond"/>
          <w:color w:val="1F2937"/>
          <w:sz w:val="22"/>
          <w:szCs w:val="22"/>
        </w:rPr>
        <w:t xml:space="preserve">5. Revisar contraste de accesibilidad: Azul Brillante sobre Azul Noche cumple AA para texto grande; para texto pequeño usar blanco o Azul Hielo.</w:t>
      </w:r>
    </w:p>
    <w:p>
      <w:pPr>
        <w:pBdr>
          <w:top w:val="single" w:color="D1D5DB" w:sz="4"/>
        </w:pBdr>
        <w:spacing w:before="400"/>
      </w:pPr>
      <w:r>
        <w:rPr>
          <w:rFonts w:ascii="Cormorant Garamond" w:cs="Cormorant Garamond" w:eastAsia="Cormorant Garamond" w:hAnsi="Cormorant Garamond"/>
          <w:i/>
          <w:iCs/>
          <w:color w:val="6B7280"/>
          <w:sz w:val="16"/>
          <w:szCs w:val="16"/>
        </w:rPr>
        <w:t xml:space="preserve">Documento confidencial · SyntIQ — Anexo de implementación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210487dcb034a50758463f51ed416a0b943d6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2026-09-07T12:12:21.499Z</dcterms:created>
  <dcterms:modified xsi:type="dcterms:W3CDTF">2026-09-07T12:12:21.507Z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