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Simulated Peer Review Report</w:t>
      </w:r>
    </w:p>
    <w:p>
      <w:pPr>
        <w:spacing w:after="120"/>
      </w:pPr>
      <w:r>
        <w:rPr>
          <w:b/>
          <w:bCs/>
        </w:rPr>
        <w:t xml:space="preserve">Manuscript: </w:t>
      </w:r>
      <w:r>
        <w:t xml:space="preserve">SleepQualityNet v2: single-channel N3 detection with a rule-derived, factor-decomposed N3 EEG profile (study state at run 20261028-0834; no written v2 manuscript yet)</w:t>
      </w:r>
    </w:p>
    <w:p>
      <w:pPr>
        <w:spacing w:after="120"/>
      </w:pPr>
      <w:r>
        <w:rPr>
          <w:b/>
          <w:bCs/>
        </w:rPr>
        <w:t xml:space="preserve">Target journal: </w:t>
      </w:r>
      <w:r>
        <w:t xml:space="preserve">IEEE Journal of Biomedical and Health Informatics (J-BHI), Regular Paper</w:t>
      </w:r>
    </w:p>
    <w:p>
      <w:pPr>
        <w:spacing w:after="120"/>
      </w:pPr>
      <w:r>
        <w:rPr>
          <w:b/>
          <w:bCs/>
        </w:rPr>
        <w:t xml:space="preserve">Review mode: </w:t>
      </w:r>
      <w:r>
        <w:t xml:space="preserve">Harsh ("Reviewer 2")   |   </w:t>
      </w:r>
      <w:r>
        <w:rPr>
          <w:b/>
          <w:bCs/>
        </w:rPr>
        <w:t xml:space="preserve">Date: </w:t>
      </w:r>
      <w:r>
        <w:t xml:space="preserve">30 October 2026</w:t>
      </w:r>
    </w:p>
    <w:p>
      <w:pPr>
        <w:spacing w:after="120"/>
      </w:pPr>
      <w:r>
        <w:rPr>
          <w:i/>
          <w:iCs/>
        </w:rPr>
        <w:t xml:space="preserve">Reviewer note: this is a simulated, author-requested pre-submission review produced by an AI assistant. It is not an editorial decision. It reviews the study design, code and saved results (v2/results/20261028-0834, branch v2-kaggle; code on branch claude/exciting-bohr-edm3c5) together with the novelty claims proposed for the paper. A written v2 manuscript does not exist yet; the v1 LaTeX draft was excluded because its results came from an EOG channel and are invalid.</w:t>
      </w:r>
    </w:p>
    <w:p>
      <w:pPr>
        <w:pStyle w:val="Heading1"/>
        <w:spacing w:after="120" w:before="300"/>
      </w:pPr>
      <w:r>
        <w:t xml:space="preserve">1. Summary of the work</w:t>
      </w:r>
    </w:p>
    <w:p>
      <w:pPr>
        <w:spacing w:after="120"/>
      </w:pPr>
      <w:r>
        <w:t xml:space="preserve">The authors propose SleepQualityNet v2, a compact (96k-parameter) CNN with additive attention pooling, fusion of 19 handcrafted spectral and slow-wave features and a dilated temporal-context block (±15 epochs), trained for binary N3 detection from one central EEG derivation (C4-M1/C3-M2, 100 Hz). Training uses ISRUC-Sleep subgroup I (100 participants) and HMC (151 PSGs) with participant-grouped 5-fold cross-validation and an inner validation split for early stopping, threshold and temperature scaling. External evaluation uses ISRUC-II (8 participants, two sessions), ISRUC-III (10), Dreem DOD-H (25 healthy, 5 scorers), DOD-O (55 OSA, 5 scorers) and CAP (105 usable recordings, R&amp;K S3/S4). On top of detection the authors compute four rule-derived factor scores (delta intensity, slow-wave morphology, spectral dominance, N3 continuity) scaled to training-fold percentiles, an additive Overall N3 EEG Rating, a Low/Moderate/High within-N3 grade, a cross-fitted reliability score and an overnight N3 profile. Nine research questions with pre-specified criteria were evaluated mechanically. Pooled out-of-fold F1 is 0.849 (95% CI 0.838-0.861) and PR-AUC 0.933; external F1 ranges from 0.580 (DOD-O) to 0.869 (ISRUC-III). Factor validity (RQ2), rating stability (RQ3), explanations (RQ5), reliability (RQ6) and overnight profiles (RQ7) met their criteria; detection (RQ1) was partially supported, the within-N3 grade (RQ2b) was not supported, and the ablation (RQ4) found that only temporal context improves detection.</w:t>
      </w:r>
    </w:p>
    <w:p>
      <w:pPr>
        <w:pStyle w:val="Heading1"/>
        <w:spacing w:after="120" w:before="300"/>
      </w:pPr>
      <w:r>
        <w:t xml:space="preserve">2. Overall assessment</w:t>
      </w:r>
    </w:p>
    <w:p>
      <w:pPr>
        <w:pStyle w:val="Heading2"/>
        <w:spacing w:after="100" w:before="200"/>
      </w:pPr>
      <w:r>
        <w:t xml:space="preserve">Strengths</w:t>
      </w:r>
    </w:p>
    <w:p>
      <w:pPr>
        <w:pStyle w:val="ListParagraph"/>
        <w:numPr>
          <w:ilvl w:val="0"/>
          <w:numId w:val="2"/>
        </w:numPr>
        <w:spacing w:after="60"/>
      </w:pPr>
      <w:r>
        <w:t xml:space="preserve">Unusually rigorous evaluation protocol for this field: participant-level folds frozen at first use, inner-validation model selection, pre-specified success criteria evaluated mechanically, and failed criteria reported as failed.</w:t>
      </w:r>
    </w:p>
    <w:p>
      <w:pPr>
        <w:pStyle w:val="ListParagraph"/>
        <w:numPr>
          <w:ilvl w:val="0"/>
          <w:numId w:val="2"/>
        </w:numPr>
        <w:spacing w:after="60"/>
      </w:pPr>
      <w:r>
        <w:t xml:space="preserve">Five external cohorts from different sites, devices and populations, plus leave-one-cohort-out models; most single-channel staging papers report one or two datasets.</w:t>
      </w:r>
    </w:p>
    <w:p>
      <w:pPr>
        <w:pStyle w:val="ListParagraph"/>
        <w:numPr>
          <w:ilvl w:val="0"/>
          <w:numId w:val="2"/>
        </w:numPr>
        <w:spacing w:after="60"/>
      </w:pPr>
      <w:r>
        <w:t xml:space="preserve">Same-protocol re-implementation of four published architectures (DeepSleepNet, TinySleepNet, AttnSleep, L-SeqSleepNet) with paired participant-level tests and Holm correction.</w:t>
      </w:r>
    </w:p>
    <w:p>
      <w:pPr>
        <w:pStyle w:val="ListParagraph"/>
        <w:numPr>
          <w:ilvl w:val="0"/>
          <w:numId w:val="2"/>
        </w:numPr>
        <w:spacing w:after="60"/>
      </w:pPr>
      <w:r>
        <w:t xml:space="preserve">Graded multi-expert references (2-5 scorers) are used both as a human benchmark and as a validation target, which few papers exploit.</w:t>
      </w:r>
    </w:p>
    <w:p>
      <w:pPr>
        <w:pStyle w:val="ListParagraph"/>
        <w:numPr>
          <w:ilvl w:val="0"/>
          <w:numId w:val="2"/>
        </w:numPr>
        <w:spacing w:after="60"/>
      </w:pPr>
      <w:r>
        <w:t xml:space="preserve">The v1 audit (wrong EOG channel for 83/100 subjects, test-fold model selection, circular quality target) was found and corrected openly; the code is public and reproducible end to end.</w:t>
      </w:r>
    </w:p>
    <w:p>
      <w:pPr>
        <w:pStyle w:val="Heading2"/>
        <w:spacing w:after="100" w:before="200"/>
      </w:pPr>
      <w:r>
        <w:t xml:space="preserve">High-level concerns</w:t>
      </w:r>
    </w:p>
    <w:p>
      <w:pPr>
        <w:pStyle w:val="ListParagraph"/>
        <w:numPr>
          <w:ilvl w:val="0"/>
          <w:numId w:val="2"/>
        </w:numPr>
        <w:spacing w:after="60"/>
      </w:pPr>
      <w:r>
        <w:t xml:space="preserve">The validation of the factor scores is close to circular: the scores are built from the same delta-amplitude criteria that experts use to score N3, so the headline validity results are expected by construction (M1).</w:t>
      </w:r>
    </w:p>
    <w:p>
      <w:pPr>
        <w:pStyle w:val="ListParagraph"/>
        <w:numPr>
          <w:ilvl w:val="0"/>
          <w:numId w:val="2"/>
        </w:numPr>
        <w:spacing w:after="60"/>
      </w:pPr>
      <w:r>
        <w:t xml:space="preserve">The 'four-factor decomposition' is statistically one dominant dimension; its added value over a single slow-wave-activity number is untested (M2).</w:t>
      </w:r>
    </w:p>
    <w:p>
      <w:pPr>
        <w:pStyle w:val="ListParagraph"/>
        <w:numPr>
          <w:ilvl w:val="0"/>
          <w:numId w:val="2"/>
        </w:numPr>
        <w:spacing w:after="60"/>
      </w:pPr>
      <w:r>
        <w:t xml:space="preserve">External generalisation fails where it matters most (DOD-O F1 0.58, DOD-H below the expert range), and the human benchmark for ISRUC is biased toward the training scorer (M3).</w:t>
      </w:r>
    </w:p>
    <w:p>
      <w:pPr>
        <w:pStyle w:val="ListParagraph"/>
        <w:numPr>
          <w:ilvl w:val="0"/>
          <w:numId w:val="2"/>
        </w:numPr>
        <w:spacing w:after="60"/>
      </w:pPr>
      <w:r>
        <w:t xml:space="preserve">The architecture claims are not supported by the ablation: features, class weighting and attention have no measurable effect (M4). The comparison with published models shows small differences (M5).</w:t>
      </w:r>
    </w:p>
    <w:p>
      <w:pPr>
        <w:pStyle w:val="ListParagraph"/>
        <w:numPr>
          <w:ilvl w:val="0"/>
          <w:numId w:val="2"/>
        </w:numPr>
        <w:spacing w:after="60"/>
      </w:pPr>
      <w:r>
        <w:t xml:space="preserve">The within-N3 depth space is more crowded than the novelty notes assume (ordinal sleep depth, SDI, ORP), and the one component aimed at it (RQ2b) failed (M6).</w:t>
      </w:r>
    </w:p>
    <w:p>
      <w:pPr>
        <w:spacing w:after="120"/>
      </w:pPr>
      <w:r>
        <w:rPr>
          <w:b/>
          <w:bCs/>
        </w:rPr>
        <w:t xml:space="preserve">Headline recommendation: </w:t>
      </w:r>
      <w:r>
        <w:t xml:space="preserve">Major revision needed before submission. No fatal flaw was found; all major issues can be addressed with analyses on data already in hand plus a re-framed manuscript. Submitted in the current framing, a harsh J-BHI reviewer would very likely recommend rejection on M1-M4.</w:t>
      </w:r>
    </w:p>
    <w:p>
      <w:pPr>
        <w:pStyle w:val="Heading1"/>
        <w:spacing w:after="120" w:before="300"/>
      </w:pPr>
      <w:r>
        <w:t xml:space="preserve">3. Major comments</w:t>
      </w:r>
    </w:p>
    <w:p>
      <w:pPr>
        <w:spacing w:after="80" w:before="200"/>
      </w:pPr>
      <w:r>
        <w:rPr>
          <w:b/>
          <w:bCs/>
        </w:rPr>
        <w:t xml:space="preserve">M1. The validation of the factor scores is largely circular and needs a non-trivial reference</w:t>
      </w:r>
    </w:p>
    <w:p>
      <w:pPr>
        <w:spacing w:after="120"/>
      </w:pPr>
      <w:r>
        <w:rPr>
          <w:b/>
          <w:bCs/>
        </w:rPr>
        <w:t xml:space="preserve">Location: </w:t>
      </w:r>
      <w:r>
        <w:t xml:space="preserve">Methods: factor definitions (sqn2/scores.py FACTOR_DEFS); Results: RQ2 (rq2_factor_validity.csv), RQ2b.</w:t>
      </w:r>
    </w:p>
    <w:p>
      <w:pPr>
        <w:spacing w:after="120"/>
      </w:pPr>
      <w:r>
        <w:t xml:space="preserve">Delta intensity, slow-wave morphology and spectral dominance are computed from delta power, the fraction of the epoch covered by &gt;= 75 µV, 0.5-2 Hz waves, and delta ratios. These are the visual criteria experts apply when they score N3. Three of the four RQ2 tests therefore cannot fail for any reasonable delta measure: (i) expert N3 &gt; expert N2 is the definition of the stage; (ii) the rating rising with the fraction of experts who voted N3 (median participant rho 0.81, p = 1.5e-34) mostly reflects how far the epoch exceeds the amplitude rule experts use; (iii) the early &gt; late decline of slow-wave activity is textbook homeostasis and holds for raw delta power. The paper calls these 'references independent of the score's construction'; a reviewer will not accept that wording.</w:t>
      </w:r>
    </w:p>
    <w:p>
      <w:pPr>
        <w:spacing w:after="120"/>
      </w:pPr>
      <w:r>
        <w:t xml:space="preserve">The DOD-H (healthy) vs DOD-O (OSA) cohorts, the age and sex fields of ISRUC, and the CAP diagnosis groups are available and give the external anchors that are currently missing.</w:t>
      </w:r>
    </w:p>
    <w:p>
      <w:pPr>
        <w:spacing w:after="120"/>
      </w:pPr>
      <w:r>
        <w:rPr>
          <w:b/>
          <w:bCs/>
        </w:rPr>
        <w:t xml:space="preserve">Required action: </w:t>
      </w:r>
      <w:r>
        <w:t xml:space="preserve">(a) Add a pre-declared baseline: a single log slow-wave-activity value (0.5-4 Hz power) per epoch. Report every RQ2 test for this baseline and the incremental validity of the Overall N3 EEG Rating over it (e.g. partial correlation with expert-vote fraction controlling for log SWA). (b) Add at least one construct anchor that is not a scoring criterion: OSA vs healthy (DOD-O vs DOD-H, adjusted for age), the age association (expected negative), and night-to-night stability vs N3 minutes. (c) Replace 'independent references' with 'references not used to fit the scores' throughout.</w:t>
      </w:r>
    </w:p>
    <w:p>
      <w:pPr>
        <w:spacing w:after="80" w:before="200"/>
      </w:pPr>
      <w:r>
        <w:rPr>
          <w:b/>
          <w:bCs/>
        </w:rPr>
        <w:t xml:space="preserve">M2. The four-factor decomposition is effectively one dimension</w:t>
      </w:r>
    </w:p>
    <w:p>
      <w:pPr>
        <w:spacing w:after="120"/>
      </w:pPr>
      <w:r>
        <w:rPr>
          <w:b/>
          <w:bCs/>
        </w:rPr>
        <w:t xml:space="preserve">Location: </w:t>
      </w:r>
      <w:r>
        <w:t xml:space="preserve">Results: RQ3 (rq3_factor_redundancy_spearman.csv, rq3_overall_rating_stability.json).</w:t>
      </w:r>
    </w:p>
    <w:p>
      <w:pPr>
        <w:spacing w:after="120"/>
      </w:pPr>
      <w:r>
        <w:t xml:space="preserve">Delta intensity and slow-wave morphology correlate at rho = 0.93. Dropping any one factor leaves the rating at rho &gt;= 0.977 with the full rating; prior, equal and PCA weights give rho 0.989-0.998. The rating's robustness to weights (the RQ3 'stability' result) is a direct consequence of this redundancy, not evidence that the weighting is well founded. Test-retest uses only 8 participants; spectral dominance reaches ICC(2,1) = 0.34, below the threshold usually called acceptable, and no confidence intervals are given.</w:t>
      </w:r>
    </w:p>
    <w:p>
      <w:pPr>
        <w:spacing w:after="120"/>
      </w:pPr>
      <w:r>
        <w:rPr>
          <w:b/>
          <w:bCs/>
        </w:rPr>
        <w:t xml:space="preserve">Required action: </w:t>
      </w:r>
      <w:r>
        <w:t xml:space="preserve">Report the factor structure (eigenvalues or explained variance of the four factors). Either justify the separate factors with evidence that they carry different information (e.g. different associations with age or OSA), or present one slow-wave dimension plus continuity. Give 95% CIs for every ICC and state plainly that n = 8 cannot establish reliability.</w:t>
      </w:r>
    </w:p>
    <w:p>
      <w:pPr>
        <w:spacing w:after="80" w:before="200"/>
      </w:pPr>
      <w:r>
        <w:rPr>
          <w:b/>
          <w:bCs/>
        </w:rPr>
        <w:t xml:space="preserve">M3. External generalisation fails on the Dreem cohorts, and the ISRUC human benchmark is biased</w:t>
      </w:r>
    </w:p>
    <w:p>
      <w:pPr>
        <w:spacing w:after="120"/>
      </w:pPr>
      <w:r>
        <w:rPr>
          <w:b/>
          <w:bCs/>
        </w:rPr>
        <w:t xml:space="preserve">Location: </w:t>
      </w:r>
      <w:r>
        <w:t xml:space="preserve">Results: RQ1 (rq1_detection_metrics.csv, rq1_interrater_benchmark.csv); code: sqn2/data.py (ISRUC reference = scorer 1).</w:t>
      </w:r>
    </w:p>
    <w:p>
      <w:pPr>
        <w:spacing w:after="120"/>
      </w:pPr>
      <w:r>
        <w:t xml:space="preserve">DOD-O F1 is 0.580 (precision 0.41, recall 0.996) and DOD-H 0.704 (precision 0.54); the model predicts roughly two to three times the expert N3 time on these cohorts (median 122-130 vs 48-69 min). On DOD-H the model is below the expert-to-expert range. Leave-one-cohort-out shows the same fragility within the training cohorts (train HMC -&gt; ISRUC-III recall 0.44). The pre-specified RQ1 criterion was missed and must be reported as missed.</w:t>
      </w:r>
    </w:p>
    <w:p>
      <w:pPr>
        <w:spacing w:after="120"/>
      </w:pPr>
      <w:r>
        <w:t xml:space="preserve">Code audit: ISRUC models are trained on scorer 1 ('reference': 'scorer 1'). The 'model within expert range' result for ISRUC-I/II/III compares the model with the scorer whose style it learned. The ISRUC benchmark is therefore optimistic; DOD, where no scorer was used for training, is the unbiased test, and there the model is below or at the bottom of the expert range.</w:t>
      </w:r>
    </w:p>
    <w:p>
      <w:pPr>
        <w:spacing w:after="120"/>
      </w:pPr>
      <w:r>
        <w:rPr>
          <w:b/>
          <w:bCs/>
        </w:rPr>
        <w:t xml:space="preserve">Required action: </w:t>
      </w:r>
      <w:r>
        <w:t xml:space="preserve">Report external performance as a primary result, not a footnote. Report model-vs-scorer-2 separately for ISRUC. Run and report the v2.1 analyses (threshold sensitivity, reference-standard sensitivity, false-positive structure) to show whether the DOD over-calling reflects expert disagreement on borderline N2/N3 epochs or a model failure. Do not use 'generalises' without the qualifier.</w:t>
      </w:r>
    </w:p>
    <w:p>
      <w:pPr>
        <w:spacing w:after="80" w:before="200"/>
      </w:pPr>
      <w:r>
        <w:rPr>
          <w:b/>
          <w:bCs/>
        </w:rPr>
        <w:t xml:space="preserve">M4. Architecture claims are not supported by the ablation</w:t>
      </w:r>
    </w:p>
    <w:p>
      <w:pPr>
        <w:spacing w:after="120"/>
      </w:pPr>
      <w:r>
        <w:rPr>
          <w:b/>
          <w:bCs/>
        </w:rPr>
        <w:t xml:space="preserve">Location: </w:t>
      </w:r>
      <w:r>
        <w:t xml:space="preserve">Results: RQ4 (rq4_component_effects.csv); RQ5 (attention-slow-wave alignment).</w:t>
      </w:r>
    </w:p>
    <w:p>
      <w:pPr>
        <w:spacing w:after="120"/>
      </w:pPr>
      <w:r>
        <w:t xml:space="preserve">Handcrafted feature fusion (dF1 +0.003, p_holm = 1), positive-class weighting (+0.000, p_holm = 1) and attention (-0.003, p_holm = 0.34) have no measurable effect; only adjacent-epoch context helps (+0.023). Attention weights do not align with slow waves (median rho = -0.13). All ablations used a single training seed, and features, weighting and attention were tested only in a model without context, never removed from the reported model. A title or abstract presenting a 'dual-path physiologically informed CNN-attention' network would be contradicted by the authors' own data.</w:t>
      </w:r>
    </w:p>
    <w:p>
      <w:pPr>
        <w:spacing w:after="120"/>
      </w:pPr>
      <w:r>
        <w:rPr>
          <w:b/>
          <w:bCs/>
        </w:rPr>
        <w:t xml:space="preserve">Required action: </w:t>
      </w:r>
      <w:r>
        <w:t xml:space="preserve">Run the v2.1 leave-one-component-out ablations with seed repeats and report effects against the seed-noise floor. Describe the model by what works (a compact temporal-context CNN), report attention and feature fusion as components with no measurable effect, and remove any claim that they improve detection.</w:t>
      </w:r>
    </w:p>
    <w:p>
      <w:pPr>
        <w:spacing w:after="80" w:before="200"/>
      </w:pPr>
      <w:r>
        <w:rPr>
          <w:b/>
          <w:bCs/>
        </w:rPr>
        <w:t xml:space="preserve">M5. The comparison with published models needs fairness evidence and modest wording</w:t>
      </w:r>
    </w:p>
    <w:p>
      <w:pPr>
        <w:spacing w:after="120"/>
      </w:pPr>
      <w:r>
        <w:rPr>
          <w:b/>
          <w:bCs/>
        </w:rPr>
        <w:t xml:space="preserve">Location: </w:t>
      </w:r>
      <w:r>
        <w:t xml:space="preserve">Results: RQ1b (rq1_sota_comparison.csv, rq1_sota_paired_tests.csv); code: sqn2/baselines.py BASELINE_NOTES.</w:t>
      </w:r>
    </w:p>
    <w:p>
      <w:pPr>
        <w:spacing w:after="120"/>
      </w:pPr>
      <w:r>
        <w:t xml:space="preserve">Gains over baselines are small: +0.005 F1 vs DeepSleepNet (p_holm = 0.15, not significant), +0.011 vs TinySleepNet, +0.021 vs L-SeqSleepNet, +0.031 vs AttnSleep. The baselines were adapted (end-to-end instead of two-step training for DeepSleepNet; 64-epoch chunks; binary target; the proposed model's learning rate and schedule). Without a statement of equal tuning budget a reviewer will suspect that the baselines are under-tuned. The proposed model also receives 19 handcrafted features while the baselines receive raw EEG only.</w:t>
      </w:r>
    </w:p>
    <w:p>
      <w:pPr>
        <w:spacing w:after="120"/>
      </w:pPr>
      <w:r>
        <w:rPr>
          <w:b/>
          <w:bCs/>
        </w:rPr>
        <w:t xml:space="preserve">Required action: </w:t>
      </w:r>
      <w:r>
        <w:t xml:space="preserve">State the tuning budget for every model; add the full_nofeat variant (v2.1) to the comparison so that raw-EEG models are compared on equal inputs; describe the result as 'comparable to or slightly better than four published architectures with 2-260 times fewer parameters' (96k vs 208k-25.4M), which is the defensible and still attractive claim.</w:t>
      </w:r>
    </w:p>
    <w:p>
      <w:pPr>
        <w:spacing w:after="80" w:before="200"/>
      </w:pPr>
      <w:r>
        <w:rPr>
          <w:b/>
          <w:bCs/>
        </w:rPr>
        <w:t xml:space="preserve">M6. Novelty positioning must address recent continuous-depth work</w:t>
      </w:r>
    </w:p>
    <w:p>
      <w:pPr>
        <w:spacing w:after="120"/>
      </w:pPr>
      <w:r>
        <w:rPr>
          <w:b/>
          <w:bCs/>
        </w:rPr>
        <w:t xml:space="preserve">Location: </w:t>
      </w:r>
      <w:r>
        <w:t xml:space="preserve">Introduction / related work; docs/03_literature_and_novelty.md.</w:t>
      </w:r>
    </w:p>
    <w:p>
      <w:pPr>
        <w:spacing w:after="120"/>
      </w:pPr>
      <w:r>
        <w:t xml:space="preserve">The novelty notes cite SDI and ORP but not </w:t>
      </w:r>
      <w:hyperlink w:history="1" r:id="rIdf7q6x9v9s-g3gz2_akrch">
        <w:r>
          <w:rPr>
            <w:rStyle w:val="Hyperlink"/>
          </w:rPr>
          <w:t xml:space="preserve">Ordinal Sleep Depth (Meulenbrugge et al., J Sleep Res 2025)</w:t>
        </w:r>
      </w:hyperlink>
      <w:r>
        <w:t xml:space="preserve">, a CNN on 3-s EEG segments from 21,787 PSGs that measures depth within non-REM stages and is validated against arousal probability, age, sex, sleep-disordered breathing and cognitive impairment, nor </w:t>
      </w:r>
      <w:hyperlink w:history="1" r:id="rId0o1bm5tvm9uo8fnii-3pv">
        <w:r>
          <w:rPr>
            <w:rStyle w:val="Hyperlink"/>
          </w:rPr>
          <w:t xml:space="preserve">Metzner et al. 2023</w:t>
        </w:r>
      </w:hyperlink>
      <w:r>
        <w:t xml:space="preserve">, who extract a continuous depth variable from single-channel spectra without machine learning. Together with </w:t>
      </w:r>
      <w:hyperlink w:history="1" r:id="rIdcf-2d3fyqq0er3ccglkwo">
        <w:r>
          <w:rPr>
            <w:rStyle w:val="Hyperlink"/>
          </w:rPr>
          <w:t xml:space="preserve">SDI (Zhou et al., npj Digit Med)</w:t>
        </w:r>
      </w:hyperlink>
      <w:r>
        <w:t xml:space="preserve">, these weaken any claim of a new within-N3 intensity measure. The one component aimed squarely at within-N3 grading (RQ2b) failed its criterion (AUROC 0.743 vs R&amp;K S3/S4).</w:t>
      </w:r>
    </w:p>
    <w:p>
      <w:pPr>
        <w:spacing w:after="120"/>
      </w:pPr>
      <w:r>
        <w:rPr>
          <w:b/>
          <w:bCs/>
        </w:rPr>
        <w:t xml:space="preserve">Required action: </w:t>
      </w:r>
      <w:r>
        <w:t xml:space="preserve">Cite and differentiate from OSD, SDI, ORP and Metzner et al. Position the contribution as an N3-specific, single-channel, transparent profile with an explicit evaluation framework, and present RQ2b as a negative finding: a criteria-anchored grade does not reproduce expert S3/S4 reliably. Ideally compare the rating head-to-head with a simple spectral depth index on the same epochs.</w:t>
      </w:r>
    </w:p>
    <w:p>
      <w:pPr>
        <w:spacing w:after="80" w:before="200"/>
      </w:pPr>
      <w:r>
        <w:rPr>
          <w:b/>
          <w:bCs/>
        </w:rPr>
        <w:t xml:space="preserve">M7. Reliability and explainability evidence is weaker outside the training cohorts and must be reported per cohort</w:t>
      </w:r>
    </w:p>
    <w:p>
      <w:pPr>
        <w:spacing w:after="120"/>
      </w:pPr>
      <w:r>
        <w:rPr>
          <w:b/>
          <w:bCs/>
        </w:rPr>
        <w:t xml:space="preserve">Location: </w:t>
      </w:r>
      <w:r>
        <w:t xml:space="preserve">Results: RQ6 (rq6_reliability_components.csv), RQ5 (rq5_summary.json); code: sqn2/xai.py.</w:t>
      </w:r>
    </w:p>
    <w:p>
      <w:pPr>
        <w:spacing w:after="120"/>
      </w:pPr>
      <w:r>
        <w:t xml:space="preserve">The reliability score detects disagreement among experts with AUROC 0.88 out of fold but only 0.63 in the external cohorts (DOD-O 0.56); its error-detection AUROC falls from 0.88 to 0.69 on DOD-O. The XAI analysis explained only correctly detected N3 epochs of the training cohorts (600 epochs); errors and external cohorts were never explained, which is the selection most likely to confirm the hypothesis that the model 'uses delta'.</w:t>
      </w:r>
    </w:p>
    <w:p>
      <w:pPr>
        <w:spacing w:after="120"/>
      </w:pPr>
      <w:r>
        <w:rPr>
          <w:b/>
          <w:bCs/>
        </w:rPr>
        <w:t xml:space="preserve">Required action: </w:t>
      </w:r>
      <w:r>
        <w:t xml:space="preserve">Report RQ6 and RQ5 per cohort. Run the v2.1 extended XAI (false positives, false negatives and N2 epochs, external cohorts, robustness to the IG baseline) and report whether the DOD false positives are delta-driven.</w:t>
      </w:r>
    </w:p>
    <w:p>
      <w:pPr>
        <w:pStyle w:val="Heading1"/>
        <w:spacing w:after="120" w:before="300"/>
      </w:pPr>
      <w:r>
        <w:t xml:space="preserve">4. Minor comments</w:t>
      </w:r>
    </w:p>
    <w:p>
      <w:pPr>
        <w:spacing w:after="120"/>
      </w:pPr>
      <w:r>
        <w:rPr>
          <w:b/>
          <w:bCs/>
        </w:rPr>
        <w:t xml:space="preserve">m1. </w:t>
      </w:r>
      <w:r>
        <w:t xml:space="preserve">Three CAP recordings (n13-n15) are excluded because the float16 cache overflowed. This is a preprocessing defect; store these signals in float32 or rescale before caching instead of excluding them (evaluation_exclusions.csv).</w:t>
      </w:r>
    </w:p>
    <w:p>
      <w:pPr>
        <w:spacing w:after="120"/>
      </w:pPr>
      <w:r>
        <w:rPr>
          <w:b/>
          <w:bCs/>
        </w:rPr>
        <w:t xml:space="preserve">m2. </w:t>
      </w:r>
      <w:r>
        <w:t xml:space="preserve">RQ2b requested a non-existent column (slow_wave_morphology instead of sw_morphology), so that AUROC was never computed. It is fixed in v2.1; re-run before reporting RQ2b.</w:t>
      </w:r>
    </w:p>
    <w:p>
      <w:pPr>
        <w:spacing w:after="120"/>
      </w:pPr>
      <w:r>
        <w:rPr>
          <w:b/>
          <w:bCs/>
        </w:rPr>
        <w:t xml:space="preserve">m3. </w:t>
      </w:r>
      <w:r>
        <w:t xml:space="preserve">Report all ICCs and AUROCs with 95% CIs. Several headline values rest on few participants: test-retest n = 8; ISRUC-III n = 10.</w:t>
      </w:r>
    </w:p>
    <w:p>
      <w:pPr>
        <w:spacing w:after="120"/>
      </w:pPr>
      <w:r>
        <w:rPr>
          <w:b/>
          <w:bCs/>
        </w:rPr>
        <w:t xml:space="preserve">m4. </w:t>
      </w:r>
      <w:r>
        <w:t xml:space="preserve">The decision threshold maximises F1 on inner validation; report how F1 changes with the threshold (v2.1 sensitivity_rq1.csv), especially for DOD.</w:t>
      </w:r>
    </w:p>
    <w:p>
      <w:pPr>
        <w:spacing w:after="120"/>
      </w:pPr>
      <w:r>
        <w:rPr>
          <w:b/>
          <w:bCs/>
        </w:rPr>
        <w:t xml:space="preserve">m5. </w:t>
      </w:r>
      <w:r>
        <w:t xml:space="preserve">Define the DOD consensus rule (majority, tie handling) and the scorer-to-signal lag alignment in the Methods, including how many epochs or recordings fail the 0.6 agreement rule.</w:t>
      </w:r>
    </w:p>
    <w:p>
      <w:pPr>
        <w:spacing w:after="120"/>
      </w:pPr>
      <w:r>
        <w:rPr>
          <w:b/>
          <w:bCs/>
        </w:rPr>
        <w:t xml:space="preserve">m6. </w:t>
      </w:r>
      <w:r>
        <w:t xml:space="preserve">Give a participant table (age, sex, diagnosis, AHI where available) per cohort. Missing demographics should be stated, not omitted.</w:t>
      </w:r>
    </w:p>
    <w:p>
      <w:pPr>
        <w:spacing w:after="120"/>
      </w:pPr>
      <w:r>
        <w:rPr>
          <w:b/>
          <w:bCs/>
        </w:rPr>
        <w:t xml:space="preserve">m7. </w:t>
      </w:r>
      <w:r>
        <w:t xml:space="preserve">Put the pre-specification on record: cite the commit (26 Oct 2026) in which the criteria were fixed, and keep RQ1b/RQ2b labelled as added after the quick pipeline check.</w:t>
      </w:r>
    </w:p>
    <w:p>
      <w:pPr>
        <w:spacing w:after="120"/>
      </w:pPr>
      <w:r>
        <w:rPr>
          <w:b/>
          <w:bCs/>
        </w:rPr>
        <w:t xml:space="preserve">m8. </w:t>
      </w:r>
      <w:r>
        <w:t xml:space="preserve">Report per-participant metric distributions next to pooled F1; pooled metrics hide participants with very little N3.</w:t>
      </w:r>
    </w:p>
    <w:p>
      <w:pPr>
        <w:spacing w:after="120"/>
      </w:pPr>
      <w:r>
        <w:rPr>
          <w:b/>
          <w:bCs/>
        </w:rPr>
        <w:t xml:space="preserve">m9. </w:t>
      </w:r>
      <w:r>
        <w:t xml:space="preserve">Seven research questions plus two sub-questions will not fit 8 pages, and J-BHI's 14-page limit includes supplementary material. Consider moving RQ6/RQ7 to a second paper or the supplement.</w:t>
      </w:r>
    </w:p>
    <w:p>
      <w:pPr>
        <w:spacing w:after="120"/>
      </w:pPr>
      <w:r>
        <w:rPr>
          <w:b/>
          <w:bCs/>
        </w:rPr>
        <w:t xml:space="preserve">m10. </w:t>
      </w:r>
      <w:r>
        <w:t xml:space="preserve">Use one term per construct ('N3 EEG Rating', not 'quality'), as the supervisor requested; the word 'quality' must not survive anywhere, including figure labels.</w:t>
      </w:r>
    </w:p>
    <w:p>
      <w:pPr>
        <w:spacing w:after="120"/>
      </w:pPr>
      <w:r>
        <w:rPr>
          <w:b/>
          <w:bCs/>
        </w:rPr>
        <w:t xml:space="preserve">m11. </w:t>
      </w:r>
      <w:r>
        <w:t xml:space="preserve">Report compute: GPU type, training minutes per fold for every model (already in rq1_sota_comparison.csv) and inference cost; this supports the parameter-efficiency claim.</w:t>
      </w:r>
    </w:p>
    <w:p>
      <w:pPr>
        <w:spacing w:after="120"/>
      </w:pPr>
      <w:r>
        <w:rPr>
          <w:b/>
          <w:bCs/>
        </w:rPr>
        <w:t xml:space="preserve">m12. </w:t>
      </w:r>
      <w:r>
        <w:t xml:space="preserve">Ensure that no v1 number (F1 0.7917, 83,523 epochs, 'C4-A1' for all subjects) remains in any section, figure or table of the v2 manuscript.</w:t>
      </w:r>
    </w:p>
    <w:p>
      <w:pPr>
        <w:pStyle w:val="Heading1"/>
        <w:spacing w:after="120" w:before="300"/>
      </w:pPr>
      <w:r>
        <w:t xml:space="preserve">5. Reporting-standard compliance (TRIPOD+AI, key items)</w:t>
      </w:r>
    </w:p>
    <w:p>
      <w:pPr>
        <w:spacing w:after="120"/>
      </w:pPr>
      <w:r>
        <w:t xml:space="preserve">This is a prediction-model study in health using machine learning; TRIPOD+AI is the applicable EQUATOR guideline. The skill's checklist file was not available in this environment, so the table lists the items most often raised by reviewers, assessed from the code and saved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9"/>
        <w:gridCol w:w="1232"/>
        <w:gridCol w:w="5419"/>
      </w:tblGrid>
      <w:tr>
        <w:trPr>
          <w:tblHeader/>
        </w:trPr>
        <w:tc>
          <w:tcPr>
            <w:tcW w:type="dxa" w:w="2709"/>
            <w:shd w:fill="DCE6F2" w:color="auto" w:val="clear"/>
            <w:tcMar>
              <w:top w:type="dxa" w:w="60"/>
              <w:left w:type="dxa" w:w="90"/>
              <w:bottom w:type="dxa" w:w="60"/>
              <w:right w:type="dxa" w:w="90"/>
            </w:tcMar>
          </w:tcPr>
          <w:p>
            <w:r>
              <w:rPr>
                <w:b/>
                <w:bCs/>
                <w:sz w:val="18"/>
                <w:szCs w:val="18"/>
              </w:rPr>
              <w:t xml:space="preserve">Item</w:t>
            </w:r>
          </w:p>
        </w:tc>
        <w:tc>
          <w:tcPr>
            <w:tcW w:type="dxa" w:w="1232"/>
            <w:shd w:fill="DCE6F2" w:color="auto" w:val="clear"/>
            <w:tcMar>
              <w:top w:type="dxa" w:w="60"/>
              <w:left w:type="dxa" w:w="90"/>
              <w:bottom w:type="dxa" w:w="60"/>
              <w:right w:type="dxa" w:w="90"/>
            </w:tcMar>
          </w:tcPr>
          <w:p>
            <w:r>
              <w:rPr>
                <w:b/>
                <w:bCs/>
                <w:sz w:val="18"/>
                <w:szCs w:val="18"/>
              </w:rPr>
              <w:t xml:space="preserve">Status</w:t>
            </w:r>
          </w:p>
        </w:tc>
        <w:tc>
          <w:tcPr>
            <w:tcW w:type="dxa" w:w="5419"/>
            <w:shd w:fill="DCE6F2" w:color="auto" w:val="clear"/>
            <w:tcMar>
              <w:top w:type="dxa" w:w="60"/>
              <w:left w:type="dxa" w:w="90"/>
              <w:bottom w:type="dxa" w:w="60"/>
              <w:right w:type="dxa" w:w="90"/>
            </w:tcMar>
          </w:tcPr>
          <w:p>
            <w:r>
              <w:rPr>
                <w:b/>
                <w:bCs/>
                <w:sz w:val="18"/>
                <w:szCs w:val="18"/>
              </w:rPr>
              <w:t xml:space="preserve">Comment</w:t>
            </w:r>
          </w:p>
        </w:tc>
      </w:tr>
      <w:tr>
        <w:tc>
          <w:tcPr>
            <w:tcW w:type="dxa" w:w="2709"/>
            <w:tcMar>
              <w:top w:type="dxa" w:w="60"/>
              <w:left w:type="dxa" w:w="90"/>
              <w:bottom w:type="dxa" w:w="60"/>
              <w:right w:type="dxa" w:w="90"/>
            </w:tcMar>
          </w:tcPr>
          <w:p>
            <w:r>
              <w:rPr>
                <w:b w:val="false"/>
                <w:bCs w:val="false"/>
                <w:sz w:val="18"/>
                <w:szCs w:val="18"/>
              </w:rPr>
              <w:t xml:space="preserve">Source of data, eligibility, dates</w:t>
            </w:r>
          </w:p>
        </w:tc>
        <w:tc>
          <w:tcPr>
            <w:tcW w:type="dxa" w:w="1232"/>
            <w:tcMar>
              <w:top w:type="dxa" w:w="60"/>
              <w:left w:type="dxa" w:w="90"/>
              <w:bottom w:type="dxa" w:w="60"/>
              <w:right w:type="dxa" w:w="90"/>
            </w:tcMar>
          </w:tcPr>
          <w:p>
            <w:r>
              <w:rPr>
                <w:b w:val="false"/>
                <w:bCs w:val="false"/>
                <w:sz w:val="18"/>
                <w:szCs w:val="18"/>
              </w:rPr>
              <w:t xml:space="preserve">Partial</w:t>
            </w:r>
          </w:p>
        </w:tc>
        <w:tc>
          <w:tcPr>
            <w:tcW w:type="dxa" w:w="5419"/>
            <w:tcMar>
              <w:top w:type="dxa" w:w="60"/>
              <w:left w:type="dxa" w:w="90"/>
              <w:bottom w:type="dxa" w:w="60"/>
              <w:right w:type="dxa" w:w="90"/>
            </w:tcMar>
          </w:tcPr>
          <w:p>
            <w:r>
              <w:rPr>
                <w:b w:val="false"/>
                <w:bCs w:val="false"/>
                <w:sz w:val="18"/>
                <w:szCs w:val="18"/>
              </w:rPr>
              <w:t xml:space="preserve">Cohorts and channels documented; per-cohort demographics and inclusion dates missing.</w:t>
            </w:r>
          </w:p>
        </w:tc>
      </w:tr>
      <w:tr>
        <w:tc>
          <w:tcPr>
            <w:tcW w:type="dxa" w:w="2709"/>
            <w:tcMar>
              <w:top w:type="dxa" w:w="60"/>
              <w:left w:type="dxa" w:w="90"/>
              <w:bottom w:type="dxa" w:w="60"/>
              <w:right w:type="dxa" w:w="90"/>
            </w:tcMar>
          </w:tcPr>
          <w:p>
            <w:r>
              <w:rPr>
                <w:b w:val="false"/>
                <w:bCs w:val="false"/>
                <w:sz w:val="18"/>
                <w:szCs w:val="18"/>
              </w:rPr>
              <w:t xml:space="preserve">Outcome definition and blinding</w:t>
            </w:r>
          </w:p>
        </w:tc>
        <w:tc>
          <w:tcPr>
            <w:tcW w:type="dxa" w:w="1232"/>
            <w:tcMar>
              <w:top w:type="dxa" w:w="60"/>
              <w:left w:type="dxa" w:w="90"/>
              <w:bottom w:type="dxa" w:w="60"/>
              <w:right w:type="dxa" w:w="90"/>
            </w:tcMar>
          </w:tcPr>
          <w:p>
            <w:r>
              <w:rPr>
                <w:b w:val="false"/>
                <w:bCs w:val="false"/>
                <w:sz w:val="18"/>
                <w:szCs w:val="18"/>
              </w:rPr>
              <w:t xml:space="preserve">Partial</w:t>
            </w:r>
          </w:p>
        </w:tc>
        <w:tc>
          <w:tcPr>
            <w:tcW w:type="dxa" w:w="5419"/>
            <w:tcMar>
              <w:top w:type="dxa" w:w="60"/>
              <w:left w:type="dxa" w:w="90"/>
              <w:bottom w:type="dxa" w:w="60"/>
              <w:right w:type="dxa" w:w="90"/>
            </w:tcMar>
          </w:tcPr>
          <w:p>
            <w:r>
              <w:rPr>
                <w:b w:val="false"/>
                <w:bCs w:val="false"/>
                <w:sz w:val="18"/>
                <w:szCs w:val="18"/>
              </w:rPr>
              <w:t xml:space="preserve">AASM N3 by scorer 1 (ISRUC), technician (HMC), 5-scorer consensus (DOD); state blinding/independence of scorers.</w:t>
            </w:r>
          </w:p>
        </w:tc>
      </w:tr>
      <w:tr>
        <w:tc>
          <w:tcPr>
            <w:tcW w:type="dxa" w:w="2709"/>
            <w:tcMar>
              <w:top w:type="dxa" w:w="60"/>
              <w:left w:type="dxa" w:w="90"/>
              <w:bottom w:type="dxa" w:w="60"/>
              <w:right w:type="dxa" w:w="90"/>
            </w:tcMar>
          </w:tcPr>
          <w:p>
            <w:r>
              <w:rPr>
                <w:b w:val="false"/>
                <w:bCs w:val="false"/>
                <w:sz w:val="18"/>
                <w:szCs w:val="18"/>
              </w:rPr>
              <w:t xml:space="preserve">Predictors and preprocessing</w:t>
            </w:r>
          </w:p>
        </w:tc>
        <w:tc>
          <w:tcPr>
            <w:tcW w:type="dxa" w:w="1232"/>
            <w:tcMar>
              <w:top w:type="dxa" w:w="60"/>
              <w:left w:type="dxa" w:w="90"/>
              <w:bottom w:type="dxa" w:w="60"/>
              <w:right w:type="dxa" w:w="90"/>
            </w:tcMar>
          </w:tcPr>
          <w:p>
            <w:r>
              <w:rPr>
                <w:b w:val="false"/>
                <w:bCs w:val="false"/>
                <w:sz w:val="18"/>
                <w:szCs w:val="18"/>
              </w:rPr>
              <w:t xml:space="preserve">Yes</w:t>
            </w:r>
          </w:p>
        </w:tc>
        <w:tc>
          <w:tcPr>
            <w:tcW w:type="dxa" w:w="5419"/>
            <w:tcMar>
              <w:top w:type="dxa" w:w="60"/>
              <w:left w:type="dxa" w:w="90"/>
              <w:bottom w:type="dxa" w:w="60"/>
              <w:right w:type="dxa" w:w="90"/>
            </w:tcMar>
          </w:tcPr>
          <w:p>
            <w:r>
              <w:rPr>
                <w:b w:val="false"/>
                <w:bCs w:val="false"/>
                <w:sz w:val="18"/>
                <w:szCs w:val="18"/>
              </w:rPr>
              <w:t xml:space="preserve">methods_parameters.csv lists filters, sampling rate, features and QC rules.</w:t>
            </w:r>
          </w:p>
        </w:tc>
      </w:tr>
      <w:tr>
        <w:tc>
          <w:tcPr>
            <w:tcW w:type="dxa" w:w="2709"/>
            <w:tcMar>
              <w:top w:type="dxa" w:w="60"/>
              <w:left w:type="dxa" w:w="90"/>
              <w:bottom w:type="dxa" w:w="60"/>
              <w:right w:type="dxa" w:w="90"/>
            </w:tcMar>
          </w:tcPr>
          <w:p>
            <w:r>
              <w:rPr>
                <w:b w:val="false"/>
                <w:bCs w:val="false"/>
                <w:sz w:val="18"/>
                <w:szCs w:val="18"/>
              </w:rPr>
              <w:t xml:space="preserve">Sample size justification</w:t>
            </w:r>
          </w:p>
        </w:tc>
        <w:tc>
          <w:tcPr>
            <w:tcW w:type="dxa" w:w="1232"/>
            <w:tcMar>
              <w:top w:type="dxa" w:w="60"/>
              <w:left w:type="dxa" w:w="90"/>
              <w:bottom w:type="dxa" w:w="60"/>
              <w:right w:type="dxa" w:w="90"/>
            </w:tcMar>
          </w:tcPr>
          <w:p>
            <w:r>
              <w:rPr>
                <w:b w:val="false"/>
                <w:bCs w:val="false"/>
                <w:sz w:val="18"/>
                <w:szCs w:val="18"/>
              </w:rPr>
              <w:t xml:space="preserve">No</w:t>
            </w:r>
          </w:p>
        </w:tc>
        <w:tc>
          <w:tcPr>
            <w:tcW w:type="dxa" w:w="5419"/>
            <w:tcMar>
              <w:top w:type="dxa" w:w="60"/>
              <w:left w:type="dxa" w:w="90"/>
              <w:bottom w:type="dxa" w:w="60"/>
              <w:right w:type="dxa" w:w="90"/>
            </w:tcMar>
          </w:tcPr>
          <w:p>
            <w:r>
              <w:rPr>
                <w:b w:val="false"/>
                <w:bCs w:val="false"/>
                <w:sz w:val="18"/>
                <w:szCs w:val="18"/>
              </w:rPr>
              <w:t xml:space="preserve">No justification for the training set size or the external cohorts; state precision targets for the CIs.</w:t>
            </w:r>
          </w:p>
        </w:tc>
      </w:tr>
      <w:tr>
        <w:tc>
          <w:tcPr>
            <w:tcW w:type="dxa" w:w="2709"/>
            <w:tcMar>
              <w:top w:type="dxa" w:w="60"/>
              <w:left w:type="dxa" w:w="90"/>
              <w:bottom w:type="dxa" w:w="60"/>
              <w:right w:type="dxa" w:w="90"/>
            </w:tcMar>
          </w:tcPr>
          <w:p>
            <w:r>
              <w:rPr>
                <w:b w:val="false"/>
                <w:bCs w:val="false"/>
                <w:sz w:val="18"/>
                <w:szCs w:val="18"/>
              </w:rPr>
              <w:t xml:space="preserve">Missing data and exclusions</w:t>
            </w:r>
          </w:p>
        </w:tc>
        <w:tc>
          <w:tcPr>
            <w:tcW w:type="dxa" w:w="1232"/>
            <w:tcMar>
              <w:top w:type="dxa" w:w="60"/>
              <w:left w:type="dxa" w:w="90"/>
              <w:bottom w:type="dxa" w:w="60"/>
              <w:right w:type="dxa" w:w="90"/>
            </w:tcMar>
          </w:tcPr>
          <w:p>
            <w:r>
              <w:rPr>
                <w:b w:val="false"/>
                <w:bCs w:val="false"/>
                <w:sz w:val="18"/>
                <w:szCs w:val="18"/>
              </w:rPr>
              <w:t xml:space="preserve">Yes</w:t>
            </w:r>
          </w:p>
        </w:tc>
        <w:tc>
          <w:tcPr>
            <w:tcW w:type="dxa" w:w="5419"/>
            <w:tcMar>
              <w:top w:type="dxa" w:w="60"/>
              <w:left w:type="dxa" w:w="90"/>
              <w:bottom w:type="dxa" w:w="60"/>
              <w:right w:type="dxa" w:w="90"/>
            </w:tcMar>
          </w:tcPr>
          <w:p>
            <w:r>
              <w:rPr>
                <w:b w:val="false"/>
                <w:bCs w:val="false"/>
                <w:sz w:val="18"/>
                <w:szCs w:val="18"/>
              </w:rPr>
              <w:t xml:space="preserve">evaluation_exclusions.csv; the float16 exclusion should be fixed (m1).</w:t>
            </w:r>
          </w:p>
        </w:tc>
      </w:tr>
      <w:tr>
        <w:tc>
          <w:tcPr>
            <w:tcW w:type="dxa" w:w="2709"/>
            <w:tcMar>
              <w:top w:type="dxa" w:w="60"/>
              <w:left w:type="dxa" w:w="90"/>
              <w:bottom w:type="dxa" w:w="60"/>
              <w:right w:type="dxa" w:w="90"/>
            </w:tcMar>
          </w:tcPr>
          <w:p>
            <w:r>
              <w:rPr>
                <w:b w:val="false"/>
                <w:bCs w:val="false"/>
                <w:sz w:val="18"/>
                <w:szCs w:val="18"/>
              </w:rPr>
              <w:t xml:space="preserve">Model development and tuning</w:t>
            </w:r>
          </w:p>
        </w:tc>
        <w:tc>
          <w:tcPr>
            <w:tcW w:type="dxa" w:w="1232"/>
            <w:tcMar>
              <w:top w:type="dxa" w:w="60"/>
              <w:left w:type="dxa" w:w="90"/>
              <w:bottom w:type="dxa" w:w="60"/>
              <w:right w:type="dxa" w:w="90"/>
            </w:tcMar>
          </w:tcPr>
          <w:p>
            <w:r>
              <w:rPr>
                <w:b w:val="false"/>
                <w:bCs w:val="false"/>
                <w:sz w:val="18"/>
                <w:szCs w:val="18"/>
              </w:rPr>
              <w:t xml:space="preserve">Partial</w:t>
            </w:r>
          </w:p>
        </w:tc>
        <w:tc>
          <w:tcPr>
            <w:tcW w:type="dxa" w:w="5419"/>
            <w:tcMar>
              <w:top w:type="dxa" w:w="60"/>
              <w:left w:type="dxa" w:w="90"/>
              <w:bottom w:type="dxa" w:w="60"/>
              <w:right w:type="dxa" w:w="90"/>
            </w:tcMar>
          </w:tcPr>
          <w:p>
            <w:r>
              <w:rPr>
                <w:b w:val="false"/>
                <w:bCs w:val="false"/>
                <w:sz w:val="18"/>
                <w:szCs w:val="18"/>
              </w:rPr>
              <w:t xml:space="preserve">Inner validation documented; hyperparameter search and baseline tuning budget not documented (M5).</w:t>
            </w:r>
          </w:p>
        </w:tc>
      </w:tr>
      <w:tr>
        <w:tc>
          <w:tcPr>
            <w:tcW w:type="dxa" w:w="2709"/>
            <w:tcMar>
              <w:top w:type="dxa" w:w="60"/>
              <w:left w:type="dxa" w:w="90"/>
              <w:bottom w:type="dxa" w:w="60"/>
              <w:right w:type="dxa" w:w="90"/>
            </w:tcMar>
          </w:tcPr>
          <w:p>
            <w:r>
              <w:rPr>
                <w:b w:val="false"/>
                <w:bCs w:val="false"/>
                <w:sz w:val="18"/>
                <w:szCs w:val="18"/>
              </w:rPr>
              <w:t xml:space="preserve">Performance: discrimination and calibration</w:t>
            </w:r>
          </w:p>
        </w:tc>
        <w:tc>
          <w:tcPr>
            <w:tcW w:type="dxa" w:w="1232"/>
            <w:tcMar>
              <w:top w:type="dxa" w:w="60"/>
              <w:left w:type="dxa" w:w="90"/>
              <w:bottom w:type="dxa" w:w="60"/>
              <w:right w:type="dxa" w:w="90"/>
            </w:tcMar>
          </w:tcPr>
          <w:p>
            <w:r>
              <w:rPr>
                <w:b w:val="false"/>
                <w:bCs w:val="false"/>
                <w:sz w:val="18"/>
                <w:szCs w:val="18"/>
              </w:rPr>
              <w:t xml:space="preserve">Partial</w:t>
            </w:r>
          </w:p>
        </w:tc>
        <w:tc>
          <w:tcPr>
            <w:tcW w:type="dxa" w:w="5419"/>
            <w:tcMar>
              <w:top w:type="dxa" w:w="60"/>
              <w:left w:type="dxa" w:w="90"/>
              <w:bottom w:type="dxa" w:w="60"/>
              <w:right w:type="dxa" w:w="90"/>
            </w:tcMar>
          </w:tcPr>
          <w:p>
            <w:r>
              <w:rPr>
                <w:b w:val="false"/>
                <w:bCs w:val="false"/>
                <w:sz w:val="18"/>
                <w:szCs w:val="18"/>
              </w:rPr>
              <w:t xml:space="preserve">PR-AUC, ROC-AUC and calibration exist; calibration per external cohort should be reported.</w:t>
            </w:r>
          </w:p>
        </w:tc>
      </w:tr>
      <w:tr>
        <w:tc>
          <w:tcPr>
            <w:tcW w:type="dxa" w:w="2709"/>
            <w:tcMar>
              <w:top w:type="dxa" w:w="60"/>
              <w:left w:type="dxa" w:w="90"/>
              <w:bottom w:type="dxa" w:w="60"/>
              <w:right w:type="dxa" w:w="90"/>
            </w:tcMar>
          </w:tcPr>
          <w:p>
            <w:r>
              <w:rPr>
                <w:b w:val="false"/>
                <w:bCs w:val="false"/>
                <w:sz w:val="18"/>
                <w:szCs w:val="18"/>
              </w:rPr>
              <w:t xml:space="preserve">Internal and external validation</w:t>
            </w:r>
          </w:p>
        </w:tc>
        <w:tc>
          <w:tcPr>
            <w:tcW w:type="dxa" w:w="1232"/>
            <w:tcMar>
              <w:top w:type="dxa" w:w="60"/>
              <w:left w:type="dxa" w:w="90"/>
              <w:bottom w:type="dxa" w:w="60"/>
              <w:right w:type="dxa" w:w="90"/>
            </w:tcMar>
          </w:tcPr>
          <w:p>
            <w:r>
              <w:rPr>
                <w:b w:val="false"/>
                <w:bCs w:val="false"/>
                <w:sz w:val="18"/>
                <w:szCs w:val="18"/>
              </w:rPr>
              <w:t xml:space="preserve">Yes</w:t>
            </w:r>
          </w:p>
        </w:tc>
        <w:tc>
          <w:tcPr>
            <w:tcW w:type="dxa" w:w="5419"/>
            <w:tcMar>
              <w:top w:type="dxa" w:w="60"/>
              <w:left w:type="dxa" w:w="90"/>
              <w:bottom w:type="dxa" w:w="60"/>
              <w:right w:type="dxa" w:w="90"/>
            </w:tcMar>
          </w:tcPr>
          <w:p>
            <w:r>
              <w:rPr>
                <w:b w:val="false"/>
                <w:bCs w:val="false"/>
                <w:sz w:val="18"/>
                <w:szCs w:val="18"/>
              </w:rPr>
              <w:t xml:space="preserve">5-fold participant CV, LOCO and five external cohorts.</w:t>
            </w:r>
          </w:p>
        </w:tc>
      </w:tr>
      <w:tr>
        <w:tc>
          <w:tcPr>
            <w:tcW w:type="dxa" w:w="2709"/>
            <w:tcMar>
              <w:top w:type="dxa" w:w="60"/>
              <w:left w:type="dxa" w:w="90"/>
              <w:bottom w:type="dxa" w:w="60"/>
              <w:right w:type="dxa" w:w="90"/>
            </w:tcMar>
          </w:tcPr>
          <w:p>
            <w:r>
              <w:rPr>
                <w:b w:val="false"/>
                <w:bCs w:val="false"/>
                <w:sz w:val="18"/>
                <w:szCs w:val="18"/>
              </w:rPr>
              <w:t xml:space="preserve">Fairness / subgroups</w:t>
            </w:r>
          </w:p>
        </w:tc>
        <w:tc>
          <w:tcPr>
            <w:tcW w:type="dxa" w:w="1232"/>
            <w:tcMar>
              <w:top w:type="dxa" w:w="60"/>
              <w:left w:type="dxa" w:w="90"/>
              <w:bottom w:type="dxa" w:w="60"/>
              <w:right w:type="dxa" w:w="90"/>
            </w:tcMar>
          </w:tcPr>
          <w:p>
            <w:r>
              <w:rPr>
                <w:b w:val="false"/>
                <w:bCs w:val="false"/>
                <w:sz w:val="18"/>
                <w:szCs w:val="18"/>
              </w:rPr>
              <w:t xml:space="preserve">No</w:t>
            </w:r>
          </w:p>
        </w:tc>
        <w:tc>
          <w:tcPr>
            <w:tcW w:type="dxa" w:w="5419"/>
            <w:tcMar>
              <w:top w:type="dxa" w:w="60"/>
              <w:left w:type="dxa" w:w="90"/>
              <w:bottom w:type="dxa" w:w="60"/>
              <w:right w:type="dxa" w:w="90"/>
            </w:tcMar>
          </w:tcPr>
          <w:p>
            <w:r>
              <w:rPr>
                <w:b w:val="false"/>
                <w:bCs w:val="false"/>
                <w:sz w:val="18"/>
                <w:szCs w:val="18"/>
              </w:rPr>
              <w:t xml:space="preserve">No age, sex or diagnosis subgroup performance.</w:t>
            </w:r>
          </w:p>
        </w:tc>
      </w:tr>
      <w:tr>
        <w:tc>
          <w:tcPr>
            <w:tcW w:type="dxa" w:w="2709"/>
            <w:tcMar>
              <w:top w:type="dxa" w:w="60"/>
              <w:left w:type="dxa" w:w="90"/>
              <w:bottom w:type="dxa" w:w="60"/>
              <w:right w:type="dxa" w:w="90"/>
            </w:tcMar>
          </w:tcPr>
          <w:p>
            <w:r>
              <w:rPr>
                <w:b w:val="false"/>
                <w:bCs w:val="false"/>
                <w:sz w:val="18"/>
                <w:szCs w:val="18"/>
              </w:rPr>
              <w:t xml:space="preserve">Model interpretability</w:t>
            </w:r>
          </w:p>
        </w:tc>
        <w:tc>
          <w:tcPr>
            <w:tcW w:type="dxa" w:w="1232"/>
            <w:tcMar>
              <w:top w:type="dxa" w:w="60"/>
              <w:left w:type="dxa" w:w="90"/>
              <w:bottom w:type="dxa" w:w="60"/>
              <w:right w:type="dxa" w:w="90"/>
            </w:tcMar>
          </w:tcPr>
          <w:p>
            <w:r>
              <w:rPr>
                <w:b w:val="false"/>
                <w:bCs w:val="false"/>
                <w:sz w:val="18"/>
                <w:szCs w:val="18"/>
              </w:rPr>
              <w:t xml:space="preserve">Partial</w:t>
            </w:r>
          </w:p>
        </w:tc>
        <w:tc>
          <w:tcPr>
            <w:tcW w:type="dxa" w:w="5419"/>
            <w:tcMar>
              <w:top w:type="dxa" w:w="60"/>
              <w:left w:type="dxa" w:w="90"/>
              <w:bottom w:type="dxa" w:w="60"/>
              <w:right w:type="dxa" w:w="90"/>
            </w:tcMar>
          </w:tcPr>
          <w:p>
            <w:r>
              <w:rPr>
                <w:b w:val="false"/>
                <w:bCs w:val="false"/>
                <w:sz w:val="18"/>
                <w:szCs w:val="18"/>
              </w:rPr>
              <w:t xml:space="preserve">Multi-method XAI, but only for correct training-cohort detections (M7).</w:t>
            </w:r>
          </w:p>
        </w:tc>
      </w:tr>
      <w:tr>
        <w:tc>
          <w:tcPr>
            <w:tcW w:type="dxa" w:w="2709"/>
            <w:tcMar>
              <w:top w:type="dxa" w:w="60"/>
              <w:left w:type="dxa" w:w="90"/>
              <w:bottom w:type="dxa" w:w="60"/>
              <w:right w:type="dxa" w:w="90"/>
            </w:tcMar>
          </w:tcPr>
          <w:p>
            <w:r>
              <w:rPr>
                <w:b w:val="false"/>
                <w:bCs w:val="false"/>
                <w:sz w:val="18"/>
                <w:szCs w:val="18"/>
              </w:rPr>
              <w:t xml:space="preserve">Code and data availability</w:t>
            </w:r>
          </w:p>
        </w:tc>
        <w:tc>
          <w:tcPr>
            <w:tcW w:type="dxa" w:w="1232"/>
            <w:tcMar>
              <w:top w:type="dxa" w:w="60"/>
              <w:left w:type="dxa" w:w="90"/>
              <w:bottom w:type="dxa" w:w="60"/>
              <w:right w:type="dxa" w:w="90"/>
            </w:tcMar>
          </w:tcPr>
          <w:p>
            <w:r>
              <w:rPr>
                <w:b w:val="false"/>
                <w:bCs w:val="false"/>
                <w:sz w:val="18"/>
                <w:szCs w:val="18"/>
              </w:rPr>
              <w:t xml:space="preserve">Yes</w:t>
            </w:r>
          </w:p>
        </w:tc>
        <w:tc>
          <w:tcPr>
            <w:tcW w:type="dxa" w:w="5419"/>
            <w:tcMar>
              <w:top w:type="dxa" w:w="60"/>
              <w:left w:type="dxa" w:w="90"/>
              <w:bottom w:type="dxa" w:w="60"/>
              <w:right w:type="dxa" w:w="90"/>
            </w:tcMar>
          </w:tcPr>
          <w:p>
            <w:r>
              <w:rPr>
                <w:b w:val="false"/>
                <w:bCs w:val="false"/>
                <w:sz w:val="18"/>
                <w:szCs w:val="18"/>
              </w:rPr>
              <w:t xml:space="preserve">Public repository; datasets public with licences cited.</w:t>
            </w:r>
          </w:p>
        </w:tc>
      </w:tr>
    </w:tbl>
    <w:p>
      <w:pPr>
        <w:pStyle w:val="Heading1"/>
        <w:spacing w:after="120" w:before="300"/>
      </w:pPr>
      <w:r>
        <w:t xml:space="preserve">6. Code audit (requested by the author)</w:t>
      </w:r>
    </w:p>
    <w:p>
      <w:pPr>
        <w:spacing w:after="120"/>
      </w:pPr>
      <w:r>
        <w:t xml:space="preserve">The code paths that determine every reported number were read in sqn2/train.py, analysis.py, data.py, scores.py and xai.py. The question was whether the code can produce optimistic or invalid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2"/>
        <w:gridCol w:w="1466"/>
        <w:gridCol w:w="4962"/>
      </w:tblGrid>
      <w:tr>
        <w:trPr>
          <w:tblHeader/>
        </w:trPr>
        <w:tc>
          <w:tcPr>
            <w:tcW w:type="dxa" w:w="2932"/>
            <w:shd w:fill="DCE6F2" w:color="auto" w:val="clear"/>
            <w:tcMar>
              <w:top w:type="dxa" w:w="60"/>
              <w:left w:type="dxa" w:w="90"/>
              <w:bottom w:type="dxa" w:w="60"/>
              <w:right w:type="dxa" w:w="90"/>
            </w:tcMar>
          </w:tcPr>
          <w:p>
            <w:r>
              <w:rPr>
                <w:b/>
                <w:bCs/>
                <w:sz w:val="18"/>
                <w:szCs w:val="18"/>
              </w:rPr>
              <w:t xml:space="preserve">Check</w:t>
            </w:r>
          </w:p>
        </w:tc>
        <w:tc>
          <w:tcPr>
            <w:tcW w:type="dxa" w:w="1466"/>
            <w:shd w:fill="DCE6F2" w:color="auto" w:val="clear"/>
            <w:tcMar>
              <w:top w:type="dxa" w:w="60"/>
              <w:left w:type="dxa" w:w="90"/>
              <w:bottom w:type="dxa" w:w="60"/>
              <w:right w:type="dxa" w:w="90"/>
            </w:tcMar>
          </w:tcPr>
          <w:p>
            <w:r>
              <w:rPr>
                <w:b/>
                <w:bCs/>
                <w:sz w:val="18"/>
                <w:szCs w:val="18"/>
              </w:rPr>
              <w:t xml:space="preserve">Result</w:t>
            </w:r>
          </w:p>
        </w:tc>
        <w:tc>
          <w:tcPr>
            <w:tcW w:type="dxa" w:w="4962"/>
            <w:shd w:fill="DCE6F2" w:color="auto" w:val="clear"/>
            <w:tcMar>
              <w:top w:type="dxa" w:w="60"/>
              <w:left w:type="dxa" w:w="90"/>
              <w:bottom w:type="dxa" w:w="60"/>
              <w:right w:type="dxa" w:w="90"/>
            </w:tcMar>
          </w:tcPr>
          <w:p>
            <w:r>
              <w:rPr>
                <w:b/>
                <w:bCs/>
                <w:sz w:val="18"/>
                <w:szCs w:val="18"/>
              </w:rPr>
              <w:t xml:space="preserve">Evidence</w:t>
            </w:r>
          </w:p>
        </w:tc>
      </w:tr>
      <w:tr>
        <w:tc>
          <w:tcPr>
            <w:tcW w:type="dxa" w:w="2932"/>
            <w:tcMar>
              <w:top w:type="dxa" w:w="60"/>
              <w:left w:type="dxa" w:w="90"/>
              <w:bottom w:type="dxa" w:w="60"/>
              <w:right w:type="dxa" w:w="90"/>
            </w:tcMar>
          </w:tcPr>
          <w:p>
            <w:r>
              <w:rPr>
                <w:b w:val="false"/>
                <w:bCs w:val="false"/>
                <w:sz w:val="18"/>
                <w:szCs w:val="18"/>
              </w:rPr>
              <w:t xml:space="preserve">Participant leakage between train and test</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make_folds assigns participants, not epochs, to folds; ISRUC-II sessions stay together.</w:t>
            </w:r>
          </w:p>
        </w:tc>
      </w:tr>
      <w:tr>
        <w:tc>
          <w:tcPr>
            <w:tcW w:type="dxa" w:w="2932"/>
            <w:tcMar>
              <w:top w:type="dxa" w:w="60"/>
              <w:left w:type="dxa" w:w="90"/>
              <w:bottom w:type="dxa" w:w="60"/>
              <w:right w:type="dxa" w:w="90"/>
            </w:tcMar>
          </w:tcPr>
          <w:p>
            <w:r>
              <w:rPr>
                <w:b w:val="false"/>
                <w:bCs w:val="false"/>
                <w:sz w:val="18"/>
                <w:szCs w:val="18"/>
              </w:rPr>
              <w:t xml:space="preserve">Model selection on the test fold</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Early stopping, threshold and temperature use inner-validation participants only.</w:t>
            </w:r>
          </w:p>
        </w:tc>
      </w:tr>
      <w:tr>
        <w:tc>
          <w:tcPr>
            <w:tcW w:type="dxa" w:w="2932"/>
            <w:tcMar>
              <w:top w:type="dxa" w:w="60"/>
              <w:left w:type="dxa" w:w="90"/>
              <w:bottom w:type="dxa" w:w="60"/>
              <w:right w:type="dxa" w:w="90"/>
            </w:tcMar>
          </w:tcPr>
          <w:p>
            <w:r>
              <w:rPr>
                <w:b w:val="false"/>
                <w:bCs w:val="false"/>
                <w:sz w:val="18"/>
                <w:szCs w:val="18"/>
              </w:rPr>
              <w:t xml:space="preserve">Feature scaling fitted on training data only</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RobustScaler fitted on labelled training epochs of each fold.</w:t>
            </w:r>
          </w:p>
        </w:tc>
      </w:tr>
      <w:tr>
        <w:tc>
          <w:tcPr>
            <w:tcW w:type="dxa" w:w="2932"/>
            <w:tcMar>
              <w:top w:type="dxa" w:w="60"/>
              <w:left w:type="dxa" w:w="90"/>
              <w:bottom w:type="dxa" w:w="60"/>
              <w:right w:type="dxa" w:w="90"/>
            </w:tcMar>
          </w:tcPr>
          <w:p>
            <w:r>
              <w:rPr>
                <w:b w:val="false"/>
                <w:bCs w:val="false"/>
                <w:sz w:val="18"/>
                <w:szCs w:val="18"/>
              </w:rPr>
              <w:t xml:space="preserve">Factor-score reference fitted per fold</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_reference uses the fold's training recordings; external cohorts use training cohorts only.</w:t>
            </w:r>
          </w:p>
        </w:tc>
      </w:tr>
      <w:tr>
        <w:tc>
          <w:tcPr>
            <w:tcW w:type="dxa" w:w="2932"/>
            <w:tcMar>
              <w:top w:type="dxa" w:w="60"/>
              <w:left w:type="dxa" w:w="90"/>
              <w:bottom w:type="dxa" w:w="60"/>
              <w:right w:type="dxa" w:w="90"/>
            </w:tcMar>
          </w:tcPr>
          <w:p>
            <w:r>
              <w:rPr>
                <w:b w:val="false"/>
                <w:bCs w:val="false"/>
                <w:sz w:val="18"/>
                <w:szCs w:val="18"/>
              </w:rPr>
              <w:t xml:space="preserve">External cohorts never used for fitting</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external_recs are only predicted; the ensemble averages the five fold models.</w:t>
            </w:r>
          </w:p>
        </w:tc>
      </w:tr>
      <w:tr>
        <w:tc>
          <w:tcPr>
            <w:tcW w:type="dxa" w:w="2932"/>
            <w:tcMar>
              <w:top w:type="dxa" w:w="60"/>
              <w:left w:type="dxa" w:w="90"/>
              <w:bottom w:type="dxa" w:w="60"/>
              <w:right w:type="dxa" w:w="90"/>
            </w:tcMar>
          </w:tcPr>
          <w:p>
            <w:r>
              <w:rPr>
                <w:b w:val="false"/>
                <w:bCs w:val="false"/>
                <w:sz w:val="18"/>
                <w:szCs w:val="18"/>
              </w:rPr>
              <w:t xml:space="preserve">Run/cache alignment</w:t>
            </w:r>
          </w:p>
        </w:tc>
        <w:tc>
          <w:tcPr>
            <w:tcW w:type="dxa" w:w="1466"/>
            <w:tcMar>
              <w:top w:type="dxa" w:w="60"/>
              <w:left w:type="dxa" w:w="90"/>
              <w:bottom w:type="dxa" w:w="60"/>
              <w:right w:type="dxa" w:w="90"/>
            </w:tcMar>
          </w:tcPr>
          <w:p>
            <w:r>
              <w:rPr>
                <w:b w:val="false"/>
                <w:bCs w:val="false"/>
                <w:sz w:val="18"/>
                <w:szCs w:val="18"/>
              </w:rPr>
              <w:t xml:space="preserve">Pass</w:t>
            </w:r>
          </w:p>
        </w:tc>
        <w:tc>
          <w:tcPr>
            <w:tcW w:type="dxa" w:w="4962"/>
            <w:tcMar>
              <w:top w:type="dxa" w:w="60"/>
              <w:left w:type="dxa" w:w="90"/>
              <w:bottom w:type="dxa" w:w="60"/>
              <w:right w:type="dxa" w:w="90"/>
            </w:tcMar>
          </w:tcPr>
          <w:p>
            <w:r>
              <w:rPr>
                <w:b w:val="false"/>
                <w:bCs w:val="false"/>
                <w:sz w:val="18"/>
                <w:szCs w:val="18"/>
              </w:rPr>
              <w:t xml:space="preserve">check_run_alignment verifies that saved epoch indices match the cache.</w:t>
            </w:r>
          </w:p>
        </w:tc>
      </w:tr>
      <w:tr>
        <w:tc>
          <w:tcPr>
            <w:tcW w:type="dxa" w:w="2932"/>
            <w:tcMar>
              <w:top w:type="dxa" w:w="60"/>
              <w:left w:type="dxa" w:w="90"/>
              <w:bottom w:type="dxa" w:w="60"/>
              <w:right w:type="dxa" w:w="90"/>
            </w:tcMar>
          </w:tcPr>
          <w:p>
            <w:r>
              <w:rPr>
                <w:b w:val="false"/>
                <w:bCs w:val="false"/>
                <w:sz w:val="18"/>
                <w:szCs w:val="18"/>
              </w:rPr>
              <w:t xml:space="preserve">Training reference for ISRUC</w:t>
            </w:r>
          </w:p>
        </w:tc>
        <w:tc>
          <w:tcPr>
            <w:tcW w:type="dxa" w:w="1466"/>
            <w:tcMar>
              <w:top w:type="dxa" w:w="60"/>
              <w:left w:type="dxa" w:w="90"/>
              <w:bottom w:type="dxa" w:w="60"/>
              <w:right w:type="dxa" w:w="90"/>
            </w:tcMar>
          </w:tcPr>
          <w:p>
            <w:r>
              <w:rPr>
                <w:b w:val="false"/>
                <w:bCs w:val="false"/>
                <w:sz w:val="18"/>
                <w:szCs w:val="18"/>
              </w:rPr>
              <w:t xml:space="preserve">Issue</w:t>
            </w:r>
          </w:p>
        </w:tc>
        <w:tc>
          <w:tcPr>
            <w:tcW w:type="dxa" w:w="4962"/>
            <w:tcMar>
              <w:top w:type="dxa" w:w="60"/>
              <w:left w:type="dxa" w:w="90"/>
              <w:bottom w:type="dxa" w:w="60"/>
              <w:right w:type="dxa" w:w="90"/>
            </w:tcMar>
          </w:tcPr>
          <w:p>
            <w:r>
              <w:rPr>
                <w:b w:val="false"/>
                <w:bCs w:val="false"/>
                <w:sz w:val="18"/>
                <w:szCs w:val="18"/>
              </w:rPr>
              <w:t xml:space="preserve">Scorer 1 only; this biases the ISRUC human benchmark (M3).</w:t>
            </w:r>
          </w:p>
        </w:tc>
      </w:tr>
      <w:tr>
        <w:tc>
          <w:tcPr>
            <w:tcW w:type="dxa" w:w="2932"/>
            <w:tcMar>
              <w:top w:type="dxa" w:w="60"/>
              <w:left w:type="dxa" w:w="90"/>
              <w:bottom w:type="dxa" w:w="60"/>
              <w:right w:type="dxa" w:w="90"/>
            </w:tcMar>
          </w:tcPr>
          <w:p>
            <w:r>
              <w:rPr>
                <w:b w:val="false"/>
                <w:bCs w:val="false"/>
                <w:sz w:val="18"/>
                <w:szCs w:val="18"/>
              </w:rPr>
              <w:t xml:space="preserve">Signal storage</w:t>
            </w:r>
          </w:p>
        </w:tc>
        <w:tc>
          <w:tcPr>
            <w:tcW w:type="dxa" w:w="1466"/>
            <w:tcMar>
              <w:top w:type="dxa" w:w="60"/>
              <w:left w:type="dxa" w:w="90"/>
              <w:bottom w:type="dxa" w:w="60"/>
              <w:right w:type="dxa" w:w="90"/>
            </w:tcMar>
          </w:tcPr>
          <w:p>
            <w:r>
              <w:rPr>
                <w:b w:val="false"/>
                <w:bCs w:val="false"/>
                <w:sz w:val="18"/>
                <w:szCs w:val="18"/>
              </w:rPr>
              <w:t xml:space="preserve">Issue</w:t>
            </w:r>
          </w:p>
        </w:tc>
        <w:tc>
          <w:tcPr>
            <w:tcW w:type="dxa" w:w="4962"/>
            <w:tcMar>
              <w:top w:type="dxa" w:w="60"/>
              <w:left w:type="dxa" w:w="90"/>
              <w:bottom w:type="dxa" w:w="60"/>
              <w:right w:type="dxa" w:w="90"/>
            </w:tcMar>
          </w:tcPr>
          <w:p>
            <w:r>
              <w:rPr>
                <w:b w:val="false"/>
                <w:bCs w:val="false"/>
                <w:sz w:val="18"/>
                <w:szCs w:val="18"/>
              </w:rPr>
              <w:t xml:space="preserve">float16 overflow excluded three CAP recordings (m1).</w:t>
            </w:r>
          </w:p>
        </w:tc>
      </w:tr>
      <w:tr>
        <w:tc>
          <w:tcPr>
            <w:tcW w:type="dxa" w:w="2932"/>
            <w:tcMar>
              <w:top w:type="dxa" w:w="60"/>
              <w:left w:type="dxa" w:w="90"/>
              <w:bottom w:type="dxa" w:w="60"/>
              <w:right w:type="dxa" w:w="90"/>
            </w:tcMar>
          </w:tcPr>
          <w:p>
            <w:r>
              <w:rPr>
                <w:b w:val="false"/>
                <w:bCs w:val="false"/>
                <w:sz w:val="18"/>
                <w:szCs w:val="18"/>
              </w:rPr>
              <w:t xml:space="preserve">RQ2b column name</w:t>
            </w:r>
          </w:p>
        </w:tc>
        <w:tc>
          <w:tcPr>
            <w:tcW w:type="dxa" w:w="1466"/>
            <w:tcMar>
              <w:top w:type="dxa" w:w="60"/>
              <w:left w:type="dxa" w:w="90"/>
              <w:bottom w:type="dxa" w:w="60"/>
              <w:right w:type="dxa" w:w="90"/>
            </w:tcMar>
          </w:tcPr>
          <w:p>
            <w:r>
              <w:rPr>
                <w:b w:val="false"/>
                <w:bCs w:val="false"/>
                <w:sz w:val="18"/>
                <w:szCs w:val="18"/>
              </w:rPr>
              <w:t xml:space="preserve">Fixed in v2.1</w:t>
            </w:r>
          </w:p>
        </w:tc>
        <w:tc>
          <w:tcPr>
            <w:tcW w:type="dxa" w:w="4962"/>
            <w:tcMar>
              <w:top w:type="dxa" w:w="60"/>
              <w:left w:type="dxa" w:w="90"/>
              <w:bottom w:type="dxa" w:w="60"/>
              <w:right w:type="dxa" w:w="90"/>
            </w:tcMar>
          </w:tcPr>
          <w:p>
            <w:r>
              <w:rPr>
                <w:b w:val="false"/>
                <w:bCs w:val="false"/>
                <w:sz w:val="18"/>
                <w:szCs w:val="18"/>
              </w:rPr>
              <w:t xml:space="preserve">'slow_wave_morphology' did not exist; AUROC never computed.</w:t>
            </w:r>
          </w:p>
        </w:tc>
      </w:tr>
      <w:tr>
        <w:tc>
          <w:tcPr>
            <w:tcW w:type="dxa" w:w="2932"/>
            <w:tcMar>
              <w:top w:type="dxa" w:w="60"/>
              <w:left w:type="dxa" w:w="90"/>
              <w:bottom w:type="dxa" w:w="60"/>
              <w:right w:type="dxa" w:w="90"/>
            </w:tcMar>
          </w:tcPr>
          <w:p>
            <w:r>
              <w:rPr>
                <w:b w:val="false"/>
                <w:bCs w:val="false"/>
                <w:sz w:val="18"/>
                <w:szCs w:val="18"/>
              </w:rPr>
              <w:t xml:space="preserve">XAI sampling</w:t>
            </w:r>
          </w:p>
        </w:tc>
        <w:tc>
          <w:tcPr>
            <w:tcW w:type="dxa" w:w="1466"/>
            <w:tcMar>
              <w:top w:type="dxa" w:w="60"/>
              <w:left w:type="dxa" w:w="90"/>
              <w:bottom w:type="dxa" w:w="60"/>
              <w:right w:type="dxa" w:w="90"/>
            </w:tcMar>
          </w:tcPr>
          <w:p>
            <w:r>
              <w:rPr>
                <w:b w:val="false"/>
                <w:bCs w:val="false"/>
                <w:sz w:val="18"/>
                <w:szCs w:val="18"/>
              </w:rPr>
              <w:t xml:space="preserve">Issue, fixed in v2.1 code</w:t>
            </w:r>
          </w:p>
        </w:tc>
        <w:tc>
          <w:tcPr>
            <w:tcW w:type="dxa" w:w="4962"/>
            <w:tcMar>
              <w:top w:type="dxa" w:w="60"/>
              <w:left w:type="dxa" w:w="90"/>
              <w:bottom w:type="dxa" w:w="60"/>
              <w:right w:type="dxa" w:w="90"/>
            </w:tcMar>
          </w:tcPr>
          <w:p>
            <w:r>
              <w:rPr>
                <w:b w:val="false"/>
                <w:bCs w:val="false"/>
                <w:sz w:val="18"/>
                <w:szCs w:val="18"/>
              </w:rPr>
              <w:t xml:space="preserve">Only correctly detected training-cohort epochs; v2.1 adds errors and external cohorts.</w:t>
            </w:r>
          </w:p>
        </w:tc>
      </w:tr>
      <w:tr>
        <w:tc>
          <w:tcPr>
            <w:tcW w:type="dxa" w:w="2932"/>
            <w:tcMar>
              <w:top w:type="dxa" w:w="60"/>
              <w:left w:type="dxa" w:w="90"/>
              <w:bottom w:type="dxa" w:w="60"/>
              <w:right w:type="dxa" w:w="90"/>
            </w:tcMar>
          </w:tcPr>
          <w:p>
            <w:r>
              <w:rPr>
                <w:b w:val="false"/>
                <w:bCs w:val="false"/>
                <w:sz w:val="18"/>
                <w:szCs w:val="18"/>
              </w:rPr>
              <w:t xml:space="preserve">Training seeds</w:t>
            </w:r>
          </w:p>
        </w:tc>
        <w:tc>
          <w:tcPr>
            <w:tcW w:type="dxa" w:w="1466"/>
            <w:tcMar>
              <w:top w:type="dxa" w:w="60"/>
              <w:left w:type="dxa" w:w="90"/>
              <w:bottom w:type="dxa" w:w="60"/>
              <w:right w:type="dxa" w:w="90"/>
            </w:tcMar>
          </w:tcPr>
          <w:p>
            <w:r>
              <w:rPr>
                <w:b w:val="false"/>
                <w:bCs w:val="false"/>
                <w:sz w:val="18"/>
                <w:szCs w:val="18"/>
              </w:rPr>
              <w:t xml:space="preserve">Issue, fixed in v2.1 code</w:t>
            </w:r>
          </w:p>
        </w:tc>
        <w:tc>
          <w:tcPr>
            <w:tcW w:type="dxa" w:w="4962"/>
            <w:tcMar>
              <w:top w:type="dxa" w:w="60"/>
              <w:left w:type="dxa" w:w="90"/>
              <w:bottom w:type="dxa" w:w="60"/>
              <w:right w:type="dxa" w:w="90"/>
            </w:tcMar>
          </w:tcPr>
          <w:p>
            <w:r>
              <w:rPr>
                <w:b w:val="false"/>
                <w:bCs w:val="false"/>
                <w:sz w:val="18"/>
                <w:szCs w:val="18"/>
              </w:rPr>
              <w:t xml:space="preserve">One seed per variant; v2.1 adds two seed repeats of the primary model.</w:t>
            </w:r>
          </w:p>
        </w:tc>
      </w:tr>
      <w:tr>
        <w:tc>
          <w:tcPr>
            <w:tcW w:type="dxa" w:w="2932"/>
            <w:tcMar>
              <w:top w:type="dxa" w:w="60"/>
              <w:left w:type="dxa" w:w="90"/>
              <w:bottom w:type="dxa" w:w="60"/>
              <w:right w:type="dxa" w:w="90"/>
            </w:tcMar>
          </w:tcPr>
          <w:p>
            <w:r>
              <w:rPr>
                <w:b w:val="false"/>
                <w:bCs w:val="false"/>
                <w:sz w:val="18"/>
                <w:szCs w:val="18"/>
              </w:rPr>
              <w:t xml:space="preserve">Results notebook run selection</w:t>
            </w:r>
          </w:p>
        </w:tc>
        <w:tc>
          <w:tcPr>
            <w:tcW w:type="dxa" w:w="1466"/>
            <w:tcMar>
              <w:top w:type="dxa" w:w="60"/>
              <w:left w:type="dxa" w:w="90"/>
              <w:bottom w:type="dxa" w:w="60"/>
              <w:right w:type="dxa" w:w="90"/>
            </w:tcMar>
          </w:tcPr>
          <w:p>
            <w:r>
              <w:rPr>
                <w:b w:val="false"/>
                <w:bCs w:val="false"/>
                <w:sz w:val="18"/>
                <w:szCs w:val="18"/>
              </w:rPr>
              <w:t xml:space="preserve">Fixed in v2.1</w:t>
            </w:r>
          </w:p>
        </w:tc>
        <w:tc>
          <w:tcPr>
            <w:tcW w:type="dxa" w:w="4962"/>
            <w:tcMar>
              <w:top w:type="dxa" w:w="60"/>
              <w:left w:type="dxa" w:w="90"/>
              <w:bottom w:type="dxa" w:w="60"/>
              <w:right w:type="dxa" w:w="90"/>
            </w:tcMar>
          </w:tcPr>
          <w:p>
            <w:r>
              <w:rPr>
                <w:b w:val="false"/>
                <w:bCs w:val="false"/>
                <w:sz w:val="18"/>
                <w:szCs w:val="18"/>
              </w:rPr>
              <w:t xml:space="preserve">'latest' loaded run 20261028-1400 (16 participants, no data access, F1 0.98); now skipped.</w:t>
            </w:r>
          </w:p>
        </w:tc>
      </w:tr>
      <w:tr>
        <w:tc>
          <w:tcPr>
            <w:tcW w:type="dxa" w:w="2932"/>
            <w:tcMar>
              <w:top w:type="dxa" w:w="60"/>
              <w:left w:type="dxa" w:w="90"/>
              <w:bottom w:type="dxa" w:w="60"/>
              <w:right w:type="dxa" w:w="90"/>
            </w:tcMar>
          </w:tcPr>
          <w:p>
            <w:r>
              <w:rPr>
                <w:b w:val="false"/>
                <w:bCs w:val="false"/>
                <w:sz w:val="18"/>
                <w:szCs w:val="18"/>
              </w:rPr>
              <w:t xml:space="preserve">v2.1 training and XAI code</w:t>
            </w:r>
          </w:p>
        </w:tc>
        <w:tc>
          <w:tcPr>
            <w:tcW w:type="dxa" w:w="1466"/>
            <w:tcMar>
              <w:top w:type="dxa" w:w="60"/>
              <w:left w:type="dxa" w:w="90"/>
              <w:bottom w:type="dxa" w:w="60"/>
              <w:right w:type="dxa" w:w="90"/>
            </w:tcMar>
          </w:tcPr>
          <w:p>
            <w:r>
              <w:rPr>
                <w:b w:val="false"/>
                <w:bCs w:val="false"/>
                <w:sz w:val="18"/>
                <w:szCs w:val="18"/>
              </w:rPr>
              <w:t xml:space="preserve">Pending</w:t>
            </w:r>
          </w:p>
        </w:tc>
        <w:tc>
          <w:tcPr>
            <w:tcW w:type="dxa" w:w="4962"/>
            <w:tcMar>
              <w:top w:type="dxa" w:w="60"/>
              <w:left w:type="dxa" w:w="90"/>
              <w:bottom w:type="dxa" w:w="60"/>
              <w:right w:type="dxa" w:w="90"/>
            </w:tcMar>
          </w:tcPr>
          <w:p>
            <w:r>
              <w:rPr>
                <w:b w:val="false"/>
                <w:bCs w:val="false"/>
                <w:sz w:val="18"/>
                <w:szCs w:val="18"/>
              </w:rPr>
              <w:t xml:space="preserve">Not yet executed on GPU; check analysis_errors.txt after the next Kaggle run.</w:t>
            </w:r>
          </w:p>
        </w:tc>
      </w:tr>
    </w:tbl>
    <w:p>
      <w:pPr>
        <w:spacing w:after="120"/>
      </w:pPr>
      <w:r>
        <w:rPr>
          <w:b/>
          <w:bCs/>
        </w:rPr>
        <w:t xml:space="preserve">Verdict of the audit: </w:t>
      </w:r>
      <w:r>
        <w:t xml:space="preserve">no data leakage or test-set tuning was found. The reported out-of-fold and external numbers of run 20261028-0834 can be trusted as computed. The problems are interpretive (what the numbers mean, M1-M4) and two biases in secondary analyses (ISRUC benchmark, XAI sampling), not errors that invalidate the primary results.</w:t>
      </w:r>
    </w:p>
    <w:p>
      <w:pPr>
        <w:pStyle w:val="Heading1"/>
        <w:spacing w:after="120" w:before="300"/>
      </w:pPr>
      <w:r>
        <w:t xml:space="preserve">7. Literature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2"/>
        <w:gridCol w:w="2030"/>
        <w:gridCol w:w="4398"/>
      </w:tblGrid>
      <w:tr>
        <w:trPr>
          <w:tblHeader/>
        </w:trPr>
        <w:tc>
          <w:tcPr>
            <w:tcW w:type="dxa" w:w="2932"/>
            <w:shd w:fill="DCE6F2" w:color="auto" w:val="clear"/>
            <w:tcMar>
              <w:top w:type="dxa" w:w="60"/>
              <w:left w:type="dxa" w:w="90"/>
              <w:bottom w:type="dxa" w:w="60"/>
              <w:right w:type="dxa" w:w="90"/>
            </w:tcMar>
          </w:tcPr>
          <w:p>
            <w:r>
              <w:rPr>
                <w:b/>
                <w:bCs/>
                <w:sz w:val="18"/>
                <w:szCs w:val="18"/>
              </w:rPr>
              <w:t xml:space="preserve">Claim</w:t>
            </w:r>
          </w:p>
        </w:tc>
        <w:tc>
          <w:tcPr>
            <w:tcW w:type="dxa" w:w="2030"/>
            <w:shd w:fill="DCE6F2" w:color="auto" w:val="clear"/>
            <w:tcMar>
              <w:top w:type="dxa" w:w="60"/>
              <w:left w:type="dxa" w:w="90"/>
              <w:bottom w:type="dxa" w:w="60"/>
              <w:right w:type="dxa" w:w="90"/>
            </w:tcMar>
          </w:tcPr>
          <w:p>
            <w:r>
              <w:rPr>
                <w:b/>
                <w:bCs/>
                <w:sz w:val="18"/>
                <w:szCs w:val="18"/>
              </w:rPr>
              <w:t xml:space="preserve">Assessment</w:t>
            </w:r>
          </w:p>
        </w:tc>
        <w:tc>
          <w:tcPr>
            <w:tcW w:type="dxa" w:w="4398"/>
            <w:shd w:fill="DCE6F2" w:color="auto" w:val="clear"/>
            <w:tcMar>
              <w:top w:type="dxa" w:w="60"/>
              <w:left w:type="dxa" w:w="90"/>
              <w:bottom w:type="dxa" w:w="60"/>
              <w:right w:type="dxa" w:w="90"/>
            </w:tcMar>
          </w:tcPr>
          <w:p>
            <w:r>
              <w:rPr>
                <w:b/>
                <w:bCs/>
                <w:sz w:val="18"/>
                <w:szCs w:val="18"/>
              </w:rPr>
              <w:t xml:space="preserve">Key prior work</w:t>
            </w:r>
          </w:p>
        </w:tc>
      </w:tr>
      <w:tr>
        <w:tc>
          <w:tcPr>
            <w:tcW w:type="dxa" w:w="2932"/>
            <w:tcMar>
              <w:top w:type="dxa" w:w="60"/>
              <w:left w:type="dxa" w:w="90"/>
              <w:bottom w:type="dxa" w:w="60"/>
              <w:right w:type="dxa" w:w="90"/>
            </w:tcMar>
          </w:tcPr>
          <w:p>
            <w:r>
              <w:rPr>
                <w:b w:val="false"/>
                <w:bCs w:val="false"/>
                <w:sz w:val="18"/>
                <w:szCs w:val="18"/>
              </w:rPr>
              <w:t xml:space="preserve">Single-channel N3 detection</w:t>
            </w:r>
          </w:p>
        </w:tc>
        <w:tc>
          <w:tcPr>
            <w:tcW w:type="dxa" w:w="2030"/>
            <w:tcMar>
              <w:top w:type="dxa" w:w="60"/>
              <w:left w:type="dxa" w:w="90"/>
              <w:bottom w:type="dxa" w:w="60"/>
              <w:right w:type="dxa" w:w="90"/>
            </w:tcMar>
          </w:tcPr>
          <w:p>
            <w:r>
              <w:rPr>
                <w:b w:val="false"/>
                <w:bCs w:val="false"/>
                <w:sz w:val="18"/>
                <w:szCs w:val="18"/>
              </w:rPr>
              <w:t xml:space="preserve">Not novel by itself</w:t>
            </w:r>
          </w:p>
        </w:tc>
        <w:tc>
          <w:tcPr>
            <w:tcW w:type="dxa" w:w="4398"/>
            <w:tcMar>
              <w:top w:type="dxa" w:w="60"/>
              <w:left w:type="dxa" w:w="90"/>
              <w:bottom w:type="dxa" w:w="60"/>
              <w:right w:type="dxa" w:w="90"/>
            </w:tcMar>
          </w:tcPr>
          <w:p>
            <w:hyperlink w:history="1" r:id="rIdsi7enyyz6e14nmqq9no4o">
              <w:r>
                <w:rPr>
                  <w:rStyle w:val="Hyperlink"/>
                </w:rPr>
                <w:t xml:space="preserve">Yeh et al. 2024</w:t>
              </w:r>
            </w:hyperlink>
            <w:r>
              <w:t xml:space="preserve">; </w:t>
            </w:r>
            <w:hyperlink w:history="1" r:id="rIdmcftmjwwqcllp6qu91mof">
              <w:r>
                <w:rPr>
                  <w:rStyle w:val="Hyperlink"/>
                </w:rPr>
                <w:t xml:space="preserve">DeepSleepNet</w:t>
              </w:r>
            </w:hyperlink>
            <w:r>
              <w:t xml:space="preserve">; </w:t>
            </w:r>
            <w:hyperlink w:history="1" r:id="rIdyjyik4gpeusu13dhuy10c">
              <w:r>
                <w:rPr>
                  <w:rStyle w:val="Hyperlink"/>
                </w:rPr>
                <w:t xml:space="preserve">AttnSleep</w:t>
              </w:r>
            </w:hyperlink>
          </w:p>
        </w:tc>
      </w:tr>
      <w:tr>
        <w:tc>
          <w:tcPr>
            <w:tcW w:type="dxa" w:w="2932"/>
            <w:tcMar>
              <w:top w:type="dxa" w:w="60"/>
              <w:left w:type="dxa" w:w="90"/>
              <w:bottom w:type="dxa" w:w="60"/>
              <w:right w:type="dxa" w:w="90"/>
            </w:tcMar>
          </w:tcPr>
          <w:p>
            <w:r>
              <w:rPr>
                <w:b w:val="false"/>
                <w:bCs w:val="false"/>
                <w:sz w:val="18"/>
                <w:szCs w:val="18"/>
              </w:rPr>
              <w:t xml:space="preserve">Continuous / within-stage depth from EEG</w:t>
            </w:r>
          </w:p>
        </w:tc>
        <w:tc>
          <w:tcPr>
            <w:tcW w:type="dxa" w:w="2030"/>
            <w:tcMar>
              <w:top w:type="dxa" w:w="60"/>
              <w:left w:type="dxa" w:w="90"/>
              <w:bottom w:type="dxa" w:w="60"/>
              <w:right w:type="dxa" w:w="90"/>
            </w:tcMar>
          </w:tcPr>
          <w:p>
            <w:r>
              <w:rPr>
                <w:b w:val="false"/>
                <w:bCs w:val="false"/>
                <w:sz w:val="18"/>
                <w:szCs w:val="18"/>
              </w:rPr>
              <w:t xml:space="preserve">Crowded; must differentiate</w:t>
            </w:r>
          </w:p>
        </w:tc>
        <w:tc>
          <w:tcPr>
            <w:tcW w:type="dxa" w:w="4398"/>
            <w:tcMar>
              <w:top w:type="dxa" w:w="60"/>
              <w:left w:type="dxa" w:w="90"/>
              <w:bottom w:type="dxa" w:w="60"/>
              <w:right w:type="dxa" w:w="90"/>
            </w:tcMar>
          </w:tcPr>
          <w:p>
            <w:hyperlink w:history="1" r:id="rIdftl17k7_xrf3kdtcmoz5y">
              <w:r>
                <w:rPr>
                  <w:rStyle w:val="Hyperlink"/>
                </w:rPr>
                <w:t xml:space="preserve">OSD 2025</w:t>
              </w:r>
            </w:hyperlink>
            <w:r>
              <w:t xml:space="preserve">; </w:t>
            </w:r>
            <w:hyperlink w:history="1" r:id="rIdw-iw831lo2juibpha9zvf">
              <w:r>
                <w:rPr>
                  <w:rStyle w:val="Hyperlink"/>
                </w:rPr>
                <w:t xml:space="preserve">SDI</w:t>
              </w:r>
            </w:hyperlink>
            <w:r>
              <w:t xml:space="preserve">; </w:t>
            </w:r>
            <w:hyperlink w:history="1" r:id="rIdgf1adzngpfspsusgbr2ke">
              <w:r>
                <w:rPr>
                  <w:rStyle w:val="Hyperlink"/>
                </w:rPr>
                <w:t xml:space="preserve">Metzner 2023</w:t>
              </w:r>
            </w:hyperlink>
          </w:p>
        </w:tc>
      </w:tr>
      <w:tr>
        <w:tc>
          <w:tcPr>
            <w:tcW w:type="dxa" w:w="2932"/>
            <w:tcMar>
              <w:top w:type="dxa" w:w="60"/>
              <w:left w:type="dxa" w:w="90"/>
              <w:bottom w:type="dxa" w:w="60"/>
              <w:right w:type="dxa" w:w="90"/>
            </w:tcMar>
          </w:tcPr>
          <w:p>
            <w:r>
              <w:rPr>
                <w:b w:val="false"/>
                <w:bCs w:val="false"/>
                <w:sz w:val="18"/>
                <w:szCs w:val="18"/>
              </w:rPr>
              <w:t xml:space="preserve">Slow-wave metrics beyond N3 staging</w:t>
            </w:r>
          </w:p>
        </w:tc>
        <w:tc>
          <w:tcPr>
            <w:tcW w:type="dxa" w:w="2030"/>
            <w:tcMar>
              <w:top w:type="dxa" w:w="60"/>
              <w:left w:type="dxa" w:w="90"/>
              <w:bottom w:type="dxa" w:w="60"/>
              <w:right w:type="dxa" w:w="90"/>
            </w:tcMar>
          </w:tcPr>
          <w:p>
            <w:r>
              <w:rPr>
                <w:b w:val="false"/>
                <w:bCs w:val="false"/>
                <w:sz w:val="18"/>
                <w:szCs w:val="18"/>
              </w:rPr>
              <w:t xml:space="preserve">Supports motivation</w:t>
            </w:r>
          </w:p>
        </w:tc>
        <w:tc>
          <w:tcPr>
            <w:tcW w:type="dxa" w:w="4398"/>
            <w:tcMar>
              <w:top w:type="dxa" w:w="60"/>
              <w:left w:type="dxa" w:w="90"/>
              <w:bottom w:type="dxa" w:w="60"/>
              <w:right w:type="dxa" w:w="90"/>
            </w:tcMar>
          </w:tcPr>
          <w:p>
            <w:hyperlink w:history="1" r:id="rIdjx-m2dindyp1ntw-r_8qq">
              <w:r>
                <w:rPr>
                  <w:rStyle w:val="Hyperlink"/>
                </w:rPr>
                <w:t xml:space="preserve">Sun et al. 2026</w:t>
              </w:r>
            </w:hyperlink>
            <w:r>
              <w:t xml:space="preserve">; </w:t>
            </w:r>
            <w:hyperlink w:history="1" r:id="rId66h3b2s9boai778wdpjzc">
              <w:r>
                <w:rPr>
                  <w:rStyle w:val="Hyperlink"/>
                </w:rPr>
                <w:t xml:space="preserve">Qin et al. 2025</w:t>
              </w:r>
            </w:hyperlink>
            <w:r>
              <w:t xml:space="preserve">; </w:t>
            </w:r>
            <w:hyperlink w:history="1" r:id="rIdgwwo-tpfn-m1d-u6mv8qm">
              <w:r>
                <w:rPr>
                  <w:rStyle w:val="Hyperlink"/>
                </w:rPr>
                <w:t xml:space="preserve">Davidson et al. 2025</w:t>
              </w:r>
            </w:hyperlink>
          </w:p>
        </w:tc>
      </w:tr>
      <w:tr>
        <w:tc>
          <w:tcPr>
            <w:tcW w:type="dxa" w:w="2932"/>
            <w:tcMar>
              <w:top w:type="dxa" w:w="60"/>
              <w:left w:type="dxa" w:w="90"/>
              <w:bottom w:type="dxa" w:w="60"/>
              <w:right w:type="dxa" w:w="90"/>
            </w:tcMar>
          </w:tcPr>
          <w:p>
            <w:r>
              <w:rPr>
                <w:b w:val="false"/>
                <w:bCs w:val="false"/>
                <w:sz w:val="18"/>
                <w:szCs w:val="18"/>
              </w:rPr>
              <w:t xml:space="preserve">N3-specific, transparent factor profile with pre-specified multi-cohort validation</w:t>
            </w:r>
          </w:p>
        </w:tc>
        <w:tc>
          <w:tcPr>
            <w:tcW w:type="dxa" w:w="2030"/>
            <w:tcMar>
              <w:top w:type="dxa" w:w="60"/>
              <w:left w:type="dxa" w:w="90"/>
              <w:bottom w:type="dxa" w:w="60"/>
              <w:right w:type="dxa" w:w="90"/>
            </w:tcMar>
          </w:tcPr>
          <w:p>
            <w:r>
              <w:rPr>
                <w:b w:val="false"/>
                <w:bCs w:val="false"/>
                <w:sz w:val="18"/>
                <w:szCs w:val="18"/>
              </w:rPr>
              <w:t xml:space="preserve">Survives, conditional on M1-M2</w:t>
            </w:r>
          </w:p>
        </w:tc>
        <w:tc>
          <w:tcPr>
            <w:tcW w:type="dxa" w:w="4398"/>
            <w:tcMar>
              <w:top w:type="dxa" w:w="60"/>
              <w:left w:type="dxa" w:w="90"/>
              <w:bottom w:type="dxa" w:w="60"/>
              <w:right w:type="dxa" w:w="90"/>
            </w:tcMar>
          </w:tcPr>
          <w:p>
            <w:r>
              <w:t xml:space="preserve">No direct match found in the searches of this session</w:t>
            </w:r>
          </w:p>
        </w:tc>
      </w:tr>
      <w:tr>
        <w:tc>
          <w:tcPr>
            <w:tcW w:type="dxa" w:w="2932"/>
            <w:tcMar>
              <w:top w:type="dxa" w:w="60"/>
              <w:left w:type="dxa" w:w="90"/>
              <w:bottom w:type="dxa" w:w="60"/>
              <w:right w:type="dxa" w:w="90"/>
            </w:tcMar>
          </w:tcPr>
          <w:p>
            <w:r>
              <w:rPr>
                <w:b w:val="false"/>
                <w:bCs w:val="false"/>
                <w:sz w:val="18"/>
                <w:szCs w:val="18"/>
              </w:rPr>
              <w:t xml:space="preserve">Physiology-guided robustness to unseen datasets</w:t>
            </w:r>
          </w:p>
        </w:tc>
        <w:tc>
          <w:tcPr>
            <w:tcW w:type="dxa" w:w="2030"/>
            <w:tcMar>
              <w:top w:type="dxa" w:w="60"/>
              <w:left w:type="dxa" w:w="90"/>
              <w:bottom w:type="dxa" w:w="60"/>
              <w:right w:type="dxa" w:w="90"/>
            </w:tcMar>
          </w:tcPr>
          <w:p>
            <w:r>
              <w:rPr>
                <w:b w:val="false"/>
                <w:bCs w:val="false"/>
                <w:sz w:val="18"/>
                <w:szCs w:val="18"/>
              </w:rPr>
              <w:t xml:space="preserve">Related, cite</w:t>
            </w:r>
          </w:p>
        </w:tc>
        <w:tc>
          <w:tcPr>
            <w:tcW w:type="dxa" w:w="4398"/>
            <w:tcMar>
              <w:top w:type="dxa" w:w="60"/>
              <w:left w:type="dxa" w:w="90"/>
              <w:bottom w:type="dxa" w:w="60"/>
              <w:right w:type="dxa" w:w="90"/>
            </w:tcMar>
          </w:tcPr>
          <w:p>
            <w:hyperlink w:history="1" r:id="rId6-nw467cijl8rmviy15xm">
              <w:r>
                <w:rPr>
                  <w:rStyle w:val="Hyperlink"/>
                </w:rPr>
                <w:t xml:space="preserve">SleepBand 2026 (preprint)</w:t>
              </w:r>
            </w:hyperlink>
          </w:p>
        </w:tc>
      </w:tr>
    </w:tbl>
    <w:p>
      <w:pPr>
        <w:spacing w:after="120"/>
      </w:pPr>
      <w:r>
        <w:t xml:space="preserve">Searches covered single-channel N3/SWS detection, within-N3 slow-wave intensity and continuous depth indices, and J-BHI single-channel generalisation papers. The search was not exhaustive; a systematic check of 2025-2026 J-BHI and TNSRE issues is still advisable before submission.</w:t>
      </w:r>
    </w:p>
    <w:p>
      <w:pPr>
        <w:pStyle w:val="Heading1"/>
        <w:spacing w:after="120" w:before="300"/>
      </w:pPr>
      <w:r>
        <w:t xml:space="preserve">8. Journal-specific assessment (IEEE J-BHI)</w:t>
      </w:r>
    </w:p>
    <w:p>
      <w:pPr>
        <w:spacing w:after="120"/>
      </w:pPr>
      <w:r>
        <w:rPr>
          <w:b/>
          <w:bCs/>
        </w:rPr>
        <w:t xml:space="preserve">Scope fit: </w:t>
      </w:r>
      <w:r>
        <w:t xml:space="preserve">good. J-BHI publishes automatic sleep staging and sleep informatics, e.g. </w:t>
      </w:r>
      <w:hyperlink w:history="1" r:id="rIddxqlxhlx9j9irmfftljyj">
        <w:r>
          <w:rPr>
            <w:rStyle w:val="Hyperlink"/>
          </w:rPr>
          <w:t xml:space="preserve">Korkalainen et al. 2019</w:t>
        </w:r>
      </w:hyperlink>
      <w:r>
        <w:t xml:space="preserve">, </w:t>
      </w:r>
      <w:hyperlink w:history="1" r:id="rIdqvprcx7bu3dmi_ifu4dlt">
        <w:r>
          <w:rPr>
            <w:rStyle w:val="Hyperlink"/>
          </w:rPr>
          <w:t xml:space="preserve">SleepPPG-Net (Kotzen et al. 2022)</w:t>
        </w:r>
      </w:hyperlink>
      <w:r>
        <w:t xml:space="preserve">, </w:t>
      </w:r>
      <w:hyperlink w:history="1" r:id="rIdrx66rpl4c_sq2s0yfaj8v">
        <w:r>
          <w:rPr>
            <w:rStyle w:val="Hyperlink"/>
          </w:rPr>
          <w:t xml:space="preserve">Co-ScaleNet (Wei et al. 2023)</w:t>
        </w:r>
      </w:hyperlink>
      <w:r>
        <w:t xml:space="preserve"> and </w:t>
      </w:r>
      <w:hyperlink w:history="1" r:id="rIdnrr_nsv-jqas9kdzugpes">
        <w:r>
          <w:rPr>
            <w:rStyle w:val="Hyperlink"/>
          </w:rPr>
          <w:t xml:space="preserve">ear-EEG staging (Liang et al. 2025)</w:t>
        </w:r>
      </w:hyperlink>
      <w:r>
        <w:t xml:space="preserve">.</w:t>
      </w:r>
    </w:p>
    <w:p>
      <w:pPr>
        <w:spacing w:after="120"/>
      </w:pPr>
      <w:r>
        <w:rPr>
          <w:b/>
          <w:bCs/>
        </w:rPr>
        <w:t xml:space="preserve">Novelty calibration: </w:t>
      </w:r>
      <w:r>
        <w:t xml:space="preserve">these comparators combine an architectural idea with validation on several datasets or a clinical population of hundreds to thousands of recordings. This study's evaluation design is at or above that bar; its architectural novelty is below it (M4). The manuscript should therefore sell the evaluation framework and the transparent N3 profile, not the network.</w:t>
      </w:r>
    </w:p>
    <w:p>
      <w:pPr>
        <w:spacing w:after="120"/>
      </w:pPr>
      <w:r>
        <w:rPr>
          <w:b/>
          <w:bCs/>
        </w:rPr>
        <w:t xml:space="preserve">Style and length: </w:t>
      </w:r>
      <w:r>
        <w:t xml:space="preserve">J-BHI requires the IEEE double-column template, an abstract of at most 250 words without abbreviations, references or equations, and a 14-page limit including supplementary material, with mandatory page charges from page 9 (</w:t>
      </w:r>
      <w:hyperlink w:history="1" r:id="rIdwx0qv-3zqqkxnbgydx2y4">
        <w:r>
          <w:rPr>
            <w:rStyle w:val="Hyperlink"/>
          </w:rPr>
          <w:t xml:space="preserve">J-BHI author instructions</w:t>
        </w:r>
      </w:hyperlink>
      <w:r>
        <w:t xml:space="preserve">). The current scope (9 research questions) does not fit 8 pages.</w:t>
      </w:r>
    </w:p>
    <w:p>
      <w:pPr>
        <w:pStyle w:val="Heading2"/>
        <w:spacing w:after="100" w:before="200"/>
      </w:pPr>
      <w:r>
        <w:t xml:space="preserve">Required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42"/>
        <w:gridCol w:w="3918"/>
      </w:tblGrid>
      <w:tr>
        <w:trPr>
          <w:tblHeader/>
        </w:trPr>
        <w:tc>
          <w:tcPr>
            <w:tcW w:type="dxa" w:w="5442"/>
            <w:shd w:fill="DCE6F2" w:color="auto" w:val="clear"/>
            <w:tcMar>
              <w:top w:type="dxa" w:w="60"/>
              <w:left w:type="dxa" w:w="90"/>
              <w:bottom w:type="dxa" w:w="60"/>
              <w:right w:type="dxa" w:w="90"/>
            </w:tcMar>
          </w:tcPr>
          <w:p>
            <w:r>
              <w:rPr>
                <w:b/>
                <w:bCs/>
                <w:sz w:val="18"/>
                <w:szCs w:val="18"/>
              </w:rPr>
              <w:t xml:space="preserve">Requirement (J-BHI page)</w:t>
            </w:r>
          </w:p>
        </w:tc>
        <w:tc>
          <w:tcPr>
            <w:tcW w:type="dxa" w:w="3918"/>
            <w:shd w:fill="DCE6F2" w:color="auto" w:val="clear"/>
            <w:tcMar>
              <w:top w:type="dxa" w:w="60"/>
              <w:left w:type="dxa" w:w="90"/>
              <w:bottom w:type="dxa" w:w="60"/>
              <w:right w:type="dxa" w:w="90"/>
            </w:tcMar>
          </w:tcPr>
          <w:p>
            <w:r>
              <w:rPr>
                <w:b/>
                <w:bCs/>
                <w:sz w:val="18"/>
                <w:szCs w:val="18"/>
              </w:rPr>
              <w:t xml:space="preserve">Status / action</w:t>
            </w:r>
          </w:p>
        </w:tc>
      </w:tr>
      <w:tr>
        <w:tc>
          <w:tcPr>
            <w:tcW w:type="dxa" w:w="5442"/>
            <w:tcMar>
              <w:top w:type="dxa" w:w="60"/>
              <w:left w:type="dxa" w:w="90"/>
              <w:bottom w:type="dxa" w:w="60"/>
              <w:right w:type="dxa" w:w="90"/>
            </w:tcMar>
          </w:tcPr>
          <w:p>
            <w:r>
              <w:rPr>
                <w:b w:val="false"/>
                <w:bCs w:val="false"/>
                <w:sz w:val="18"/>
                <w:szCs w:val="18"/>
              </w:rPr>
              <w:t xml:space="preserve">IEEE template, single PDF with embedded figures</w:t>
            </w:r>
          </w:p>
        </w:tc>
        <w:tc>
          <w:tcPr>
            <w:tcW w:type="dxa" w:w="3918"/>
            <w:tcMar>
              <w:top w:type="dxa" w:w="60"/>
              <w:left w:type="dxa" w:w="90"/>
              <w:bottom w:type="dxa" w:w="60"/>
              <w:right w:type="dxa" w:w="90"/>
            </w:tcMar>
          </w:tcPr>
          <w:p>
            <w:r>
              <w:rPr>
                <w:b w:val="false"/>
                <w:bCs w:val="false"/>
                <w:sz w:val="18"/>
                <w:szCs w:val="18"/>
              </w:rPr>
              <w:t xml:space="preserve">To do (v1 IEEEtran files exist)</w:t>
            </w:r>
          </w:p>
        </w:tc>
      </w:tr>
      <w:tr>
        <w:tc>
          <w:tcPr>
            <w:tcW w:type="dxa" w:w="5442"/>
            <w:tcMar>
              <w:top w:type="dxa" w:w="60"/>
              <w:left w:type="dxa" w:w="90"/>
              <w:bottom w:type="dxa" w:w="60"/>
              <w:right w:type="dxa" w:w="90"/>
            </w:tcMar>
          </w:tcPr>
          <w:p>
            <w:r>
              <w:rPr>
                <w:b w:val="false"/>
                <w:bCs w:val="false"/>
                <w:sz w:val="18"/>
                <w:szCs w:val="18"/>
              </w:rPr>
              <w:t xml:space="preserve">Abstract &lt;= 250 words, no abbreviations, ends with significance</w:t>
            </w:r>
          </w:p>
        </w:tc>
        <w:tc>
          <w:tcPr>
            <w:tcW w:type="dxa" w:w="3918"/>
            <w:tcMar>
              <w:top w:type="dxa" w:w="60"/>
              <w:left w:type="dxa" w:w="90"/>
              <w:bottom w:type="dxa" w:w="60"/>
              <w:right w:type="dxa" w:w="90"/>
            </w:tcMar>
          </w:tcPr>
          <w:p>
            <w:r>
              <w:rPr>
                <w:b w:val="false"/>
                <w:bCs w:val="false"/>
                <w:sz w:val="18"/>
                <w:szCs w:val="18"/>
              </w:rPr>
              <w:t xml:space="preserve">To write</w:t>
            </w:r>
          </w:p>
        </w:tc>
      </w:tr>
      <w:tr>
        <w:tc>
          <w:tcPr>
            <w:tcW w:type="dxa" w:w="5442"/>
            <w:tcMar>
              <w:top w:type="dxa" w:w="60"/>
              <w:left w:type="dxa" w:w="90"/>
              <w:bottom w:type="dxa" w:w="60"/>
              <w:right w:type="dxa" w:w="90"/>
            </w:tcMar>
          </w:tcPr>
          <w:p>
            <w:r>
              <w:rPr>
                <w:b w:val="false"/>
                <w:bCs w:val="false"/>
                <w:sz w:val="18"/>
                <w:szCs w:val="18"/>
              </w:rPr>
              <w:t xml:space="preserve">Cover letter: innovation and significance, originality statement</w:t>
            </w:r>
          </w:p>
        </w:tc>
        <w:tc>
          <w:tcPr>
            <w:tcW w:type="dxa" w:w="3918"/>
            <w:tcMar>
              <w:top w:type="dxa" w:w="60"/>
              <w:left w:type="dxa" w:w="90"/>
              <w:bottom w:type="dxa" w:w="60"/>
              <w:right w:type="dxa" w:w="90"/>
            </w:tcMar>
          </w:tcPr>
          <w:p>
            <w:r>
              <w:rPr>
                <w:b w:val="false"/>
                <w:bCs w:val="false"/>
                <w:sz w:val="18"/>
                <w:szCs w:val="18"/>
              </w:rPr>
              <w:t xml:space="preserve">To write</w:t>
            </w:r>
          </w:p>
        </w:tc>
      </w:tr>
      <w:tr>
        <w:tc>
          <w:tcPr>
            <w:tcW w:type="dxa" w:w="5442"/>
            <w:tcMar>
              <w:top w:type="dxa" w:w="60"/>
              <w:left w:type="dxa" w:w="90"/>
              <w:bottom w:type="dxa" w:w="60"/>
              <w:right w:type="dxa" w:w="90"/>
            </w:tcMar>
          </w:tcPr>
          <w:p>
            <w:r>
              <w:rPr>
                <w:b w:val="false"/>
                <w:bCs w:val="false"/>
                <w:sz w:val="18"/>
                <w:szCs w:val="18"/>
              </w:rPr>
              <w:t xml:space="preserve">Author consent form with handwritten signatures</w:t>
            </w:r>
          </w:p>
        </w:tc>
        <w:tc>
          <w:tcPr>
            <w:tcW w:type="dxa" w:w="3918"/>
            <w:tcMar>
              <w:top w:type="dxa" w:w="60"/>
              <w:left w:type="dxa" w:w="90"/>
              <w:bottom w:type="dxa" w:w="60"/>
              <w:right w:type="dxa" w:w="90"/>
            </w:tcMar>
          </w:tcPr>
          <w:p>
            <w:r>
              <w:rPr>
                <w:b w:val="false"/>
                <w:bCs w:val="false"/>
                <w:sz w:val="18"/>
                <w:szCs w:val="18"/>
              </w:rPr>
              <w:t xml:space="preserve">Collect from all co-authors</w:t>
            </w:r>
          </w:p>
        </w:tc>
      </w:tr>
      <w:tr>
        <w:tc>
          <w:tcPr>
            <w:tcW w:type="dxa" w:w="5442"/>
            <w:tcMar>
              <w:top w:type="dxa" w:w="60"/>
              <w:left w:type="dxa" w:w="90"/>
              <w:bottom w:type="dxa" w:w="60"/>
              <w:right w:type="dxa" w:w="90"/>
            </w:tcMar>
          </w:tcPr>
          <w:p>
            <w:r>
              <w:rPr>
                <w:b w:val="false"/>
                <w:bCs w:val="false"/>
                <w:sz w:val="18"/>
                <w:szCs w:val="18"/>
              </w:rPr>
              <w:t xml:space="preserve">ORCID for all authors</w:t>
            </w:r>
          </w:p>
        </w:tc>
        <w:tc>
          <w:tcPr>
            <w:tcW w:type="dxa" w:w="3918"/>
            <w:tcMar>
              <w:top w:type="dxa" w:w="60"/>
              <w:left w:type="dxa" w:w="90"/>
              <w:bottom w:type="dxa" w:w="60"/>
              <w:right w:type="dxa" w:w="90"/>
            </w:tcMar>
          </w:tcPr>
          <w:p>
            <w:r>
              <w:rPr>
                <w:b w:val="false"/>
                <w:bCs w:val="false"/>
                <w:sz w:val="18"/>
                <w:szCs w:val="18"/>
              </w:rPr>
              <w:t xml:space="preserve">Check</w:t>
            </w:r>
          </w:p>
        </w:tc>
      </w:tr>
      <w:tr>
        <w:tc>
          <w:tcPr>
            <w:tcW w:type="dxa" w:w="5442"/>
            <w:tcMar>
              <w:top w:type="dxa" w:w="60"/>
              <w:left w:type="dxa" w:w="90"/>
              <w:bottom w:type="dxa" w:w="60"/>
              <w:right w:type="dxa" w:w="90"/>
            </w:tcMar>
          </w:tcPr>
          <w:p>
            <w:r>
              <w:rPr>
                <w:b w:val="false"/>
                <w:bCs w:val="false"/>
                <w:sz w:val="18"/>
                <w:szCs w:val="18"/>
              </w:rPr>
              <w:t xml:space="preserve">Institutional or IEEE email for every author (stated as obligatory)</w:t>
            </w:r>
          </w:p>
        </w:tc>
        <w:tc>
          <w:tcPr>
            <w:tcW w:type="dxa" w:w="3918"/>
            <w:tcMar>
              <w:top w:type="dxa" w:w="60"/>
              <w:left w:type="dxa" w:w="90"/>
              <w:bottom w:type="dxa" w:w="60"/>
              <w:right w:type="dxa" w:w="90"/>
            </w:tcMar>
          </w:tcPr>
          <w:p>
            <w:r>
              <w:rPr>
                <w:b w:val="false"/>
                <w:bCs w:val="false"/>
                <w:sz w:val="18"/>
                <w:szCs w:val="18"/>
              </w:rPr>
              <w:t xml:space="preserve">Check: a personal Gmail address may not be accepted</w:t>
            </w:r>
          </w:p>
        </w:tc>
      </w:tr>
      <w:tr>
        <w:tc>
          <w:tcPr>
            <w:tcW w:type="dxa" w:w="5442"/>
            <w:tcMar>
              <w:top w:type="dxa" w:w="60"/>
              <w:left w:type="dxa" w:w="90"/>
              <w:bottom w:type="dxa" w:w="60"/>
              <w:right w:type="dxa" w:w="90"/>
            </w:tcMar>
          </w:tcPr>
          <w:p>
            <w:r>
              <w:rPr>
                <w:b w:val="false"/>
                <w:bCs w:val="false"/>
                <w:sz w:val="18"/>
                <w:szCs w:val="18"/>
              </w:rPr>
              <w:t xml:space="preserve">Public datasets cited with original sources (ethics statement)</w:t>
            </w:r>
          </w:p>
        </w:tc>
        <w:tc>
          <w:tcPr>
            <w:tcW w:type="dxa" w:w="3918"/>
            <w:tcMar>
              <w:top w:type="dxa" w:w="60"/>
              <w:left w:type="dxa" w:w="90"/>
              <w:bottom w:type="dxa" w:w="60"/>
              <w:right w:type="dxa" w:w="90"/>
            </w:tcMar>
          </w:tcPr>
          <w:p>
            <w:r>
              <w:rPr>
                <w:b w:val="false"/>
                <w:bCs w:val="false"/>
                <w:sz w:val="18"/>
                <w:szCs w:val="18"/>
              </w:rPr>
              <w:t xml:space="preserve">Cite ISRUC, HMC/PhysioNet, Dreem DOD, CAP</w:t>
            </w:r>
          </w:p>
        </w:tc>
      </w:tr>
      <w:tr>
        <w:tc>
          <w:tcPr>
            <w:tcW w:type="dxa" w:w="5442"/>
            <w:tcMar>
              <w:top w:type="dxa" w:w="60"/>
              <w:left w:type="dxa" w:w="90"/>
              <w:bottom w:type="dxa" w:w="60"/>
              <w:right w:type="dxa" w:w="90"/>
            </w:tcMar>
          </w:tcPr>
          <w:p>
            <w:r>
              <w:rPr>
                <w:b w:val="false"/>
                <w:bCs w:val="false"/>
                <w:sz w:val="18"/>
                <w:szCs w:val="18"/>
              </w:rPr>
              <w:t xml:space="preserve">4 suggested independent reviewers</w:t>
            </w:r>
          </w:p>
        </w:tc>
        <w:tc>
          <w:tcPr>
            <w:tcW w:type="dxa" w:w="3918"/>
            <w:tcMar>
              <w:top w:type="dxa" w:w="60"/>
              <w:left w:type="dxa" w:w="90"/>
              <w:bottom w:type="dxa" w:w="60"/>
              <w:right w:type="dxa" w:w="90"/>
            </w:tcMar>
          </w:tcPr>
          <w:p>
            <w:r>
              <w:rPr>
                <w:b w:val="false"/>
                <w:bCs w:val="false"/>
                <w:sz w:val="18"/>
                <w:szCs w:val="18"/>
              </w:rPr>
              <w:t xml:space="preserve">Prepare</w:t>
            </w:r>
          </w:p>
        </w:tc>
      </w:tr>
      <w:tr>
        <w:tc>
          <w:tcPr>
            <w:tcW w:type="dxa" w:w="5442"/>
            <w:tcMar>
              <w:top w:type="dxa" w:w="60"/>
              <w:left w:type="dxa" w:w="90"/>
              <w:bottom w:type="dxa" w:w="60"/>
              <w:right w:type="dxa" w:w="90"/>
            </w:tcMar>
          </w:tcPr>
          <w:p>
            <w:r>
              <w:rPr>
                <w:b w:val="false"/>
                <w:bCs w:val="false"/>
                <w:sz w:val="18"/>
                <w:szCs w:val="18"/>
              </w:rPr>
              <w:t xml:space="preserve">No new authors after submission</w:t>
            </w:r>
          </w:p>
        </w:tc>
        <w:tc>
          <w:tcPr>
            <w:tcW w:type="dxa" w:w="3918"/>
            <w:tcMar>
              <w:top w:type="dxa" w:w="60"/>
              <w:left w:type="dxa" w:w="90"/>
              <w:bottom w:type="dxa" w:w="60"/>
              <w:right w:type="dxa" w:w="90"/>
            </w:tcMar>
          </w:tcPr>
          <w:p>
            <w:r>
              <w:rPr>
                <w:b w:val="false"/>
                <w:bCs w:val="false"/>
                <w:sz w:val="18"/>
                <w:szCs w:val="18"/>
              </w:rPr>
              <w:t xml:space="preserve">Fix the author list now</w:t>
            </w:r>
          </w:p>
        </w:tc>
      </w:tr>
    </w:tbl>
    <w:p>
      <w:pPr>
        <w:spacing w:after="120"/>
      </w:pPr>
      <w:r>
        <w:rPr>
          <w:b/>
          <w:bCs/>
        </w:rPr>
        <w:t xml:space="preserve">Alternative venues </w:t>
      </w:r>
      <w:r>
        <w:t xml:space="preserve">(if the authors prefer a less architecture-focused bar): Computers in Biology and Medicine (rigorous evaluation of biomedical ML); Biomedical Signal Processing and Control (signal-processing contribution); Journal of Sleep Research (if reframed around the N3 profile and physiological validation, after M1-M2). Check current quartile rankings in the database the institution uses.</w:t>
      </w:r>
    </w:p>
    <w:p>
      <w:pPr>
        <w:pStyle w:val="Heading1"/>
        <w:spacing w:after="120" w:before="300"/>
      </w:pPr>
      <w:r>
        <w:t xml:space="preserve">9. Recommendation</w:t>
      </w:r>
    </w:p>
    <w:p>
      <w:pPr>
        <w:spacing w:after="120"/>
      </w:pPr>
      <w:r>
        <w:rPr>
          <w:b/>
          <w:bCs/>
        </w:rPr>
        <w:t xml:space="preserve">Major revision needed before submission (no fatal flaw).</w:t>
      </w:r>
    </w:p>
    <w:p>
      <w:pPr>
        <w:spacing w:after="120"/>
      </w:pPr>
      <w:r>
        <w:t xml:space="preserve">Can this be submitted to a Q1 journal? Yes: J-BHI is in scope, and the evaluation design (pre-specified criteria, frozen participant folds, five external cohorts, same-protocol baselines, honest reporting of failed criteria) is stronger than in many published single-channel EEG papers. In its current framing, however, a harsh reviewer would reject it: the factor validation is close to circular (M1), the factors are redundant (M2), external performance fails on Dreem (M3) and the architecture claims contradict the ablation (M4). Most of these are fixed with analyses on data already available (a log-SWA baseline, OSA-vs-healthy and age anchors, per-cohort reporting, the v2.1 run) and with an honest framing: a compact temporal-context detector plus a transparent, N3-specific EEG profile, evaluated under a pre-specified multi-cohort protocol. With those changes the paper is a credible J-BHI submission; acceptance cannot be promised by any review.</w:t>
      </w:r>
    </w:p>
    <w:p>
      <w:pPr>
        <w:pStyle w:val="Heading1"/>
        <w:spacing w:after="120" w:before="300"/>
      </w:pPr>
      <w:r>
        <w:t xml:space="preserve">10. Audit log</w:t>
      </w:r>
    </w:p>
    <w:p>
      <w:pPr>
        <w:spacing w:after="120"/>
      </w:pPr>
      <w:r>
        <w:rPr>
          <w:b/>
          <w:bCs/>
        </w:rPr>
        <w:t xml:space="preserve">Material reviewed: </w:t>
      </w:r>
      <w:r>
        <w:t xml:space="preserve">v2 code (sqn2 package, commit 32dcd83), result tables of run 20261028-0834 (rq1-rq7, research_question_results.csv, environment.json, data_inventory.csv, evaluation_exclusions.csv), docs/02 (v1 audit) and docs/03 (novelty notes). Supplementary information: the run tables, as agreed with the author.</w:t>
      </w:r>
    </w:p>
    <w:p>
      <w:pPr>
        <w:spacing w:after="120"/>
      </w:pPr>
      <w:r>
        <w:rPr>
          <w:b/>
          <w:bCs/>
        </w:rPr>
        <w:t xml:space="preserve">Journal sources: </w:t>
      </w:r>
      <w:hyperlink w:history="1" r:id="rIdgsmq2dn8gptnke9c-bjnc">
        <w:r>
          <w:rPr>
            <w:rStyle w:val="Hyperlink"/>
          </w:rPr>
          <w:t xml:space="preserve">J-BHI: Prepare and Submit Your Manuscript (embs.org, modified 25 Aug 2026)</w:t>
        </w:r>
      </w:hyperlink>
      <w:r>
        <w:t xml:space="preserve">, fetched through Firecrawl because embs.org is outside this session's network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
        <w:gridCol w:w="6240"/>
        <w:gridCol w:w="2674"/>
      </w:tblGrid>
      <w:tr>
        <w:trPr>
          <w:tblHeader/>
        </w:trPr>
        <w:tc>
          <w:tcPr>
            <w:tcW w:type="dxa" w:w="446"/>
            <w:shd w:fill="DCE6F2" w:color="auto" w:val="clear"/>
            <w:tcMar>
              <w:top w:type="dxa" w:w="60"/>
              <w:left w:type="dxa" w:w="90"/>
              <w:bottom w:type="dxa" w:w="60"/>
              <w:right w:type="dxa" w:w="90"/>
            </w:tcMar>
          </w:tcPr>
          <w:p>
            <w:r>
              <w:rPr>
                <w:b/>
                <w:bCs/>
                <w:sz w:val="18"/>
                <w:szCs w:val="18"/>
              </w:rPr>
              <w:t xml:space="preserve">#</w:t>
            </w:r>
          </w:p>
        </w:tc>
        <w:tc>
          <w:tcPr>
            <w:tcW w:type="dxa" w:w="6240"/>
            <w:shd w:fill="DCE6F2" w:color="auto" w:val="clear"/>
            <w:tcMar>
              <w:top w:type="dxa" w:w="60"/>
              <w:left w:type="dxa" w:w="90"/>
              <w:bottom w:type="dxa" w:w="60"/>
              <w:right w:type="dxa" w:w="90"/>
            </w:tcMar>
          </w:tcPr>
          <w:p>
            <w:r>
              <w:rPr>
                <w:b/>
                <w:bCs/>
                <w:sz w:val="18"/>
                <w:szCs w:val="18"/>
              </w:rPr>
              <w:t xml:space="preserve">Consensus query</w:t>
            </w:r>
          </w:p>
        </w:tc>
        <w:tc>
          <w:tcPr>
            <w:tcW w:type="dxa" w:w="2674"/>
            <w:shd w:fill="DCE6F2" w:color="auto" w:val="clear"/>
            <w:tcMar>
              <w:top w:type="dxa" w:w="60"/>
              <w:left w:type="dxa" w:w="90"/>
              <w:bottom w:type="dxa" w:w="60"/>
              <w:right w:type="dxa" w:w="90"/>
            </w:tcMar>
          </w:tcPr>
          <w:p>
            <w:r>
              <w:rPr>
                <w:b/>
                <w:bCs/>
                <w:sz w:val="18"/>
                <w:szCs w:val="18"/>
              </w:rPr>
              <w:t xml:space="preserve">Used for</w:t>
            </w:r>
          </w:p>
        </w:tc>
      </w:tr>
      <w:tr>
        <w:tc>
          <w:tcPr>
            <w:tcW w:type="dxa" w:w="446"/>
            <w:tcMar>
              <w:top w:type="dxa" w:w="60"/>
              <w:left w:type="dxa" w:w="90"/>
              <w:bottom w:type="dxa" w:w="60"/>
              <w:right w:type="dxa" w:w="90"/>
            </w:tcMar>
          </w:tcPr>
          <w:p>
            <w:r>
              <w:rPr>
                <w:b w:val="false"/>
                <w:bCs w:val="false"/>
                <w:sz w:val="18"/>
                <w:szCs w:val="18"/>
              </w:rPr>
              <w:t xml:space="preserve">1</w:t>
            </w:r>
          </w:p>
        </w:tc>
        <w:tc>
          <w:tcPr>
            <w:tcW w:type="dxa" w:w="6240"/>
            <w:tcMar>
              <w:top w:type="dxa" w:w="60"/>
              <w:left w:type="dxa" w:w="90"/>
              <w:bottom w:type="dxa" w:w="60"/>
              <w:right w:type="dxa" w:w="90"/>
            </w:tcMar>
          </w:tcPr>
          <w:p>
            <w:r>
              <w:rPr>
                <w:b w:val="false"/>
                <w:bCs w:val="false"/>
                <w:sz w:val="18"/>
                <w:szCs w:val="18"/>
              </w:rPr>
              <w:t xml:space="preserve">single-channel EEG automatic slow wave sleep N3 detection deep learning external validation</w:t>
            </w:r>
          </w:p>
        </w:tc>
        <w:tc>
          <w:tcPr>
            <w:tcW w:type="dxa" w:w="2674"/>
            <w:tcMar>
              <w:top w:type="dxa" w:w="60"/>
              <w:left w:type="dxa" w:w="90"/>
              <w:bottom w:type="dxa" w:w="60"/>
              <w:right w:type="dxa" w:w="90"/>
            </w:tcMar>
          </w:tcPr>
          <w:p>
            <w:r>
              <w:rPr>
                <w:b w:val="false"/>
                <w:bCs w:val="false"/>
                <w:sz w:val="18"/>
                <w:szCs w:val="18"/>
              </w:rPr>
              <w:t xml:space="preserve">Prior N3/staging work</w:t>
            </w:r>
          </w:p>
        </w:tc>
      </w:tr>
      <w:tr>
        <w:tc>
          <w:tcPr>
            <w:tcW w:type="dxa" w:w="446"/>
            <w:tcMar>
              <w:top w:type="dxa" w:w="60"/>
              <w:left w:type="dxa" w:w="90"/>
              <w:bottom w:type="dxa" w:w="60"/>
              <w:right w:type="dxa" w:w="90"/>
            </w:tcMar>
          </w:tcPr>
          <w:p>
            <w:r>
              <w:rPr>
                <w:b w:val="false"/>
                <w:bCs w:val="false"/>
                <w:sz w:val="18"/>
                <w:szCs w:val="18"/>
              </w:rPr>
              <w:t xml:space="preserve">2</w:t>
            </w:r>
          </w:p>
        </w:tc>
        <w:tc>
          <w:tcPr>
            <w:tcW w:type="dxa" w:w="6240"/>
            <w:tcMar>
              <w:top w:type="dxa" w:w="60"/>
              <w:left w:type="dxa" w:w="90"/>
              <w:bottom w:type="dxa" w:w="60"/>
              <w:right w:type="dxa" w:w="90"/>
            </w:tcMar>
          </w:tcPr>
          <w:p>
            <w:r>
              <w:rPr>
                <w:b w:val="false"/>
                <w:bCs w:val="false"/>
                <w:sz w:val="18"/>
                <w:szCs w:val="18"/>
              </w:rPr>
              <w:t xml:space="preserve">slow wave activity intensity within N3 continuous sleep depth index EEG</w:t>
            </w:r>
          </w:p>
        </w:tc>
        <w:tc>
          <w:tcPr>
            <w:tcW w:type="dxa" w:w="2674"/>
            <w:tcMar>
              <w:top w:type="dxa" w:w="60"/>
              <w:left w:type="dxa" w:w="90"/>
              <w:bottom w:type="dxa" w:w="60"/>
              <w:right w:type="dxa" w:w="90"/>
            </w:tcMar>
          </w:tcPr>
          <w:p>
            <w:r>
              <w:rPr>
                <w:b w:val="false"/>
                <w:bCs w:val="false"/>
                <w:sz w:val="18"/>
                <w:szCs w:val="18"/>
              </w:rPr>
              <w:t xml:space="preserve">Within-N3 intensity, SWA metrics</w:t>
            </w:r>
          </w:p>
        </w:tc>
      </w:tr>
      <w:tr>
        <w:tc>
          <w:tcPr>
            <w:tcW w:type="dxa" w:w="446"/>
            <w:tcMar>
              <w:top w:type="dxa" w:w="60"/>
              <w:left w:type="dxa" w:w="90"/>
              <w:bottom w:type="dxa" w:w="60"/>
              <w:right w:type="dxa" w:w="90"/>
            </w:tcMar>
          </w:tcPr>
          <w:p>
            <w:r>
              <w:rPr>
                <w:b w:val="false"/>
                <w:bCs w:val="false"/>
                <w:sz w:val="18"/>
                <w:szCs w:val="18"/>
              </w:rPr>
              <w:t xml:space="preserve">3</w:t>
            </w:r>
          </w:p>
        </w:tc>
        <w:tc>
          <w:tcPr>
            <w:tcW w:type="dxa" w:w="6240"/>
            <w:tcMar>
              <w:top w:type="dxa" w:w="60"/>
              <w:left w:type="dxa" w:w="90"/>
              <w:bottom w:type="dxa" w:w="60"/>
              <w:right w:type="dxa" w:w="90"/>
            </w:tcMar>
          </w:tcPr>
          <w:p>
            <w:r>
              <w:rPr>
                <w:b w:val="false"/>
                <w:bCs w:val="false"/>
                <w:sz w:val="18"/>
                <w:szCs w:val="18"/>
              </w:rPr>
              <w:t xml:space="preserve">continuous sleep depth index deep learning polysomnography beyond sleep stages</w:t>
            </w:r>
          </w:p>
        </w:tc>
        <w:tc>
          <w:tcPr>
            <w:tcW w:type="dxa" w:w="2674"/>
            <w:tcMar>
              <w:top w:type="dxa" w:w="60"/>
              <w:left w:type="dxa" w:w="90"/>
              <w:bottom w:type="dxa" w:w="60"/>
              <w:right w:type="dxa" w:w="90"/>
            </w:tcMar>
          </w:tcPr>
          <w:p>
            <w:r>
              <w:rPr>
                <w:b w:val="false"/>
                <w:bCs w:val="false"/>
                <w:sz w:val="18"/>
                <w:szCs w:val="18"/>
              </w:rPr>
              <w:t xml:space="preserve">Novelty threats (OSD, SDI, Metzner)</w:t>
            </w:r>
          </w:p>
        </w:tc>
      </w:tr>
      <w:tr>
        <w:tc>
          <w:tcPr>
            <w:tcW w:type="dxa" w:w="446"/>
            <w:tcMar>
              <w:top w:type="dxa" w:w="60"/>
              <w:left w:type="dxa" w:w="90"/>
              <w:bottom w:type="dxa" w:w="60"/>
              <w:right w:type="dxa" w:w="90"/>
            </w:tcMar>
          </w:tcPr>
          <w:p>
            <w:r>
              <w:rPr>
                <w:b w:val="false"/>
                <w:bCs w:val="false"/>
                <w:sz w:val="18"/>
                <w:szCs w:val="18"/>
              </w:rPr>
              <w:t xml:space="preserve">4</w:t>
            </w:r>
          </w:p>
        </w:tc>
        <w:tc>
          <w:tcPr>
            <w:tcW w:type="dxa" w:w="6240"/>
            <w:tcMar>
              <w:top w:type="dxa" w:w="60"/>
              <w:left w:type="dxa" w:w="90"/>
              <w:bottom w:type="dxa" w:w="60"/>
              <w:right w:type="dxa" w:w="90"/>
            </w:tcMar>
          </w:tcPr>
          <w:p>
            <w:r>
              <w:rPr>
                <w:b w:val="false"/>
                <w:bCs w:val="false"/>
                <w:sz w:val="18"/>
                <w:szCs w:val="18"/>
              </w:rPr>
              <w:t xml:space="preserve">single-channel EEG sleep staging generalization unseen datasets domain shift (J-BHI preferred)</w:t>
            </w:r>
          </w:p>
        </w:tc>
        <w:tc>
          <w:tcPr>
            <w:tcW w:type="dxa" w:w="2674"/>
            <w:tcMar>
              <w:top w:type="dxa" w:w="60"/>
              <w:left w:type="dxa" w:w="90"/>
              <w:bottom w:type="dxa" w:w="60"/>
              <w:right w:type="dxa" w:w="90"/>
            </w:tcMar>
          </w:tcPr>
          <w:p>
            <w:r>
              <w:rPr>
                <w:b w:val="false"/>
                <w:bCs w:val="false"/>
                <w:sz w:val="18"/>
                <w:szCs w:val="18"/>
              </w:rPr>
              <w:t xml:space="preserve">J-BHI comparators</w:t>
            </w:r>
          </w:p>
        </w:tc>
      </w:tr>
    </w:tbl>
    <w:p>
      <w:pPr>
        <w:spacing w:after="120"/>
      </w:pPr>
      <w:r>
        <w:rPr>
          <w:b/>
          <w:bCs/>
        </w:rPr>
        <w:t xml:space="preserve">Limitations of this review: </w:t>
      </w:r>
      <w:r>
        <w:t xml:space="preserve">no written v2 manuscript, so word counts, figure quality, abstract and citation accuracy could not be checked. The peer-reviewer skill's reference files (rubric, checklists, report template) were not installed; the TRIPOD+AI items were taken from the published guideline structure as known to the reviewer. Consensus returned at most 10 results per query (free tier); the literature audit is indicative, not systematic. The v2.1 analyses are not yet run, so comments that depend on them state what to report, not what will be found.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Simulated review, not an editorial decision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7q6x9v9s-g3gz2_akrch" Type="http://schemas.openxmlformats.org/officeDocument/2006/relationships/hyperlink" Target="https://consensus.app/papers/details/f3694d07fd695554a4c1dee309365c9a/?utm_source=claude_desktop" TargetMode="External"/><Relationship Id="rId0o1bm5tvm9uo8fnii-3pv" Type="http://schemas.openxmlformats.org/officeDocument/2006/relationships/hyperlink" Target="https://consensus.app/papers/details/6c7057d929b25c13937618b3665253ee/?utm_source=claude_desktop" TargetMode="External"/><Relationship Id="rIdcf-2d3fyqq0er3ccglkwo" Type="http://schemas.openxmlformats.org/officeDocument/2006/relationships/hyperlink" Target="https://consensus.app/papers/details/9cdedf25802a508a8571b465a8a16a6f/?utm_source=claude_desktop" TargetMode="External"/><Relationship Id="rIdsi7enyyz6e14nmqq9no4o" Type="http://schemas.openxmlformats.org/officeDocument/2006/relationships/hyperlink" Target="https://consensus.app/papers/details/42c126d49f4555409e7f539280fb7ad0/?utm_source=claude_desktop" TargetMode="External"/><Relationship Id="rIdmcftmjwwqcllp6qu91mof" Type="http://schemas.openxmlformats.org/officeDocument/2006/relationships/hyperlink" Target="https://consensus.app/papers/details/e94c11b344d1598d9d226f99eccbdec9/?utm_source=claude_desktop" TargetMode="External"/><Relationship Id="rIdyjyik4gpeusu13dhuy10c" Type="http://schemas.openxmlformats.org/officeDocument/2006/relationships/hyperlink" Target="https://consensus.app/papers/details/a422a70e2ba157ec972d546391f12103/?utm_source=claude_desktop" TargetMode="External"/><Relationship Id="rIdftl17k7_xrf3kdtcmoz5y" Type="http://schemas.openxmlformats.org/officeDocument/2006/relationships/hyperlink" Target="https://consensus.app/papers/details/f3694d07fd695554a4c1dee309365c9a/?utm_source=claude_desktop" TargetMode="External"/><Relationship Id="rIdw-iw831lo2juibpha9zvf" Type="http://schemas.openxmlformats.org/officeDocument/2006/relationships/hyperlink" Target="https://consensus.app/papers/details/9cdedf25802a508a8571b465a8a16a6f/?utm_source=claude_desktop" TargetMode="External"/><Relationship Id="rIdgf1adzngpfspsusgbr2ke" Type="http://schemas.openxmlformats.org/officeDocument/2006/relationships/hyperlink" Target="https://consensus.app/papers/details/6c7057d929b25c13937618b3665253ee/?utm_source=claude_desktop" TargetMode="External"/><Relationship Id="rIdjx-m2dindyp1ntw-r_8qq" Type="http://schemas.openxmlformats.org/officeDocument/2006/relationships/hyperlink" Target="https://consensus.app/papers/details/3befc9143b0d570d9a0c6d6227ed428d/?utm_source=claude_desktop" TargetMode="External"/><Relationship Id="rId66h3b2s9boai778wdpjzc" Type="http://schemas.openxmlformats.org/officeDocument/2006/relationships/hyperlink" Target="https://consensus.app/papers/details/ea4efd5781305c6a81419c3298ca65e9/?utm_source=claude_desktop" TargetMode="External"/><Relationship Id="rIdgwwo-tpfn-m1d-u6mv8qm" Type="http://schemas.openxmlformats.org/officeDocument/2006/relationships/hyperlink" Target="https://consensus.app/papers/details/087361a5c98b5a759e59adc67512e8d9/?utm_source=claude_desktop" TargetMode="External"/><Relationship Id="rId6-nw467cijl8rmviy15xm" Type="http://schemas.openxmlformats.org/officeDocument/2006/relationships/hyperlink" Target="https://consensus.app/papers/details/fbd61ef4bef552c5b1d7df923586e79f/?utm_source=claude_desktop" TargetMode="External"/><Relationship Id="rIddxqlxhlx9j9irmfftljyj" Type="http://schemas.openxmlformats.org/officeDocument/2006/relationships/hyperlink" Target="https://consensus.app/papers/details/273efe6b18f15407904203b99c418a97/?utm_source=claude_desktop" TargetMode="External"/><Relationship Id="rIdqvprcx7bu3dmi_ifu4dlt" Type="http://schemas.openxmlformats.org/officeDocument/2006/relationships/hyperlink" Target="https://consensus.app/papers/details/1e40f910b8ed50a9b9bf9d124ee13272/?utm_source=claude_desktop" TargetMode="External"/><Relationship Id="rIdrx66rpl4c_sq2s0yfaj8v" Type="http://schemas.openxmlformats.org/officeDocument/2006/relationships/hyperlink" Target="https://consensus.app/papers/details/51c1f1236a99546f8f94fb79e4cdbc8b/?utm_source=claude_desktop" TargetMode="External"/><Relationship Id="rIdnrr_nsv-jqas9kdzugpes" Type="http://schemas.openxmlformats.org/officeDocument/2006/relationships/hyperlink" Target="https://consensus.app/papers/details/20bedf334680538bacdee9ae969ce752/?utm_source=claude_desktop" TargetMode="External"/><Relationship Id="rIdwx0qv-3zqqkxnbgydx2y4" Type="http://schemas.openxmlformats.org/officeDocument/2006/relationships/hyperlink" Target="https://www.embs.org/jbhi/prepare-and-submit-your-manuscript/" TargetMode="External"/><Relationship Id="rIdgsmq2dn8gptnke9c-bjnc" Type="http://schemas.openxmlformats.org/officeDocument/2006/relationships/hyperlink" Target="https://www.embs.org/jbhi/prepare-and-submit-your-manuscript/"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2026-10-30T15:39:34.646Z</dcterms:created>
  <dcterms:modified xsi:type="dcterms:W3CDTF">2026-10-30T15:39:34.653Z</dcterms:modified>
</cp:coreProperties>
</file>

<file path=docProps/custom.xml><?xml version="1.0" encoding="utf-8"?>
<Properties xmlns="http://schemas.openxmlformats.org/officeDocument/2006/custom-properties" xmlns:vt="http://schemas.openxmlformats.org/officeDocument/2006/docPropsVTypes"/>
</file>