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schema TARGET;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TABLE TARGET.EMPLOYEE_DIM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EMP_KEY NUMBER(38,0) AUTOINCREMENT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EMP_ID NUMBER(38,0),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FIRST_NAME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SURNAME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DEPARTMENT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SALARY NUMBER(38,0),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ADDRESS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ZIP_CODE NUMBER(38,0),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CITY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COUNTRY VARCHAR(100),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EMPLOYED_SINCE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MANAGER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END_DATE 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ACTIVE_FLAG VARCHAR(100),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 PK_EMPLOYEE_DIM primary key (EMP_KEY)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TABLE TARGET.STORE_DIM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STORE_KEY NUMBER(38,0) AUTOINCREMENT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STORE_ID NUMBER(38,0),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ADDRESS VARCHAR(100),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ZIP_CODE NUMBER(38,0),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CITY 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COUNTRY VARCHAR(100),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OPENEDSINCE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LAST_REDESIGNED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SELLING_SQUARE_FOOTAGE NUMBER(38,0),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TOTAL_SQUARE_FOOTAGE NUMBER(38,0)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--Fact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or replace TABLE TARGET.SALES_FACT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SALES_KEY NUMBER(38,0) AUTOINCREMENT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PRODUCT_KEY NUMBER(38,0),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EMP_KEY NUMBER(38,0),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SUPPLIER_ID NUMBER(38,0),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STORE_KEY NUMBER(38,0),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SALES_ID NUMBER(38,0),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SELLING_DATE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QUANTITY NUMBER(38,0),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constraint SALES_FACT_PKEY primary key (SALES_KEY)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EfJ/H708HNZjMIvoF+hwW2SCg==">CgMxLjA4AHIhMWZVbjlRTmpBRlVucDVvaUxkLUdScGtBUW1LdEhFNXZG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