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Pr="00247BDC" w:rsidRDefault="00A70031">
            <w:pPr>
              <w:spacing w:after="0" w:line="259" w:lineRule="auto"/>
              <w:ind w:left="0" w:firstLine="0"/>
              <w:rPr>
                <w:lang w:val="nb-NO"/>
              </w:rPr>
            </w:pPr>
            <w:r w:rsidRPr="00247BDC">
              <w:rPr>
                <w:lang w:val="nb-NO"/>
              </w:rPr>
              <w:t>Box 270100</w:t>
            </w:r>
          </w:p>
          <w:p w14:paraId="7ECAFAA7" w14:textId="77777777" w:rsidR="006D265B" w:rsidRPr="00247BDC" w:rsidRDefault="00A70031">
            <w:pPr>
              <w:spacing w:after="0" w:line="259" w:lineRule="auto"/>
              <w:ind w:left="0" w:firstLine="0"/>
              <w:rPr>
                <w:lang w:val="nb-NO"/>
              </w:rPr>
            </w:pPr>
            <w:r w:rsidRPr="00247BDC">
              <w:rPr>
                <w:lang w:val="nb-NO"/>
              </w:rPr>
              <w:t>Rochester</w:t>
            </w:r>
            <w:r w:rsidR="0081157D" w:rsidRPr="00247BDC">
              <w:rPr>
                <w:lang w:val="nb-NO"/>
              </w:rPr>
              <w:t xml:space="preserve">, </w:t>
            </w:r>
            <w:r w:rsidRPr="00247BDC">
              <w:rPr>
                <w:lang w:val="nb-NO"/>
              </w:rPr>
              <w:t>NY 14627</w:t>
            </w:r>
            <w:r w:rsidR="0081157D" w:rsidRPr="00247BDC">
              <w:rPr>
                <w:lang w:val="nb-NO"/>
              </w:rPr>
              <w:t xml:space="preserve"> </w:t>
            </w:r>
          </w:p>
          <w:p w14:paraId="11480362" w14:textId="77777777" w:rsidR="00652C2E" w:rsidRPr="00247BDC" w:rsidRDefault="00000000">
            <w:pPr>
              <w:spacing w:after="0" w:line="259" w:lineRule="auto"/>
              <w:ind w:left="0" w:firstLine="0"/>
              <w:rPr>
                <w:rStyle w:val="Hyperlink"/>
                <w:lang w:val="nb-NO"/>
              </w:rPr>
            </w:pPr>
            <w:hyperlink r:id="rId6" w:history="1">
              <w:r w:rsidR="00376499" w:rsidRPr="00247BDC">
                <w:rPr>
                  <w:rStyle w:val="Hyperlink"/>
                  <w:lang w:val="nb-NO"/>
                </w:rPr>
                <w:t>https://sites.google.com/view/alanmoreira/</w:t>
              </w:r>
            </w:hyperlink>
          </w:p>
          <w:p w14:paraId="4BFEE409" w14:textId="1906052D" w:rsidR="00EA31B2" w:rsidRDefault="00000000">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37E353CB"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5AF013B0" w14:textId="77777777" w:rsidR="00A06314" w:rsidRDefault="00A06314" w:rsidP="00E5407C">
      <w:pPr>
        <w:spacing w:after="0" w:line="259" w:lineRule="auto"/>
        <w:ind w:left="0" w:firstLine="0"/>
      </w:pPr>
    </w:p>
    <w:p w14:paraId="50F0289C" w14:textId="314C65F4" w:rsidR="009B72FE" w:rsidRPr="005A6FC2" w:rsidRDefault="009B72FE" w:rsidP="009B72FE">
      <w:pPr>
        <w:spacing w:after="0" w:line="259" w:lineRule="auto"/>
        <w:ind w:left="-5"/>
      </w:pPr>
      <w:r>
        <w:t>University of Rochester</w:t>
      </w:r>
      <w:r w:rsidRPr="005A6FC2">
        <w:t xml:space="preserve">, </w:t>
      </w:r>
      <w:r>
        <w:t>Simon Graduate School of Business</w:t>
      </w:r>
      <w:r>
        <w:tab/>
        <w:t>2022</w:t>
      </w:r>
      <w:r w:rsidRPr="005A6FC2">
        <w:t xml:space="preserve">- </w:t>
      </w:r>
    </w:p>
    <w:p w14:paraId="2852C788" w14:textId="333AC308" w:rsidR="009B72FE" w:rsidRPr="005A6FC2" w:rsidRDefault="009B72FE" w:rsidP="009B72FE">
      <w:pPr>
        <w:spacing w:after="0" w:line="259" w:lineRule="auto"/>
        <w:ind w:left="-5"/>
      </w:pPr>
      <w:r w:rsidRPr="005A6FC2">
        <w:t>Ass</w:t>
      </w:r>
      <w:r>
        <w:t>ociate</w:t>
      </w:r>
      <w:r w:rsidRPr="005A6FC2">
        <w:t xml:space="preserve"> Professor of Finance</w:t>
      </w:r>
      <w:r>
        <w:t xml:space="preserve"> </w:t>
      </w:r>
      <w:r w:rsidR="00BE75C3">
        <w:t>(with tenure)</w:t>
      </w:r>
    </w:p>
    <w:p w14:paraId="0AE84B4D" w14:textId="77777777" w:rsidR="009B72FE" w:rsidRDefault="009B72FE" w:rsidP="009B72FE">
      <w:pPr>
        <w:spacing w:after="0" w:line="259" w:lineRule="auto"/>
        <w:ind w:left="0" w:firstLine="0"/>
        <w:rPr>
          <w:b/>
        </w:rPr>
      </w:pPr>
    </w:p>
    <w:p w14:paraId="16C600AF" w14:textId="4D2FF201"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r w:rsidR="009B72FE">
        <w:t>2022</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(NBER)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247BDC" w:rsidRDefault="001610D2" w:rsidP="001610D2">
      <w:pPr>
        <w:ind w:left="10"/>
      </w:pPr>
      <w:r w:rsidRPr="00247BDC">
        <w:t xml:space="preserve">Ph. D.  Financial Economics, </w:t>
      </w:r>
      <w:r w:rsidRPr="00247BDC">
        <w:tab/>
      </w:r>
      <w:r w:rsidRPr="00247BDC">
        <w:tab/>
      </w:r>
      <w:r w:rsidRPr="00247BDC">
        <w:tab/>
      </w:r>
      <w:r w:rsidRPr="00247BDC">
        <w:tab/>
      </w:r>
      <w:r w:rsidRPr="00247BDC">
        <w:tab/>
      </w:r>
      <w:r w:rsidRPr="00247BDC">
        <w:tab/>
      </w:r>
      <w:r w:rsidR="00C27A57" w:rsidRPr="00247BDC">
        <w:t>2006-2011</w:t>
      </w:r>
      <w:r w:rsidRPr="00247BDC">
        <w:t xml:space="preserve">  </w:t>
      </w:r>
    </w:p>
    <w:p w14:paraId="24B5CCAF" w14:textId="482FA53A" w:rsidR="001610D2" w:rsidRPr="00247BDC" w:rsidRDefault="00BE75C3" w:rsidP="001610D2">
      <w:pPr>
        <w:tabs>
          <w:tab w:val="center" w:pos="8640"/>
        </w:tabs>
        <w:spacing w:after="0" w:line="259" w:lineRule="auto"/>
        <w:ind w:left="-15" w:firstLine="0"/>
      </w:pPr>
      <w:r w:rsidRPr="00247BDC">
        <w:t>[</w:t>
      </w:r>
      <w:r w:rsidR="00CE7219" w:rsidRPr="00247BDC">
        <w:t>committee</w:t>
      </w:r>
      <w:r w:rsidRPr="00247BDC">
        <w:t>: Douglas Diamond (chair), Lars Hansen, John Heaton, Zhiguo He]</w:t>
      </w:r>
    </w:p>
    <w:p w14:paraId="6CFE4857" w14:textId="77777777" w:rsidR="00BE75C3" w:rsidRPr="00247BDC" w:rsidRDefault="00BE75C3" w:rsidP="001610D2">
      <w:pPr>
        <w:tabs>
          <w:tab w:val="center" w:pos="8640"/>
        </w:tabs>
        <w:spacing w:after="0" w:line="259" w:lineRule="auto"/>
        <w:ind w:left="-15" w:firstLine="0"/>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247BDC" w:rsidRDefault="001610D2" w:rsidP="001610D2">
      <w:pPr>
        <w:ind w:left="10"/>
        <w:rPr>
          <w:lang w:val="pt-BR"/>
        </w:rPr>
      </w:pPr>
      <w:r w:rsidRPr="00247BDC">
        <w:rPr>
          <w:lang w:val="pt-BR"/>
        </w:rPr>
        <w:t xml:space="preserve">M.A. in Economics, </w:t>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00C27A57" w:rsidRPr="00247BDC">
        <w:rPr>
          <w:lang w:val="pt-BR"/>
        </w:rPr>
        <w:t>2004-</w:t>
      </w:r>
      <w:r w:rsidRPr="00247BDC">
        <w:rPr>
          <w:lang w:val="pt-BR"/>
        </w:rPr>
        <w:t xml:space="preserve">2006 </w:t>
      </w:r>
    </w:p>
    <w:p w14:paraId="6EE0E826" w14:textId="77777777" w:rsidR="00C27A57" w:rsidRPr="00247BDC" w:rsidRDefault="00C27A57" w:rsidP="003A3664">
      <w:pPr>
        <w:tabs>
          <w:tab w:val="left" w:pos="6293"/>
        </w:tabs>
        <w:spacing w:after="0" w:line="259" w:lineRule="auto"/>
        <w:ind w:left="0" w:firstLine="0"/>
        <w:rPr>
          <w:lang w:val="pt-BR"/>
        </w:rPr>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rPr>
        <w:t xml:space="preserve"> </w:t>
      </w:r>
    </w:p>
    <w:p w14:paraId="5183A136" w14:textId="6FC70333" w:rsidR="003A3664" w:rsidRDefault="003A3664" w:rsidP="003A3664">
      <w:pPr>
        <w:spacing w:after="0" w:line="259" w:lineRule="auto"/>
        <w:ind w:left="-5"/>
        <w:rPr>
          <w:b/>
        </w:rPr>
      </w:pPr>
    </w:p>
    <w:p w14:paraId="40D2A122" w14:textId="65FF1C36" w:rsidR="00E36901" w:rsidRDefault="00E36901" w:rsidP="003A3664">
      <w:pPr>
        <w:spacing w:after="0" w:line="259" w:lineRule="auto"/>
        <w:ind w:left="-5"/>
        <w:rPr>
          <w:b/>
        </w:rPr>
      </w:pPr>
      <w:r>
        <w:rPr>
          <w:bCs/>
        </w:rPr>
        <w:t>Associate Editor,  Journal of Finance                                                  2024-</w:t>
      </w:r>
    </w:p>
    <w:p w14:paraId="6F642BD1" w14:textId="034E595D" w:rsidR="00E36901" w:rsidRDefault="00E36901" w:rsidP="003A3664">
      <w:pPr>
        <w:spacing w:after="0" w:line="259" w:lineRule="auto"/>
        <w:ind w:left="-5"/>
        <w:rPr>
          <w:b/>
        </w:rPr>
      </w:pPr>
      <w:r>
        <w:rPr>
          <w:bCs/>
        </w:rPr>
        <w:t>Associate Editor,  Journal of Financial Economics                             2024-</w:t>
      </w:r>
    </w:p>
    <w:p w14:paraId="01214738" w14:textId="075123EB" w:rsidR="009B72FE" w:rsidRDefault="009B72FE" w:rsidP="003A3664">
      <w:pPr>
        <w:spacing w:after="0" w:line="259" w:lineRule="auto"/>
        <w:ind w:left="-5"/>
        <w:rPr>
          <w:bCs/>
        </w:rPr>
      </w:pPr>
      <w:r>
        <w:rPr>
          <w:bCs/>
        </w:rPr>
        <w:t>Associate Editor,  Review of Financial Studies                                  2022-</w:t>
      </w:r>
    </w:p>
    <w:p w14:paraId="5B90C658" w14:textId="65A610C4" w:rsidR="003A3664" w:rsidRDefault="003A3664" w:rsidP="003A3664">
      <w:pPr>
        <w:spacing w:after="0" w:line="259" w:lineRule="auto"/>
        <w:ind w:left="-5"/>
        <w:rPr>
          <w:bCs/>
        </w:rPr>
      </w:pPr>
      <w:r>
        <w:rPr>
          <w:bCs/>
        </w:rPr>
        <w:lastRenderedPageBreak/>
        <w:t>Associate Editor, Management Science                                              2021-</w:t>
      </w:r>
      <w:r w:rsidR="00E36901">
        <w:rPr>
          <w:bCs/>
        </w:rPr>
        <w:t>2024</w:t>
      </w:r>
    </w:p>
    <w:p w14:paraId="3F141929" w14:textId="6BF19B11" w:rsidR="009B72FE" w:rsidRPr="003A3664" w:rsidRDefault="009B72FE" w:rsidP="003A3664">
      <w:pPr>
        <w:spacing w:after="0" w:line="259" w:lineRule="auto"/>
        <w:ind w:left="-5"/>
        <w:rPr>
          <w:bCs/>
        </w:rPr>
      </w:pPr>
    </w:p>
    <w:p w14:paraId="6F798390" w14:textId="77777777" w:rsidR="003A3664" w:rsidRDefault="003A3664" w:rsidP="00227C38">
      <w:pPr>
        <w:spacing w:after="0" w:line="259" w:lineRule="auto"/>
        <w:ind w:left="0" w:firstLine="0"/>
        <w:rPr>
          <w:b/>
          <w:u w:val="single" w:color="000000"/>
        </w:rPr>
      </w:pPr>
    </w:p>
    <w:p w14:paraId="6429D9B9" w14:textId="6363C8A2" w:rsidR="00B662A5" w:rsidRPr="00B662A5" w:rsidRDefault="001610D2" w:rsidP="00B662A5">
      <w:pPr>
        <w:spacing w:after="0" w:line="259" w:lineRule="auto"/>
        <w:ind w:left="-5"/>
        <w:rPr>
          <w:b/>
        </w:rPr>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195023F3" w14:textId="680E6E73" w:rsidR="00B662A5" w:rsidRDefault="00B662A5" w:rsidP="001610D2">
      <w:pPr>
        <w:ind w:left="0" w:firstLine="0"/>
      </w:pPr>
      <w:r>
        <w:t>Theory of Finance, PhD,  U of R Simon                                         2022</w:t>
      </w:r>
    </w:p>
    <w:p w14:paraId="0CB0302F" w14:textId="77777777" w:rsidR="00B662A5" w:rsidRDefault="00B662A5" w:rsidP="001610D2">
      <w:pPr>
        <w:ind w:left="0" w:firstLine="0"/>
      </w:pPr>
    </w:p>
    <w:p w14:paraId="76DD43F7" w14:textId="20027506"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000000"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w:t>
      </w:r>
      <w:proofErr w:type="spellStart"/>
      <w:r w:rsidR="00376499">
        <w:t>Manela</w:t>
      </w:r>
      <w:proofErr w:type="spellEnd"/>
      <w:r w:rsidR="00376499">
        <w:t xml:space="preserve">)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000000"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 xml:space="preserve">We build a macro-finance model of shadow banking---the transformation of risky assets into securities that are money-like in quiet times but become illiquid when uncertainty spikes. Shadow banking </w:t>
      </w:r>
      <w:r w:rsidRPr="00C21FCF">
        <w:rPr>
          <w:rStyle w:val="Strong"/>
          <w:b w:val="0"/>
          <w:bCs w:val="0"/>
          <w:sz w:val="20"/>
          <w:szCs w:val="20"/>
        </w:rPr>
        <w:lastRenderedPageBreak/>
        <w:t>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000000"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(joint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and also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000000"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 xml:space="preserve">I build a model in which financial intermediation slows down capital flows. Investors optimally learn from  intermediary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profitability, and choosing one that maximizes the speed at which capital flows. In equilibrium, reaching for yield is stronger among intermediaries with weak opportunities, resulting in a reduction in the informativeness of performance; investors thus take longer to learn, and  capital flows become less responsive to performance. Capital becomes slow-moving because the reach for yield dampens learning. The model predicts capital immobility to be stronger when tail risk is high; when tail risk is </w:t>
      </w:r>
      <w:proofErr w:type="spellStart"/>
      <w:r w:rsidRPr="00E57460">
        <w:rPr>
          <w:rStyle w:val="Strong"/>
          <w:b w:val="0"/>
          <w:bCs w:val="0"/>
          <w:sz w:val="20"/>
          <w:szCs w:val="20"/>
        </w:rPr>
        <w:t>under priced</w:t>
      </w:r>
      <w:proofErr w:type="spellEnd"/>
      <w:r w:rsidRPr="00E57460">
        <w:rPr>
          <w:rStyle w:val="Strong"/>
          <w:b w:val="0"/>
          <w:bCs w:val="0"/>
          <w:sz w:val="20"/>
          <w:szCs w:val="20"/>
        </w:rPr>
        <w:t>;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000000"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 xml:space="preserve">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w:t>
      </w:r>
      <w:r w:rsidRPr="001C65C6">
        <w:rPr>
          <w:rStyle w:val="Strong"/>
          <w:b w:val="0"/>
          <w:sz w:val="20"/>
          <w:szCs w:val="20"/>
        </w:rPr>
        <w:lastRenderedPageBreak/>
        <w:t>bonds. These disruptions disappeared after the Fed announced it would buy corporate bonds. The initial announcement, targeting investment-grade debt only, lowered the spreads of bonds with the most severe 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 xml:space="preserve">ith Bryan Kelly and Asaf </w:t>
      </w:r>
      <w:proofErr w:type="spellStart"/>
      <w:r w:rsidRPr="0028321C">
        <w:rPr>
          <w:color w:val="auto"/>
        </w:rPr>
        <w:t>Manela</w:t>
      </w:r>
      <w:proofErr w:type="spellEnd"/>
      <w:r w:rsidRPr="0028321C">
        <w:rPr>
          <w:color w:val="auto"/>
        </w:rPr>
        <w:t>)</w:t>
      </w:r>
    </w:p>
    <w:p w14:paraId="468988F2" w14:textId="61B7FC07" w:rsidR="00661E34" w:rsidRPr="00661E34" w:rsidRDefault="00661E34" w:rsidP="00661E34">
      <w:pPr>
        <w:spacing w:after="49" w:line="251" w:lineRule="auto"/>
        <w:ind w:left="360" w:firstLine="0"/>
        <w:rPr>
          <w:color w:val="auto"/>
        </w:rPr>
      </w:pPr>
      <w:r w:rsidRPr="00661E34">
        <w:rPr>
          <w:color w:val="auto"/>
        </w:rPr>
        <w:t>Journal of Business &amp; Economic Statistics</w:t>
      </w:r>
      <w:r w:rsidR="00A21C80">
        <w:rPr>
          <w:color w:val="auto"/>
        </w:rPr>
        <w:t>, July 2021</w:t>
      </w:r>
    </w:p>
    <w:p w14:paraId="423B83E2" w14:textId="77777777" w:rsidR="00661E34" w:rsidRDefault="00661E34" w:rsidP="00661E34">
      <w:pPr>
        <w:spacing w:after="49" w:line="251" w:lineRule="auto"/>
        <w:ind w:left="370"/>
        <w:jc w:val="both"/>
        <w:rPr>
          <w:rStyle w:val="Strong"/>
          <w:b w:val="0"/>
          <w:sz w:val="20"/>
          <w:szCs w:val="20"/>
        </w:rPr>
      </w:pPr>
    </w:p>
    <w:p w14:paraId="003F3A7D" w14:textId="5528CF02" w:rsidR="00661E34" w:rsidRDefault="00661E34" w:rsidP="00661E34">
      <w:pPr>
        <w:spacing w:after="49" w:line="251" w:lineRule="auto"/>
        <w:ind w:left="370"/>
        <w:jc w:val="both"/>
        <w:rPr>
          <w:rStyle w:val="Strong"/>
          <w:b w:val="0"/>
          <w:sz w:val="20"/>
          <w:szCs w:val="20"/>
        </w:rPr>
      </w:pPr>
      <w:r w:rsidRPr="00FB0628">
        <w:rPr>
          <w:rStyle w:val="Strong"/>
          <w:b w:val="0"/>
          <w:sz w:val="20"/>
          <w:szCs w:val="20"/>
        </w:rPr>
        <w:t xml:space="preserve">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allows for parallel estimation, making the model highly computationally scalable. We apply our framework to </w:t>
      </w:r>
      <w:proofErr w:type="spellStart"/>
      <w:r w:rsidRPr="00FB0628">
        <w:rPr>
          <w:rStyle w:val="Strong"/>
          <w:b w:val="0"/>
          <w:sz w:val="20"/>
          <w:szCs w:val="20"/>
        </w:rPr>
        <w:t>backcast</w:t>
      </w:r>
      <w:proofErr w:type="spellEnd"/>
      <w:r w:rsidRPr="00FB0628">
        <w:rPr>
          <w:rStyle w:val="Strong"/>
          <w:b w:val="0"/>
          <w:sz w:val="20"/>
          <w:szCs w:val="20"/>
        </w:rPr>
        <w:t>, nowcast, and forecast financial variables using newspaper text, and find that it substantially improves out-of-sample fit relative to alternative state-of-the-art approaches.</w:t>
      </w:r>
    </w:p>
    <w:p w14:paraId="199A5AFE" w14:textId="51A17EE4" w:rsidR="00AB54E1" w:rsidRDefault="00AB54E1" w:rsidP="00661E34">
      <w:pPr>
        <w:spacing w:after="49" w:line="251" w:lineRule="auto"/>
        <w:ind w:left="370"/>
        <w:jc w:val="both"/>
        <w:rPr>
          <w:rStyle w:val="Strong"/>
          <w:b w:val="0"/>
          <w:sz w:val="20"/>
          <w:szCs w:val="20"/>
        </w:rPr>
      </w:pPr>
    </w:p>
    <w:p w14:paraId="49573749" w14:textId="66D30E42" w:rsidR="00AB54E1" w:rsidRPr="00247BDC" w:rsidRDefault="00000000" w:rsidP="00AB54E1">
      <w:pPr>
        <w:numPr>
          <w:ilvl w:val="0"/>
          <w:numId w:val="1"/>
        </w:numPr>
        <w:spacing w:after="49" w:line="251" w:lineRule="auto"/>
        <w:ind w:hanging="360"/>
      </w:pPr>
      <w:hyperlink r:id="rId16" w:tgtFrame="_blank" w:history="1">
        <w:r w:rsidR="00AB54E1" w:rsidRPr="00247BDC">
          <w:rPr>
            <w:color w:val="0000FF"/>
            <w:u w:val="single" w:color="0000FF"/>
          </w:rPr>
          <w:t>Whatever It Takes? The Impact of Conditional Policy Promises </w:t>
        </w:r>
      </w:hyperlink>
      <w:r w:rsidR="00AB54E1">
        <w:rPr>
          <w:color w:val="0000FF"/>
          <w:u w:val="single" w:color="0000FF"/>
        </w:rPr>
        <w:t xml:space="preserve"> </w:t>
      </w:r>
      <w:r w:rsidR="00AB54E1" w:rsidRPr="00247BDC">
        <w:t>(joint with Tyler Muir and Valentin Haddad)</w:t>
      </w:r>
      <w:r w:rsidR="00AB54E1">
        <w:t xml:space="preserve"> (</w:t>
      </w:r>
      <w:r w:rsidR="00F052C2">
        <w:t>forthcoming</w:t>
      </w:r>
      <w:r w:rsidR="00AB54E1">
        <w:t xml:space="preserve"> AER)</w:t>
      </w:r>
    </w:p>
    <w:p w14:paraId="3B8DC8A5" w14:textId="3454A449" w:rsidR="00AB54E1" w:rsidRDefault="00AB54E1" w:rsidP="00661E34">
      <w:pPr>
        <w:spacing w:after="49" w:line="251" w:lineRule="auto"/>
        <w:ind w:left="370"/>
        <w:jc w:val="both"/>
        <w:rPr>
          <w:rStyle w:val="Strong"/>
          <w:b w:val="0"/>
          <w:sz w:val="20"/>
          <w:szCs w:val="20"/>
        </w:rPr>
      </w:pPr>
      <w:r>
        <w:t>At the announcement of a new policy, agents form a view of state-contingent policy actions and impact. We develop a method to estimate this state-contingent perception and implement it for many asset-purchase interventions worldwide. Expectations of larger support in bad states—“policy puts”—explain a large fraction of the announcements’ impact. For example, when the Fed introduced purchases of corporate bonds in March 2020, markets expected five times more price support had conditions worsened relative to the median scenario. Perceived promises of additional support in bad states alter asset prices, risk, and the response to future announcements</w:t>
      </w:r>
    </w:p>
    <w:p w14:paraId="0EB16373" w14:textId="77777777" w:rsidR="00661E34" w:rsidRDefault="00661E34" w:rsidP="00E57460">
      <w:pPr>
        <w:spacing w:after="0" w:line="259" w:lineRule="auto"/>
        <w:ind w:left="-5"/>
        <w:rPr>
          <w:b/>
          <w:u w:val="single" w:color="000000"/>
        </w:rPr>
      </w:pPr>
    </w:p>
    <w:p w14:paraId="55C68C54" w14:textId="1073675A" w:rsidR="00247BDC" w:rsidRDefault="00376499" w:rsidP="00CE16E2">
      <w:pPr>
        <w:spacing w:after="0" w:line="259" w:lineRule="auto"/>
        <w:ind w:left="-5"/>
        <w:rPr>
          <w:b/>
          <w:u w:val="single" w:color="000000"/>
        </w:rPr>
      </w:pPr>
      <w:r>
        <w:rPr>
          <w:b/>
          <w:u w:val="single" w:color="000000"/>
        </w:rPr>
        <w:t>Working papers:</w:t>
      </w:r>
      <w:r w:rsidR="0028321C">
        <w:rPr>
          <w:b/>
          <w:u w:val="single" w:color="000000"/>
        </w:rPr>
        <w:t xml:space="preserve"> </w:t>
      </w:r>
    </w:p>
    <w:p w14:paraId="365092DB" w14:textId="77777777" w:rsidR="00CE16E2" w:rsidRPr="00CE16E2" w:rsidRDefault="00CE16E2" w:rsidP="00CE16E2">
      <w:pPr>
        <w:spacing w:after="0" w:line="259" w:lineRule="auto"/>
        <w:ind w:left="-5"/>
        <w:rPr>
          <w:b/>
          <w:u w:val="single" w:color="000000"/>
        </w:rPr>
      </w:pPr>
    </w:p>
    <w:p w14:paraId="506BE5E9" w14:textId="08378A6F" w:rsidR="00B662A5" w:rsidRDefault="00D52D0C" w:rsidP="00B662A5">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r w:rsidR="00B662A5">
        <w:rPr>
          <w:rFonts w:asciiTheme="majorHAnsi" w:eastAsiaTheme="majorEastAsia" w:hAnsiTheme="majorHAnsi" w:cstheme="majorBidi"/>
          <w:color w:val="auto"/>
          <w:szCs w:val="24"/>
        </w:rPr>
        <w:t xml:space="preserve"> (R&amp;R RFS)</w:t>
      </w:r>
    </w:p>
    <w:p w14:paraId="196882EE" w14:textId="26B6272E" w:rsidR="00B662A5" w:rsidRPr="00B662A5" w:rsidRDefault="00B662A5" w:rsidP="00B662A5">
      <w:pPr>
        <w:spacing w:after="49" w:line="251" w:lineRule="auto"/>
        <w:ind w:left="0" w:firstLine="0"/>
        <w:rPr>
          <w:color w:val="auto"/>
        </w:rPr>
      </w:pP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long short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3A5BF42C" w:rsidR="00FB0628" w:rsidRDefault="00FB0628" w:rsidP="00D52D0C">
      <w:pPr>
        <w:spacing w:after="49" w:line="251" w:lineRule="auto"/>
        <w:ind w:left="370"/>
        <w:rPr>
          <w:rStyle w:val="Strong"/>
          <w:rFonts w:eastAsiaTheme="majorEastAsia"/>
          <w:b w:val="0"/>
          <w:sz w:val="20"/>
          <w:szCs w:val="20"/>
        </w:rPr>
      </w:pPr>
    </w:p>
    <w:p w14:paraId="74B30D81" w14:textId="77777777" w:rsidR="00247BDC" w:rsidRPr="00D52D0C" w:rsidRDefault="00247BDC" w:rsidP="00D52D0C">
      <w:pPr>
        <w:spacing w:after="49" w:line="251" w:lineRule="auto"/>
        <w:ind w:left="370"/>
        <w:rPr>
          <w:rStyle w:val="Strong"/>
          <w:rFonts w:eastAsiaTheme="majorEastAsia"/>
          <w:b w:val="0"/>
          <w:sz w:val="20"/>
          <w:szCs w:val="20"/>
        </w:rPr>
      </w:pPr>
    </w:p>
    <w:p w14:paraId="5583526E" w14:textId="0E2D7910" w:rsidR="00FB0628" w:rsidRPr="00FB0628" w:rsidRDefault="00376499" w:rsidP="00FB0628">
      <w:pPr>
        <w:numPr>
          <w:ilvl w:val="0"/>
          <w:numId w:val="1"/>
        </w:numPr>
        <w:spacing w:after="49" w:line="251" w:lineRule="auto"/>
        <w:ind w:hanging="360"/>
        <w:rPr>
          <w:color w:val="0000FF"/>
          <w:u w:val="single" w:color="0000FF"/>
        </w:rPr>
      </w:pPr>
      <w:r w:rsidRPr="00B662A5">
        <w:t xml:space="preserve">Liquidity </w:t>
      </w:r>
      <w:r w:rsidR="00B662A5">
        <w:t>and Volatility</w:t>
      </w:r>
      <w:r w:rsidR="00AB54E1">
        <w:rPr>
          <w:color w:val="0000FF"/>
          <w:u w:val="single" w:color="0000FF"/>
        </w:rPr>
        <w:t xml:space="preserve"> </w:t>
      </w:r>
      <w:r w:rsidR="0028321C">
        <w:t>(joint w</w:t>
      </w:r>
      <w:r>
        <w:t xml:space="preserve">ith </w:t>
      </w:r>
      <w:r w:rsidRPr="00D52D0C">
        <w:t>Itamar Drechsler</w:t>
      </w:r>
      <w:r>
        <w:t xml:space="preserve"> and </w:t>
      </w:r>
      <w:r w:rsidRPr="00D52D0C">
        <w:t>Alexi Savov</w:t>
      </w:r>
      <w:r>
        <w:t>)</w:t>
      </w:r>
      <w:r w:rsidR="00B662A5">
        <w:t xml:space="preserve"> </w:t>
      </w:r>
      <w:r w:rsidR="00B662A5">
        <w:rPr>
          <w:rFonts w:asciiTheme="majorHAnsi" w:eastAsiaTheme="majorEastAsia" w:hAnsiTheme="majorHAnsi" w:cstheme="majorBidi"/>
          <w:color w:val="auto"/>
          <w:szCs w:val="24"/>
        </w:rPr>
        <w:t>(R&amp;R JFE)</w:t>
      </w:r>
    </w:p>
    <w:p w14:paraId="7E2A7646" w14:textId="77777777" w:rsidR="00E57460" w:rsidRDefault="00E57460" w:rsidP="00FB0628">
      <w:pPr>
        <w:spacing w:after="49" w:line="251" w:lineRule="auto"/>
        <w:ind w:left="360" w:firstLine="0"/>
        <w:rPr>
          <w:rStyle w:val="Strong"/>
          <w:b w:val="0"/>
          <w:sz w:val="20"/>
          <w:szCs w:val="20"/>
        </w:rPr>
      </w:pPr>
    </w:p>
    <w:p w14:paraId="0F24DAF0" w14:textId="018A187C"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29D9ECF8" w14:textId="2864A81C" w:rsidR="00AB54E1" w:rsidRDefault="00AB54E1" w:rsidP="00661E34">
      <w:pPr>
        <w:spacing w:after="49" w:line="251" w:lineRule="auto"/>
        <w:ind w:left="360" w:firstLine="0"/>
        <w:rPr>
          <w:rStyle w:val="Strong"/>
          <w:b w:val="0"/>
          <w:sz w:val="20"/>
          <w:szCs w:val="20"/>
        </w:rPr>
      </w:pPr>
    </w:p>
    <w:p w14:paraId="3891FA20" w14:textId="77777777" w:rsidR="00AB54E1" w:rsidRDefault="00AB54E1" w:rsidP="00661E34">
      <w:pPr>
        <w:spacing w:after="49" w:line="251" w:lineRule="auto"/>
        <w:ind w:left="360" w:firstLine="0"/>
        <w:rPr>
          <w:rStyle w:val="Strong"/>
          <w:b w:val="0"/>
          <w:sz w:val="20"/>
          <w:szCs w:val="20"/>
        </w:rPr>
      </w:pPr>
    </w:p>
    <w:p w14:paraId="5D34FA4C" w14:textId="77777777" w:rsidR="00AB54E1" w:rsidRDefault="00AB54E1" w:rsidP="00AB54E1">
      <w:pPr>
        <w:spacing w:after="49" w:line="251" w:lineRule="auto"/>
        <w:ind w:left="360" w:firstLine="0"/>
      </w:pPr>
    </w:p>
    <w:p w14:paraId="1A737DE5" w14:textId="0F6CBCB8" w:rsidR="00AB54E1" w:rsidRPr="00FB0628" w:rsidRDefault="00AB54E1" w:rsidP="00AB54E1">
      <w:pPr>
        <w:numPr>
          <w:ilvl w:val="0"/>
          <w:numId w:val="1"/>
        </w:numPr>
        <w:spacing w:after="49" w:line="251" w:lineRule="auto"/>
        <w:ind w:hanging="360"/>
        <w:rPr>
          <w:color w:val="0000FF"/>
          <w:u w:val="single" w:color="0000FF"/>
        </w:rPr>
      </w:pPr>
      <w:r>
        <w:t xml:space="preserve">Asset Purchase Rules: How QE Transformed the Bond Market </w:t>
      </w:r>
      <w:r w:rsidRPr="00AB54E1">
        <w:t xml:space="preserve">( with Tyler Muir and Valentin Haddad) </w:t>
      </w:r>
    </w:p>
    <w:p w14:paraId="5BB16EDD" w14:textId="77777777" w:rsidR="00AB54E1" w:rsidRDefault="00AB54E1" w:rsidP="00AB54E1">
      <w:pPr>
        <w:spacing w:after="49" w:line="251" w:lineRule="auto"/>
        <w:ind w:left="360" w:firstLine="0"/>
        <w:rPr>
          <w:rStyle w:val="Strong"/>
          <w:b w:val="0"/>
          <w:sz w:val="20"/>
          <w:szCs w:val="20"/>
        </w:rPr>
      </w:pPr>
    </w:p>
    <w:p w14:paraId="14929319" w14:textId="366AF35A" w:rsidR="00FB0628" w:rsidRPr="00FB0628" w:rsidRDefault="00AB54E1" w:rsidP="00FB0628">
      <w:pPr>
        <w:spacing w:after="49" w:line="251" w:lineRule="auto"/>
        <w:ind w:left="360" w:firstLine="0"/>
        <w:rPr>
          <w:color w:val="0000FF"/>
          <w:u w:val="single" w:color="0000FF"/>
        </w:rPr>
      </w:pPr>
      <w:r>
        <w:rPr>
          <w:bCs/>
          <w:noProof/>
          <w:sz w:val="20"/>
          <w:szCs w:val="20"/>
        </w:rPr>
        <mc:AlternateContent>
          <mc:Choice Requires="wpi">
            <w:drawing>
              <wp:anchor distT="0" distB="0" distL="114300" distR="114300" simplePos="0" relativeHeight="251659264" behindDoc="0" locked="0" layoutInCell="1" allowOverlap="1" wp14:anchorId="40068BDA" wp14:editId="40767F76">
                <wp:simplePos x="0" y="0"/>
                <wp:positionH relativeFrom="column">
                  <wp:posOffset>6504594</wp:posOffset>
                </wp:positionH>
                <wp:positionV relativeFrom="paragraph">
                  <wp:posOffset>384189</wp:posOffset>
                </wp:positionV>
                <wp:extent cx="15120" cy="23400"/>
                <wp:effectExtent l="38100" t="38100" r="42545" b="34290"/>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5120" cy="23400"/>
                      </w14:xfrm>
                    </w14:contentPart>
                  </a:graphicData>
                </a:graphic>
              </wp:anchor>
            </w:drawing>
          </mc:Choice>
          <mc:Fallback>
            <w:pict>
              <v:shapetype w14:anchorId="72849F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11.8pt;margin-top:29.9pt;width:1.9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">
                <v:imagedata r:id="rId18" o:title=""/>
              </v:shape>
            </w:pict>
          </mc:Fallback>
        </mc:AlternateContent>
      </w:r>
      <w:r w:rsidRPr="00AB54E1">
        <w:rPr>
          <w:rStyle w:val="Strong"/>
          <w:b w:val="0"/>
          <w:sz w:val="20"/>
          <w:szCs w:val="20"/>
        </w:rPr>
        <w:t>We argue that quantitative easing (QE) and tightening policies constitute a dynamic state-contingent plan instead of a succession of independent interventions. This view changes the main reason QE is effective by adding an insurance channel to the static effect of absorbing bond supply in a given period. QE purchases occur in bad economic states (e.g., 2008-2009 or 2020) when the supply of government debt increases. Increasing long-term bond prices in bad economic states increases their safety, driving up their value and thus lowering ex-ante yields. We estimate that this insurance channel alone lowers long-term bond yields by 75-100 bps. This channel explains the prevalence of low long-term yields, low term premia, and low yield volatility since the introduction of QE, despite the sharp increase in net government debt supply. Consistent with a state-contingent channel, implied volatilities of long-duration risk-free securities fall substantially on QE announcements, even for options with maturities out to 10 years. We calibrate a policy rule for asset purchases to their historical path and include it in a quantitative term structure model. In the model, state-contingent QE offsets term premia fluctuations in long-term bonds. The insurance effect from this channel lowers long-term Treasury yields by 75bps ex-ante, which explains about 75% of the total effect of QE on yields. The calibrated model matches both broad patterns in bond yields and the response to QE announcements.</w:t>
      </w: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000000" w:rsidP="00376499">
      <w:pPr>
        <w:numPr>
          <w:ilvl w:val="0"/>
          <w:numId w:val="1"/>
        </w:numPr>
        <w:spacing w:after="49" w:line="251" w:lineRule="auto"/>
        <w:ind w:hanging="360"/>
        <w:rPr>
          <w:color w:val="0000FF"/>
          <w:u w:val="single" w:color="0000FF"/>
        </w:rPr>
      </w:pPr>
      <w:hyperlink r:id="rId19"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t>T</w:t>
      </w:r>
      <w:r w:rsidRPr="00CD3150">
        <w:rPr>
          <w:rStyle w:val="Strong"/>
          <w:b w:val="0"/>
          <w:bCs w:val="0"/>
          <w:color w:val="000000"/>
          <w:sz w:val="16"/>
          <w:szCs w:val="16"/>
        </w:rPr>
        <w:t>his subsumes an earlier working paper called "</w:t>
      </w:r>
      <w:hyperlink r:id="rId20"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000000" w:rsidP="00376499">
      <w:pPr>
        <w:numPr>
          <w:ilvl w:val="0"/>
          <w:numId w:val="1"/>
        </w:numPr>
        <w:spacing w:after="4" w:line="251" w:lineRule="auto"/>
        <w:ind w:hanging="360"/>
      </w:pPr>
      <w:hyperlink r:id="rId21"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w:t>
      </w:r>
      <w:proofErr w:type="spellStart"/>
      <w:r w:rsidR="00376499">
        <w:t>Sovich</w:t>
      </w:r>
      <w:proofErr w:type="spellEnd"/>
      <w:r w:rsidR="00376499">
        <w:t>)</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 xml:space="preserve">We study the problem of an investor that allocates analysts to assets to learn about future asset values. We show that when analysts are better at relative rather than absolute asset valuations the optimal matching of analysts to assets displays a </w:t>
      </w:r>
      <w:proofErr w:type="spellStart"/>
      <w:r w:rsidRPr="00D52D0C">
        <w:rPr>
          <w:rStyle w:val="Strong"/>
          <w:b w:val="0"/>
          <w:bCs w:val="0"/>
          <w:sz w:val="20"/>
          <w:szCs w:val="20"/>
        </w:rPr>
        <w:t>balancedness</w:t>
      </w:r>
      <w:proofErr w:type="spellEnd"/>
      <w:r w:rsidRPr="00D52D0C">
        <w:rPr>
          <w:rStyle w:val="Strong"/>
          <w:b w:val="0"/>
          <w:bCs w:val="0"/>
          <w:sz w:val="20"/>
          <w:szCs w:val="20"/>
        </w:rPr>
        <w:t xml:space="preserve">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firms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t>Conferences presentations</w:t>
      </w:r>
      <w:r w:rsidR="009A71C1">
        <w:rPr>
          <w:b/>
          <w:u w:val="single" w:color="000000"/>
        </w:rPr>
        <w:t xml:space="preserve"> </w:t>
      </w:r>
    </w:p>
    <w:p w14:paraId="18A715E7" w14:textId="7D341575" w:rsidR="009A71C1" w:rsidRDefault="00B662A5" w:rsidP="00376499">
      <w:pPr>
        <w:spacing w:after="0" w:line="259" w:lineRule="auto"/>
        <w:ind w:left="-5"/>
        <w:rPr>
          <w:b/>
          <w:u w:val="single" w:color="000000"/>
        </w:rPr>
      </w:pPr>
      <w:r>
        <w:rPr>
          <w:b/>
          <w:u w:val="single" w:color="000000"/>
        </w:rPr>
        <w:t xml:space="preserve">  </w:t>
      </w: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4506B73E" w14:textId="11DAE339" w:rsidR="00247BDC" w:rsidRDefault="00247BDC" w:rsidP="006B2953">
            <w:pPr>
              <w:spacing w:after="0" w:line="259" w:lineRule="auto"/>
              <w:ind w:left="0" w:firstLine="0"/>
              <w:rPr>
                <w:b/>
              </w:rPr>
            </w:pPr>
            <w:r>
              <w:rPr>
                <w:b/>
              </w:rPr>
              <w:t>2024</w:t>
            </w:r>
          </w:p>
          <w:p w14:paraId="7A9DF2D9" w14:textId="77777777" w:rsidR="006644E0" w:rsidRDefault="006644E0" w:rsidP="006B2953">
            <w:pPr>
              <w:spacing w:after="0" w:line="259" w:lineRule="auto"/>
              <w:ind w:left="0" w:firstLine="0"/>
              <w:rPr>
                <w:b/>
              </w:rPr>
            </w:pPr>
          </w:p>
          <w:p w14:paraId="6BF13E2F" w14:textId="4EE67832" w:rsidR="00B662A5" w:rsidRDefault="00B662A5" w:rsidP="006B2953">
            <w:pPr>
              <w:spacing w:after="0" w:line="259" w:lineRule="auto"/>
              <w:ind w:left="0" w:firstLine="0"/>
              <w:rPr>
                <w:b/>
              </w:rPr>
            </w:pPr>
            <w:r>
              <w:rPr>
                <w:b/>
              </w:rPr>
              <w:t>2023</w:t>
            </w:r>
          </w:p>
          <w:p w14:paraId="5B298B85" w14:textId="77777777" w:rsidR="007C01C8" w:rsidRDefault="007C01C8" w:rsidP="006B2953">
            <w:pPr>
              <w:spacing w:after="0" w:line="259" w:lineRule="auto"/>
              <w:ind w:left="0" w:firstLine="0"/>
              <w:rPr>
                <w:b/>
              </w:rPr>
            </w:pPr>
          </w:p>
          <w:p w14:paraId="38FA9C3B" w14:textId="6CABD88C" w:rsidR="007C01C8" w:rsidRDefault="00B662A5" w:rsidP="006B2953">
            <w:pPr>
              <w:spacing w:after="0" w:line="259" w:lineRule="auto"/>
              <w:ind w:left="0" w:firstLine="0"/>
              <w:rPr>
                <w:b/>
              </w:rPr>
            </w:pPr>
            <w:r>
              <w:rPr>
                <w:b/>
              </w:rPr>
              <w:t>2022</w:t>
            </w:r>
          </w:p>
          <w:p w14:paraId="158AC66A" w14:textId="03D5B7D8"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8E33798" w14:textId="77777777" w:rsidR="00EC6696" w:rsidRDefault="00EC6696" w:rsidP="006B2953">
            <w:pPr>
              <w:spacing w:after="0" w:line="259" w:lineRule="auto"/>
              <w:ind w:left="0" w:firstLine="0"/>
              <w:rPr>
                <w:b/>
              </w:rPr>
            </w:pPr>
            <w:r>
              <w:rPr>
                <w:b/>
              </w:rPr>
              <w:t>2019</w:t>
            </w:r>
          </w:p>
          <w:p w14:paraId="5D000E57" w14:textId="1182789D" w:rsidR="00AB6E95" w:rsidRDefault="00AB6E95" w:rsidP="006B2953">
            <w:pPr>
              <w:spacing w:after="0" w:line="259" w:lineRule="auto"/>
              <w:ind w:left="0" w:firstLine="0"/>
              <w:rPr>
                <w:b/>
              </w:rPr>
            </w:pPr>
            <w:r>
              <w:rPr>
                <w:b/>
              </w:rPr>
              <w:t>2018</w:t>
            </w:r>
          </w:p>
        </w:tc>
        <w:tc>
          <w:tcPr>
            <w:tcW w:w="7726" w:type="dxa"/>
            <w:tcBorders>
              <w:top w:val="nil"/>
              <w:left w:val="nil"/>
              <w:bottom w:val="nil"/>
              <w:right w:val="nil"/>
            </w:tcBorders>
          </w:tcPr>
          <w:p w14:paraId="45C977E5" w14:textId="553287CD" w:rsidR="006644E0" w:rsidRDefault="00247BDC" w:rsidP="006B2953">
            <w:pPr>
              <w:spacing w:after="0" w:line="259" w:lineRule="auto"/>
              <w:ind w:left="0" w:firstLine="0"/>
            </w:pPr>
            <w:proofErr w:type="spellStart"/>
            <w:r>
              <w:t>Yiran</w:t>
            </w:r>
            <w:proofErr w:type="spellEnd"/>
            <w:r>
              <w:t xml:space="preserve"> Fan Memorial conference at the University of Chicago</w:t>
            </w:r>
            <w:r w:rsidR="006644E0">
              <w:t>, Bocconi Asset Pricing Conferenc</w:t>
            </w:r>
            <w:r w:rsidR="007B1F2E">
              <w:t xml:space="preserve">e, </w:t>
            </w:r>
            <w:r w:rsidR="00621CDA">
              <w:t xml:space="preserve">NBER SI, </w:t>
            </w:r>
            <w:r w:rsidR="007B1F2E">
              <w:t>UGA Fall Finance Conference</w:t>
            </w:r>
          </w:p>
          <w:p w14:paraId="4DB990A9" w14:textId="5F578C9F" w:rsidR="00B662A5" w:rsidRDefault="00B662A5" w:rsidP="006B2953">
            <w:pPr>
              <w:spacing w:after="0" w:line="259" w:lineRule="auto"/>
              <w:ind w:left="0" w:firstLine="0"/>
            </w:pPr>
            <w:r>
              <w:t>NBER AP, IMF-WIPR, AFA</w:t>
            </w:r>
            <w:r w:rsidR="00ED25CD">
              <w:t>, Jackson Hole Finance conference</w:t>
            </w:r>
            <w:r w:rsidR="007C01C8">
              <w:t xml:space="preserve">, </w:t>
            </w:r>
            <w:proofErr w:type="spellStart"/>
            <w:r w:rsidR="007C01C8">
              <w:t>BiShoF</w:t>
            </w:r>
            <w:proofErr w:type="spellEnd"/>
            <w:r w:rsidR="007C01C8">
              <w:t xml:space="preserve"> conference in Oslo</w:t>
            </w:r>
          </w:p>
          <w:p w14:paraId="7B73E0B0" w14:textId="65217002" w:rsidR="00B662A5" w:rsidRDefault="00B662A5" w:rsidP="006B2953">
            <w:pPr>
              <w:spacing w:after="0" w:line="259" w:lineRule="auto"/>
              <w:ind w:left="0" w:firstLine="0"/>
            </w:pPr>
            <w:r>
              <w:t xml:space="preserve">Macro Finance Society, NBER </w:t>
            </w:r>
            <w:r w:rsidR="00AB6E95">
              <w:t>SI</w:t>
            </w:r>
            <w:r w:rsidR="00ED25CD">
              <w:t xml:space="preserve">, </w:t>
            </w:r>
            <w:r w:rsidR="004A4F56" w:rsidRPr="004A4F56">
              <w:t>CDI 2022 Conference on Derivatives</w:t>
            </w:r>
          </w:p>
          <w:p w14:paraId="4E262611" w14:textId="68389936" w:rsidR="00661E34" w:rsidRPr="00247BDC" w:rsidRDefault="00661E34" w:rsidP="006B2953">
            <w:pPr>
              <w:spacing w:after="0" w:line="259" w:lineRule="auto"/>
              <w:ind w:left="0" w:firstLine="0"/>
              <w:rPr>
                <w:lang w:val="nb-NO"/>
              </w:rPr>
            </w:pPr>
            <w:r w:rsidRPr="00247BDC">
              <w:rPr>
                <w:lang w:val="nb-NO"/>
              </w:rPr>
              <w:t>MFA</w:t>
            </w:r>
            <w:r w:rsidR="00B662A5" w:rsidRPr="00247BDC">
              <w:rPr>
                <w:lang w:val="nb-NO"/>
              </w:rPr>
              <w:t>, AFA</w:t>
            </w:r>
          </w:p>
          <w:p w14:paraId="3FF0DD1C" w14:textId="678A557C" w:rsidR="001C65C6" w:rsidRPr="00247BDC" w:rsidRDefault="00F015A4" w:rsidP="006B2953">
            <w:pPr>
              <w:spacing w:after="0" w:line="259" w:lineRule="auto"/>
              <w:ind w:left="0" w:firstLine="0"/>
              <w:rPr>
                <w:lang w:val="nb-NO"/>
              </w:rPr>
            </w:pPr>
            <w:r w:rsidRPr="00247BDC">
              <w:rPr>
                <w:lang w:val="nb-NO"/>
              </w:rPr>
              <w:t>AFA, NBER AP, NBER RISK, SaMFF</w:t>
            </w:r>
          </w:p>
          <w:p w14:paraId="3DDFEAB7" w14:textId="77777777" w:rsidR="00EC6696" w:rsidRDefault="00EC6696" w:rsidP="006B2953">
            <w:pPr>
              <w:spacing w:after="0" w:line="259" w:lineRule="auto"/>
              <w:ind w:left="0" w:firstLine="0"/>
            </w:pPr>
            <w:r>
              <w:t xml:space="preserve">AFA, WFA, EFA, </w:t>
            </w:r>
            <w:proofErr w:type="spellStart"/>
            <w:r w:rsidR="004E3B8C">
              <w:t>Lubrafin</w:t>
            </w:r>
            <w:proofErr w:type="spellEnd"/>
            <w:r w:rsidR="004E3B8C">
              <w:t>,</w:t>
            </w:r>
            <w:r w:rsidR="00C235D8">
              <w:t xml:space="preserve"> NBER Summer Institute</w:t>
            </w:r>
          </w:p>
          <w:p w14:paraId="66330E1F" w14:textId="523C568E" w:rsidR="00AB6E95" w:rsidRDefault="00AB6E95" w:rsidP="006B2953">
            <w:pPr>
              <w:spacing w:after="0" w:line="259" w:lineRule="auto"/>
              <w:ind w:left="0" w:firstLine="0"/>
            </w:pPr>
            <w:r>
              <w:t xml:space="preserve">AFA, IDC , MFA, EFA, CBOE Derivatives conference, </w:t>
            </w:r>
            <w:proofErr w:type="spellStart"/>
            <w:r>
              <w:t>Insead</w:t>
            </w:r>
            <w:proofErr w:type="spellEnd"/>
            <w:r>
              <w:t xml:space="preserve"> Finance Conference, Duke Asset Pricing conference, NBER Spring, NBER Summer Institute, John Hopkins Finance Conference</w:t>
            </w:r>
          </w:p>
        </w:tc>
      </w:tr>
      <w:tr w:rsidR="00AB6E95" w:rsidRPr="00B907BB" w14:paraId="4EF7049C" w14:textId="77777777" w:rsidTr="006B2953">
        <w:tc>
          <w:tcPr>
            <w:tcW w:w="900" w:type="dxa"/>
            <w:tcBorders>
              <w:top w:val="nil"/>
              <w:left w:val="nil"/>
              <w:bottom w:val="nil"/>
              <w:right w:val="nil"/>
            </w:tcBorders>
          </w:tcPr>
          <w:p w14:paraId="6FFBBB34" w14:textId="74604650" w:rsidR="00AB6E95" w:rsidRDefault="00AB6E95" w:rsidP="00AB6E95">
            <w:pPr>
              <w:spacing w:after="0" w:line="259" w:lineRule="auto"/>
              <w:ind w:left="0" w:firstLine="0"/>
              <w:rPr>
                <w:b/>
              </w:rPr>
            </w:pPr>
            <w:r>
              <w:rPr>
                <w:b/>
              </w:rPr>
              <w:t>2017</w:t>
            </w:r>
          </w:p>
        </w:tc>
        <w:tc>
          <w:tcPr>
            <w:tcW w:w="7726" w:type="dxa"/>
            <w:tcBorders>
              <w:top w:val="nil"/>
              <w:left w:val="nil"/>
              <w:bottom w:val="nil"/>
              <w:right w:val="nil"/>
            </w:tcBorders>
          </w:tcPr>
          <w:p w14:paraId="2749A2CB" w14:textId="62E94F75" w:rsidR="00AB6E95" w:rsidRPr="007F2B7D" w:rsidRDefault="00AB6E95" w:rsidP="00AB6E95">
            <w:pPr>
              <w:spacing w:after="0" w:line="259" w:lineRule="auto"/>
              <w:ind w:left="0" w:firstLine="0"/>
            </w:pPr>
            <w:r>
              <w:t>AFA, SBFIN meeting</w:t>
            </w:r>
          </w:p>
        </w:tc>
      </w:tr>
      <w:tr w:rsidR="00AB6E95" w:rsidRPr="00B907BB" w14:paraId="5EFF409B" w14:textId="77777777" w:rsidTr="006B2953">
        <w:tc>
          <w:tcPr>
            <w:tcW w:w="900" w:type="dxa"/>
            <w:tcBorders>
              <w:top w:val="nil"/>
              <w:left w:val="nil"/>
              <w:bottom w:val="nil"/>
              <w:right w:val="nil"/>
            </w:tcBorders>
          </w:tcPr>
          <w:p w14:paraId="7578BDB8" w14:textId="2C764FD8" w:rsidR="00AB6E95" w:rsidRDefault="00AB6E95" w:rsidP="00AB6E95">
            <w:pPr>
              <w:spacing w:after="0" w:line="259" w:lineRule="auto"/>
              <w:ind w:left="0" w:firstLine="0"/>
              <w:rPr>
                <w:b/>
              </w:rPr>
            </w:pPr>
            <w:r>
              <w:rPr>
                <w:b/>
              </w:rPr>
              <w:t>2016</w:t>
            </w:r>
          </w:p>
        </w:tc>
        <w:tc>
          <w:tcPr>
            <w:tcW w:w="7726" w:type="dxa"/>
            <w:tcBorders>
              <w:top w:val="nil"/>
              <w:left w:val="nil"/>
              <w:bottom w:val="nil"/>
              <w:right w:val="nil"/>
            </w:tcBorders>
          </w:tcPr>
          <w:p w14:paraId="34132F02" w14:textId="2B9A162B" w:rsidR="00AB6E95" w:rsidRPr="00B907BB" w:rsidRDefault="00AB6E95" w:rsidP="00AB6E95">
            <w:pPr>
              <w:spacing w:after="0" w:line="259" w:lineRule="auto"/>
              <w:ind w:left="0" w:firstLine="0"/>
              <w:rPr>
                <w:b/>
              </w:rPr>
            </w:pPr>
            <w:r w:rsidRPr="00295C66">
              <w:t>Jackson Hole</w:t>
            </w:r>
            <w:r>
              <w:t xml:space="preserve">, ASU Finance conference, UBC Winter conference, NBER Developments in Long-term Asset Management, SFS Cavalcade,  FMG Paul Wooley LSE conference, Red Rock, MIT Junior conference, </w:t>
            </w:r>
            <w:proofErr w:type="spellStart"/>
            <w:r>
              <w:t>Brevan</w:t>
            </w:r>
            <w:proofErr w:type="spellEnd"/>
            <w:r>
              <w:t xml:space="preserve"> Howard Hedge Fund conference</w:t>
            </w:r>
          </w:p>
        </w:tc>
      </w:tr>
      <w:tr w:rsidR="00AB6E95"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51E1D0C8" w:rsidR="00AB6E95" w:rsidRDefault="00AB6E95" w:rsidP="00AB6E95">
            <w:pPr>
              <w:spacing w:after="0" w:line="259" w:lineRule="auto"/>
              <w:ind w:left="0" w:firstLine="0"/>
              <w:rPr>
                <w:b/>
              </w:rPr>
            </w:pPr>
            <w:r>
              <w:rPr>
                <w:b/>
              </w:rPr>
              <w:t>2015</w:t>
            </w:r>
          </w:p>
        </w:tc>
        <w:tc>
          <w:tcPr>
            <w:tcW w:w="7726" w:type="dxa"/>
          </w:tcPr>
          <w:p w14:paraId="1FC2AE72" w14:textId="51514138" w:rsidR="00AB6E95" w:rsidRPr="00B907BB" w:rsidRDefault="00AB6E95" w:rsidP="00AB6E95">
            <w:pPr>
              <w:spacing w:after="0" w:line="259" w:lineRule="auto"/>
              <w:ind w:left="0" w:firstLine="0"/>
              <w:rPr>
                <w:b/>
              </w:rPr>
            </w:pPr>
            <w:r w:rsidRPr="00295C66">
              <w:t xml:space="preserve">Colorado, Five Star, Richmond Fed, </w:t>
            </w:r>
            <w:proofErr w:type="spellStart"/>
            <w:r w:rsidRPr="00295C66">
              <w:t>Gerzensee</w:t>
            </w:r>
            <w:proofErr w:type="spellEnd"/>
            <w:r w:rsidRPr="00295C66">
              <w:t xml:space="preserve"> ESSM, Atlanta Fed , Chicago Booth Media conference</w:t>
            </w:r>
            <w:r>
              <w:t>, Bank of England</w:t>
            </w:r>
          </w:p>
        </w:tc>
      </w:tr>
      <w:tr w:rsidR="00AB6E95"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5F137527" w:rsidR="00AB6E95" w:rsidRDefault="00AB6E95" w:rsidP="00AB6E95">
            <w:pPr>
              <w:spacing w:after="0" w:line="259" w:lineRule="auto"/>
              <w:ind w:left="0" w:firstLine="0"/>
              <w:rPr>
                <w:b/>
              </w:rPr>
            </w:pPr>
            <w:r>
              <w:rPr>
                <w:b/>
              </w:rPr>
              <w:t>2014</w:t>
            </w:r>
          </w:p>
        </w:tc>
        <w:tc>
          <w:tcPr>
            <w:tcW w:w="7726" w:type="dxa"/>
          </w:tcPr>
          <w:p w14:paraId="46BE8999" w14:textId="353FD3C4" w:rsidR="00AB6E95" w:rsidRPr="00295C66" w:rsidRDefault="00AB6E95" w:rsidP="00AB6E95">
            <w:pPr>
              <w:spacing w:after="0" w:line="259" w:lineRule="auto"/>
              <w:ind w:left="0" w:firstLine="0"/>
            </w:pPr>
            <w:r>
              <w:t>NBER AP, WFA, Macro Finance Society, NBER Behavioral, AFA, NY FED, TAU, Mad Money Monetary conference, Society of Economic Dynamics, Safe Assets and the Macro economy conference</w:t>
            </w:r>
          </w:p>
        </w:tc>
      </w:tr>
      <w:tr w:rsidR="00AB6E95"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3E285DC2" w:rsidR="00AB6E95" w:rsidRDefault="00AB6E95" w:rsidP="00AB6E95">
            <w:pPr>
              <w:spacing w:after="0" w:line="259" w:lineRule="auto"/>
              <w:ind w:left="0" w:firstLine="0"/>
              <w:rPr>
                <w:b/>
              </w:rPr>
            </w:pPr>
          </w:p>
        </w:tc>
        <w:tc>
          <w:tcPr>
            <w:tcW w:w="7726" w:type="dxa"/>
          </w:tcPr>
          <w:p w14:paraId="4BF39FCF" w14:textId="1B2A221F" w:rsidR="00AB6E95" w:rsidRPr="00295C66" w:rsidRDefault="00AB6E95" w:rsidP="00AB6E95">
            <w:pPr>
              <w:spacing w:after="0" w:line="259" w:lineRule="auto"/>
              <w:ind w:left="0" w:firstLine="0"/>
            </w:pPr>
          </w:p>
        </w:tc>
      </w:tr>
      <w:tr w:rsidR="00AB6E95"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AB6E95" w:rsidRDefault="00AB6E95" w:rsidP="00AB6E95">
            <w:pPr>
              <w:spacing w:after="0" w:line="259" w:lineRule="auto"/>
              <w:ind w:left="0" w:firstLine="0"/>
              <w:rPr>
                <w:b/>
              </w:rPr>
            </w:pPr>
            <w:r>
              <w:rPr>
                <w:b/>
              </w:rPr>
              <w:t>2013</w:t>
            </w:r>
          </w:p>
        </w:tc>
        <w:tc>
          <w:tcPr>
            <w:tcW w:w="7726" w:type="dxa"/>
          </w:tcPr>
          <w:p w14:paraId="3BEB4260" w14:textId="77777777" w:rsidR="00AB6E95" w:rsidRDefault="00AB6E95" w:rsidP="00AB6E95">
            <w:pPr>
              <w:ind w:left="0" w:firstLine="0"/>
            </w:pPr>
            <w:r>
              <w:t xml:space="preserve">SFS cavalcade, Texas Finance Festival, Rothschild Caesarea Center </w:t>
            </w:r>
          </w:p>
          <w:p w14:paraId="4B5E2DA6" w14:textId="77777777" w:rsidR="00AB6E95" w:rsidRPr="001023CE" w:rsidRDefault="00AB6E95" w:rsidP="00AB6E95">
            <w:pPr>
              <w:ind w:left="0" w:firstLine="0"/>
              <w:rPr>
                <w:color w:val="0000FF"/>
                <w:u w:val="single" w:color="0000FF"/>
              </w:rPr>
            </w:pPr>
            <w:r>
              <w:t>Conference, PUC , Kellogg Junior conference, NBER monetary economics</w:t>
            </w:r>
          </w:p>
        </w:tc>
      </w:tr>
      <w:tr w:rsidR="00AB6E95"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AB6E95" w:rsidRDefault="00AB6E95" w:rsidP="00AB6E95">
            <w:pPr>
              <w:spacing w:after="0" w:line="259" w:lineRule="auto"/>
              <w:ind w:left="0" w:firstLine="0"/>
              <w:rPr>
                <w:b/>
              </w:rPr>
            </w:pPr>
            <w:r>
              <w:rPr>
                <w:b/>
              </w:rPr>
              <w:lastRenderedPageBreak/>
              <w:t>2012</w:t>
            </w:r>
          </w:p>
        </w:tc>
        <w:tc>
          <w:tcPr>
            <w:tcW w:w="7726" w:type="dxa"/>
          </w:tcPr>
          <w:p w14:paraId="07865CA5" w14:textId="77777777" w:rsidR="00AB6E95" w:rsidRPr="00295C66" w:rsidRDefault="00AB6E95" w:rsidP="00AB6E95">
            <w:pPr>
              <w:spacing w:after="0" w:line="259" w:lineRule="auto"/>
              <w:ind w:left="0" w:firstLine="0"/>
            </w:pPr>
            <w:r>
              <w:t>BSF</w:t>
            </w:r>
          </w:p>
        </w:tc>
      </w:tr>
      <w:tr w:rsidR="00AB6E95"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AB6E95" w:rsidRDefault="00AB6E95" w:rsidP="00AB6E95">
            <w:pPr>
              <w:spacing w:after="0" w:line="259" w:lineRule="auto"/>
              <w:ind w:left="0" w:firstLine="0"/>
              <w:rPr>
                <w:b/>
              </w:rPr>
            </w:pPr>
            <w:r>
              <w:rPr>
                <w:b/>
              </w:rPr>
              <w:t>2011</w:t>
            </w:r>
          </w:p>
        </w:tc>
        <w:tc>
          <w:tcPr>
            <w:tcW w:w="7726" w:type="dxa"/>
          </w:tcPr>
          <w:p w14:paraId="28BF3D6E" w14:textId="77777777" w:rsidR="00AB6E95" w:rsidRPr="00295C66" w:rsidRDefault="00AB6E95" w:rsidP="00AB6E95">
            <w:pPr>
              <w:spacing w:after="0" w:line="259" w:lineRule="auto"/>
              <w:ind w:left="0" w:firstLine="0"/>
            </w:pPr>
            <w:r>
              <w:t>WFA</w:t>
            </w:r>
          </w:p>
        </w:tc>
      </w:tr>
    </w:tbl>
    <w:p w14:paraId="7D2BF7F9" w14:textId="77777777" w:rsidR="00376499" w:rsidRPr="006666A6" w:rsidRDefault="00376499" w:rsidP="00376499">
      <w:pPr>
        <w:spacing w:after="0" w:line="259" w:lineRule="auto"/>
        <w:ind w:left="-5"/>
        <w:rPr>
          <w:b/>
          <w:sz w:val="22"/>
          <w:szCs w:val="20"/>
        </w:rPr>
      </w:pPr>
      <w:r>
        <w:rPr>
          <w:b/>
        </w:rPr>
        <w:t xml:space="preserve"> </w:t>
      </w:r>
    </w:p>
    <w:p w14:paraId="1AD50E82" w14:textId="2F312D97" w:rsidR="009A71C1" w:rsidRPr="006666A6" w:rsidRDefault="009A71C1" w:rsidP="00376499">
      <w:pPr>
        <w:spacing w:after="0" w:line="259" w:lineRule="auto"/>
        <w:ind w:left="-5"/>
        <w:rPr>
          <w:i/>
          <w:sz w:val="22"/>
          <w:szCs w:val="20"/>
        </w:rPr>
      </w:pPr>
      <w:r w:rsidRPr="006666A6">
        <w:rPr>
          <w:i/>
          <w:sz w:val="22"/>
          <w:szCs w:val="20"/>
        </w:rPr>
        <w:t>(</w:t>
      </w:r>
      <w:r w:rsidR="006666A6" w:rsidRPr="006666A6">
        <w:rPr>
          <w:i/>
          <w:sz w:val="22"/>
          <w:szCs w:val="20"/>
        </w:rPr>
        <w:t>My presentations except NBER talks that also include</w:t>
      </w:r>
      <w:r w:rsidRPr="006666A6">
        <w:rPr>
          <w:i/>
          <w:sz w:val="22"/>
          <w:szCs w:val="20"/>
        </w:rPr>
        <w:t xml:space="preserve"> </w:t>
      </w:r>
      <w:r w:rsidR="006666A6" w:rsidRPr="006666A6">
        <w:rPr>
          <w:i/>
          <w:sz w:val="22"/>
          <w:szCs w:val="20"/>
        </w:rPr>
        <w:t xml:space="preserve">my papers </w:t>
      </w:r>
      <w:r w:rsidRPr="006666A6">
        <w:rPr>
          <w:i/>
          <w:sz w:val="22"/>
          <w:szCs w:val="20"/>
        </w:rPr>
        <w:t>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75294958" w14:textId="208CE38E" w:rsidR="00247BDC" w:rsidRDefault="00247BDC" w:rsidP="006B2953">
            <w:pPr>
              <w:spacing w:after="0" w:line="259" w:lineRule="auto"/>
              <w:ind w:left="0" w:firstLine="0"/>
              <w:rPr>
                <w:b/>
              </w:rPr>
            </w:pPr>
            <w:r>
              <w:rPr>
                <w:b/>
              </w:rPr>
              <w:t>2024</w:t>
            </w:r>
          </w:p>
          <w:p w14:paraId="62C6FCA7" w14:textId="77777777" w:rsidR="00A92203" w:rsidRDefault="00A92203" w:rsidP="006B2953">
            <w:pPr>
              <w:spacing w:after="0" w:line="259" w:lineRule="auto"/>
              <w:ind w:left="0" w:firstLine="0"/>
              <w:rPr>
                <w:b/>
              </w:rPr>
            </w:pPr>
          </w:p>
          <w:p w14:paraId="606778A2" w14:textId="06D76DA2" w:rsidR="00B662A5" w:rsidRDefault="00B662A5" w:rsidP="006B2953">
            <w:pPr>
              <w:spacing w:after="0" w:line="259" w:lineRule="auto"/>
              <w:ind w:left="0" w:firstLine="0"/>
              <w:rPr>
                <w:b/>
              </w:rPr>
            </w:pPr>
            <w:r>
              <w:rPr>
                <w:b/>
              </w:rPr>
              <w:t>2023</w:t>
            </w:r>
          </w:p>
          <w:p w14:paraId="648B8D23" w14:textId="77777777" w:rsidR="001E3075" w:rsidRDefault="001E3075" w:rsidP="006B2953">
            <w:pPr>
              <w:spacing w:after="0" w:line="259" w:lineRule="auto"/>
              <w:ind w:left="0" w:firstLine="0"/>
              <w:rPr>
                <w:b/>
              </w:rPr>
            </w:pPr>
          </w:p>
          <w:p w14:paraId="486AB488" w14:textId="60D4F36D" w:rsidR="00B662A5" w:rsidRDefault="00B662A5" w:rsidP="006B2953">
            <w:pPr>
              <w:spacing w:after="0" w:line="259" w:lineRule="auto"/>
              <w:ind w:left="0" w:firstLine="0"/>
              <w:rPr>
                <w:b/>
              </w:rPr>
            </w:pPr>
            <w:r>
              <w:rPr>
                <w:b/>
              </w:rPr>
              <w:t>2022</w:t>
            </w:r>
          </w:p>
          <w:p w14:paraId="6090B347" w14:textId="34C01823"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3936250" w14:textId="7A6B216A" w:rsidR="00247BDC" w:rsidRDefault="00247BDC" w:rsidP="006B2953">
            <w:pPr>
              <w:spacing w:after="0" w:line="259" w:lineRule="auto"/>
              <w:ind w:left="0" w:firstLine="0"/>
            </w:pPr>
            <w:r>
              <w:t>John Hopkins University</w:t>
            </w:r>
            <w:r w:rsidR="00A21C80">
              <w:t xml:space="preserve">, NYU , Stanford </w:t>
            </w:r>
            <w:r w:rsidR="001F6E52">
              <w:t>, Bank of International Settlements, Fed Board, CKGSB, Tsinghua PBC, SAIF, NYU Shanghai</w:t>
            </w:r>
          </w:p>
          <w:p w14:paraId="195E3746" w14:textId="5802841E" w:rsidR="00B662A5" w:rsidRDefault="00B662A5" w:rsidP="006B2953">
            <w:pPr>
              <w:spacing w:after="0" w:line="259" w:lineRule="auto"/>
              <w:ind w:left="0" w:firstLine="0"/>
            </w:pPr>
            <w:r>
              <w:t>University of Florida, Iowa State University</w:t>
            </w:r>
            <w:r w:rsidR="001E3075">
              <w:t>, University of Amsterdam, Tilburg University</w:t>
            </w:r>
            <w:r w:rsidR="002F5C7E">
              <w:t>, University of Rochester</w:t>
            </w:r>
          </w:p>
          <w:p w14:paraId="392CEC38" w14:textId="7A6C584F" w:rsidR="00B662A5" w:rsidRDefault="00B662A5" w:rsidP="006B2953">
            <w:pPr>
              <w:spacing w:after="0" w:line="259" w:lineRule="auto"/>
              <w:ind w:left="0" w:firstLine="0"/>
            </w:pPr>
            <w:r>
              <w:t>Georgia State University</w:t>
            </w:r>
            <w:r w:rsidR="00ED25CD">
              <w:t>, University of Utah</w:t>
            </w:r>
            <w:r w:rsidR="002F5C7E">
              <w:t>, University of Rochester</w:t>
            </w:r>
          </w:p>
          <w:p w14:paraId="7FFC1576" w14:textId="4F394B10" w:rsidR="00071528" w:rsidRDefault="00071528" w:rsidP="006B2953">
            <w:pPr>
              <w:spacing w:after="0" w:line="259" w:lineRule="auto"/>
              <w:ind w:left="0" w:firstLine="0"/>
            </w:pPr>
            <w:r>
              <w:t>Dartmouth, Blackrock, Texas A&amp;M</w:t>
            </w:r>
            <w:r w:rsidR="00B662A5">
              <w:t>, Cornell</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1F6E52"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6CD33CAE" w:rsidR="00376499" w:rsidRDefault="00ED25CD" w:rsidP="00376499">
      <w:pPr>
        <w:spacing w:after="0" w:line="259" w:lineRule="auto"/>
        <w:ind w:left="-5"/>
        <w:rPr>
          <w:b/>
          <w:u w:val="single" w:color="000000"/>
        </w:rPr>
      </w:pPr>
      <w:r>
        <w:rPr>
          <w:b/>
          <w:u w:val="single" w:color="000000"/>
        </w:rPr>
        <w:t xml:space="preserve"> </w:t>
      </w: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5E57D075" w14:textId="1CEA16EA" w:rsidR="00247BDC" w:rsidRDefault="00247BDC" w:rsidP="006B2953">
            <w:pPr>
              <w:spacing w:after="0" w:line="259" w:lineRule="auto"/>
              <w:ind w:left="0" w:firstLine="0"/>
              <w:rPr>
                <w:b/>
              </w:rPr>
            </w:pPr>
            <w:r>
              <w:rPr>
                <w:b/>
              </w:rPr>
              <w:t>2024</w:t>
            </w:r>
          </w:p>
          <w:p w14:paraId="7FA855C7" w14:textId="77777777" w:rsidR="00247BDC" w:rsidRDefault="00247BDC" w:rsidP="006B2953">
            <w:pPr>
              <w:spacing w:after="0" w:line="259" w:lineRule="auto"/>
              <w:ind w:left="0" w:firstLine="0"/>
              <w:rPr>
                <w:b/>
              </w:rPr>
            </w:pPr>
          </w:p>
          <w:p w14:paraId="4136275A" w14:textId="77777777" w:rsidR="00247BDC" w:rsidRDefault="00247BDC" w:rsidP="006B2953">
            <w:pPr>
              <w:spacing w:after="0" w:line="259" w:lineRule="auto"/>
              <w:ind w:left="0" w:firstLine="0"/>
              <w:rPr>
                <w:b/>
              </w:rPr>
            </w:pPr>
          </w:p>
          <w:p w14:paraId="07D3563C" w14:textId="77777777" w:rsidR="007458D8" w:rsidRDefault="007458D8" w:rsidP="006B2953">
            <w:pPr>
              <w:spacing w:after="0" w:line="259" w:lineRule="auto"/>
              <w:ind w:left="0" w:firstLine="0"/>
              <w:rPr>
                <w:b/>
              </w:rPr>
            </w:pPr>
          </w:p>
          <w:p w14:paraId="007FD889" w14:textId="77777777" w:rsidR="007458D8" w:rsidRDefault="007458D8" w:rsidP="006B2953">
            <w:pPr>
              <w:spacing w:after="0" w:line="259" w:lineRule="auto"/>
              <w:ind w:left="0" w:firstLine="0"/>
              <w:rPr>
                <w:b/>
              </w:rPr>
            </w:pPr>
          </w:p>
          <w:p w14:paraId="39FC03C7" w14:textId="519FF4D1" w:rsidR="00ED25CD" w:rsidRDefault="00ED25CD" w:rsidP="006B2953">
            <w:pPr>
              <w:spacing w:after="0" w:line="259" w:lineRule="auto"/>
              <w:ind w:left="0" w:firstLine="0"/>
              <w:rPr>
                <w:b/>
              </w:rPr>
            </w:pPr>
            <w:r>
              <w:rPr>
                <w:b/>
              </w:rPr>
              <w:t>2023</w:t>
            </w:r>
          </w:p>
          <w:p w14:paraId="63AA1A3E" w14:textId="77777777" w:rsidR="001E3075" w:rsidRDefault="001E3075" w:rsidP="006B2953">
            <w:pPr>
              <w:spacing w:after="0" w:line="259" w:lineRule="auto"/>
              <w:ind w:left="0" w:firstLine="0"/>
              <w:rPr>
                <w:b/>
              </w:rPr>
            </w:pPr>
          </w:p>
          <w:p w14:paraId="78D66D17" w14:textId="77777777" w:rsidR="001E3075" w:rsidRDefault="001E3075" w:rsidP="006B2953">
            <w:pPr>
              <w:spacing w:after="0" w:line="259" w:lineRule="auto"/>
              <w:ind w:left="0" w:firstLine="0"/>
              <w:rPr>
                <w:b/>
              </w:rPr>
            </w:pPr>
          </w:p>
          <w:p w14:paraId="61555048" w14:textId="77777777" w:rsidR="001E3075" w:rsidRDefault="001E3075" w:rsidP="006B2953">
            <w:pPr>
              <w:spacing w:after="0" w:line="259" w:lineRule="auto"/>
              <w:ind w:left="0" w:firstLine="0"/>
              <w:rPr>
                <w:b/>
              </w:rPr>
            </w:pPr>
          </w:p>
          <w:p w14:paraId="4DE415D9" w14:textId="77777777" w:rsidR="00247BDC" w:rsidRDefault="00247BDC" w:rsidP="006B2953">
            <w:pPr>
              <w:spacing w:after="0" w:line="259" w:lineRule="auto"/>
              <w:ind w:left="0" w:firstLine="0"/>
              <w:rPr>
                <w:b/>
              </w:rPr>
            </w:pPr>
          </w:p>
          <w:p w14:paraId="6D78D7A9" w14:textId="77777777" w:rsidR="00247BDC" w:rsidRDefault="00247BDC" w:rsidP="006B2953">
            <w:pPr>
              <w:spacing w:after="0" w:line="259" w:lineRule="auto"/>
              <w:ind w:left="0" w:firstLine="0"/>
              <w:rPr>
                <w:b/>
              </w:rPr>
            </w:pPr>
          </w:p>
          <w:p w14:paraId="3C7F0F6F" w14:textId="77777777" w:rsidR="00247BDC" w:rsidRDefault="00247BDC" w:rsidP="006B2953">
            <w:pPr>
              <w:spacing w:after="0" w:line="259" w:lineRule="auto"/>
              <w:ind w:left="0" w:firstLine="0"/>
              <w:rPr>
                <w:b/>
              </w:rPr>
            </w:pPr>
          </w:p>
          <w:p w14:paraId="5EA22A8A" w14:textId="77777777" w:rsidR="005257AD" w:rsidRDefault="005257AD" w:rsidP="006B2953">
            <w:pPr>
              <w:spacing w:after="0" w:line="259" w:lineRule="auto"/>
              <w:ind w:left="0" w:firstLine="0"/>
              <w:rPr>
                <w:b/>
              </w:rPr>
            </w:pPr>
          </w:p>
          <w:p w14:paraId="50C718B3" w14:textId="77777777" w:rsidR="005257AD" w:rsidRDefault="005257AD" w:rsidP="006B2953">
            <w:pPr>
              <w:spacing w:after="0" w:line="259" w:lineRule="auto"/>
              <w:ind w:left="0" w:firstLine="0"/>
              <w:rPr>
                <w:b/>
              </w:rPr>
            </w:pPr>
          </w:p>
          <w:p w14:paraId="1E4FE222" w14:textId="0E46E4E0" w:rsidR="00ED25CD" w:rsidRDefault="00ED25CD" w:rsidP="006B2953">
            <w:pPr>
              <w:spacing w:after="0" w:line="259" w:lineRule="auto"/>
              <w:ind w:left="0" w:firstLine="0"/>
              <w:rPr>
                <w:b/>
              </w:rPr>
            </w:pPr>
            <w:r>
              <w:rPr>
                <w:b/>
              </w:rPr>
              <w:lastRenderedPageBreak/>
              <w:t>2022</w:t>
            </w:r>
          </w:p>
          <w:p w14:paraId="1181FBB6" w14:textId="77777777" w:rsidR="001E3075" w:rsidRDefault="001E3075" w:rsidP="006B2953">
            <w:pPr>
              <w:spacing w:after="0" w:line="259" w:lineRule="auto"/>
              <w:ind w:left="0" w:firstLine="0"/>
              <w:rPr>
                <w:b/>
              </w:rPr>
            </w:pPr>
          </w:p>
          <w:p w14:paraId="62B6F87C" w14:textId="77777777" w:rsidR="001E3075" w:rsidRDefault="001E3075" w:rsidP="006B2953">
            <w:pPr>
              <w:spacing w:after="0" w:line="259" w:lineRule="auto"/>
              <w:ind w:left="0" w:firstLine="0"/>
              <w:rPr>
                <w:b/>
              </w:rPr>
            </w:pPr>
          </w:p>
          <w:p w14:paraId="3EB723C0" w14:textId="77777777" w:rsidR="001E3075" w:rsidRDefault="001E3075" w:rsidP="006B2953">
            <w:pPr>
              <w:spacing w:after="0" w:line="259" w:lineRule="auto"/>
              <w:ind w:left="0" w:firstLine="0"/>
              <w:rPr>
                <w:b/>
              </w:rPr>
            </w:pPr>
          </w:p>
          <w:p w14:paraId="460BA486" w14:textId="77777777" w:rsidR="001E3075" w:rsidRDefault="001E3075" w:rsidP="006B2953">
            <w:pPr>
              <w:spacing w:after="0" w:line="259" w:lineRule="auto"/>
              <w:ind w:left="0" w:firstLine="0"/>
              <w:rPr>
                <w:b/>
              </w:rPr>
            </w:pPr>
          </w:p>
          <w:p w14:paraId="4F68FA0B" w14:textId="77777777" w:rsidR="001E3075" w:rsidRDefault="001E3075" w:rsidP="006B2953">
            <w:pPr>
              <w:spacing w:after="0" w:line="259" w:lineRule="auto"/>
              <w:ind w:left="0" w:firstLine="0"/>
              <w:rPr>
                <w:b/>
              </w:rPr>
            </w:pPr>
          </w:p>
          <w:p w14:paraId="6C5EE10C" w14:textId="47B39507"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374B9C2B" w14:textId="77777777" w:rsidR="001E3075" w:rsidRDefault="001E3075" w:rsidP="006B2953">
            <w:pPr>
              <w:spacing w:after="0" w:line="259" w:lineRule="auto"/>
              <w:ind w:left="0" w:firstLine="0"/>
              <w:rPr>
                <w:b/>
              </w:rPr>
            </w:pPr>
          </w:p>
          <w:p w14:paraId="49FB811E" w14:textId="77777777" w:rsidR="001E3075" w:rsidRDefault="001E3075" w:rsidP="006B2953">
            <w:pPr>
              <w:spacing w:after="0" w:line="259" w:lineRule="auto"/>
              <w:ind w:left="0" w:firstLine="0"/>
              <w:rPr>
                <w:b/>
              </w:rPr>
            </w:pPr>
          </w:p>
          <w:p w14:paraId="55448B9B" w14:textId="1A0842E8"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7D8C88B6" w14:textId="5AF43993" w:rsidR="007458D8" w:rsidRDefault="007458D8" w:rsidP="00071528">
            <w:pPr>
              <w:spacing w:after="0" w:line="259" w:lineRule="auto"/>
              <w:ind w:left="0" w:firstLine="0"/>
              <w:rPr>
                <w:b/>
                <w:bCs/>
              </w:rPr>
            </w:pPr>
            <w:r>
              <w:rPr>
                <w:b/>
                <w:bCs/>
              </w:rPr>
              <w:lastRenderedPageBreak/>
              <w:t xml:space="preserve">Demand-System Asset Pricing: Theoretical Foundations </w:t>
            </w:r>
            <w:r w:rsidRPr="007458D8">
              <w:t xml:space="preserve">by William Fuchs, Satoshi Fukuda, Daniel </w:t>
            </w:r>
            <w:proofErr w:type="spellStart"/>
            <w:r w:rsidRPr="007458D8">
              <w:t>Neuhman</w:t>
            </w:r>
            <w:proofErr w:type="spellEnd"/>
            <w:r w:rsidR="00A92203">
              <w:t xml:space="preserve"> (WFA)</w:t>
            </w:r>
          </w:p>
          <w:p w14:paraId="074C6AAA" w14:textId="307E6F9C" w:rsidR="00247BDC" w:rsidRDefault="00247BDC" w:rsidP="00071528">
            <w:pPr>
              <w:spacing w:after="0" w:line="259" w:lineRule="auto"/>
              <w:ind w:left="0" w:firstLine="0"/>
              <w:rPr>
                <w:b/>
                <w:bCs/>
              </w:rPr>
            </w:pPr>
            <w:r w:rsidRPr="00247BDC">
              <w:rPr>
                <w:b/>
                <w:bCs/>
              </w:rPr>
              <w:t>Passive Demand and Active Supply: Evidence from Maturity-mandated Corporate Bond Funds</w:t>
            </w:r>
            <w:r>
              <w:rPr>
                <w:b/>
                <w:bCs/>
              </w:rPr>
              <w:t xml:space="preserve"> </w:t>
            </w:r>
            <w:r w:rsidRPr="00247BDC">
              <w:t>by Lorenzo Bretscher, Lukas Schmidt, Tiange Ye</w:t>
            </w:r>
            <w:r>
              <w:t xml:space="preserve"> ( Young Scholar Finance Conference Texas A&amp;M)</w:t>
            </w:r>
          </w:p>
          <w:p w14:paraId="6B5FA22C" w14:textId="55907000" w:rsidR="00247BDC" w:rsidRDefault="00247BDC" w:rsidP="00071528">
            <w:pPr>
              <w:spacing w:after="0" w:line="259" w:lineRule="auto"/>
              <w:ind w:left="0" w:firstLine="0"/>
            </w:pPr>
            <w:r w:rsidRPr="00247BDC">
              <w:rPr>
                <w:b/>
                <w:bCs/>
              </w:rPr>
              <w:t>Almost 200 Years of News-Based Economic Sentiment</w:t>
            </w:r>
            <w:r w:rsidRPr="00247BDC">
              <w:rPr>
                <w:b/>
                <w:bCs/>
              </w:rPr>
              <w:br/>
            </w:r>
            <w:r w:rsidRPr="00247BDC">
              <w:t xml:space="preserve">by J.H. Van Binsbergen , S. Bryzgalova, M. Mukhopadhyay, V. Sharma </w:t>
            </w:r>
            <w:r>
              <w:t xml:space="preserve"> (Macro finance Society </w:t>
            </w:r>
            <w:proofErr w:type="spellStart"/>
            <w:r>
              <w:t>Uchicago</w:t>
            </w:r>
            <w:proofErr w:type="spellEnd"/>
            <w:r>
              <w:t xml:space="preserve"> meeting)</w:t>
            </w:r>
          </w:p>
          <w:p w14:paraId="212594B5" w14:textId="5AD40F16" w:rsidR="00247BDC" w:rsidRDefault="00247BDC" w:rsidP="00071528">
            <w:pPr>
              <w:spacing w:after="0" w:line="259" w:lineRule="auto"/>
              <w:ind w:left="0" w:firstLine="0"/>
              <w:rPr>
                <w:b/>
                <w:bCs/>
              </w:rPr>
            </w:pPr>
            <w:r w:rsidRPr="00247BDC">
              <w:rPr>
                <w:b/>
                <w:bCs/>
              </w:rPr>
              <w:t>Inflation Forecasting from Cross-Sectional Stocks</w:t>
            </w:r>
            <w:r w:rsidRPr="00247BDC">
              <w:rPr>
                <w:b/>
                <w:bCs/>
              </w:rPr>
              <w:br/>
            </w:r>
            <w:r w:rsidRPr="00247BDC">
              <w:t xml:space="preserve">by Claire Yurong Hong, Jun Pan, and </w:t>
            </w:r>
            <w:proofErr w:type="spellStart"/>
            <w:r w:rsidRPr="00247BDC">
              <w:t>Shiwen</w:t>
            </w:r>
            <w:proofErr w:type="spellEnd"/>
            <w:r w:rsidRPr="00247BDC">
              <w:t xml:space="preserve"> Tian</w:t>
            </w:r>
            <w:r>
              <w:t xml:space="preserve"> (Tilburg Finance Summit)</w:t>
            </w:r>
          </w:p>
          <w:p w14:paraId="41412C67" w14:textId="5E61DCC7" w:rsidR="00ED25CD" w:rsidRDefault="001E3075" w:rsidP="00071528">
            <w:pPr>
              <w:spacing w:after="0" w:line="259" w:lineRule="auto"/>
              <w:ind w:left="0" w:firstLine="0"/>
            </w:pPr>
            <w:r>
              <w:rPr>
                <w:b/>
                <w:bCs/>
              </w:rPr>
              <w:t xml:space="preserve">“Intermediary Balance Sheets and the Treasury Yield Curve,” </w:t>
            </w:r>
            <w:r w:rsidRPr="00071528">
              <w:t xml:space="preserve">by </w:t>
            </w:r>
            <w:r>
              <w:t xml:space="preserve">Wenxi Du, </w:t>
            </w:r>
            <w:proofErr w:type="spellStart"/>
            <w:r>
              <w:t>Benjamim</w:t>
            </w:r>
            <w:proofErr w:type="spellEnd"/>
            <w:r>
              <w:t xml:space="preserve"> Hebert, Wenhao Li (NBER LTAM)</w:t>
            </w:r>
          </w:p>
          <w:p w14:paraId="089C84B4" w14:textId="71FD561C" w:rsidR="001E3075" w:rsidRDefault="001E3075" w:rsidP="00071528">
            <w:pPr>
              <w:spacing w:after="0" w:line="259" w:lineRule="auto"/>
              <w:ind w:left="0" w:firstLine="0"/>
            </w:pPr>
            <w:r>
              <w:rPr>
                <w:b/>
                <w:bCs/>
              </w:rPr>
              <w:t xml:space="preserve">“The Secular Decline in Interest Rate and the Rise of Shadow Banks,” </w:t>
            </w:r>
            <w:r w:rsidRPr="00071528">
              <w:t xml:space="preserve">by </w:t>
            </w:r>
            <w:r>
              <w:t xml:space="preserve">Andres </w:t>
            </w:r>
            <w:proofErr w:type="spellStart"/>
            <w:r>
              <w:t>Sarto</w:t>
            </w:r>
            <w:proofErr w:type="spellEnd"/>
            <w:r>
              <w:t xml:space="preserve"> and Olivier Wang</w:t>
            </w:r>
            <w:r w:rsidR="007F5A25">
              <w:t xml:space="preserve"> (UCLA David Backus conference)</w:t>
            </w:r>
          </w:p>
          <w:p w14:paraId="6DBA5B4D" w14:textId="52DBFBBA" w:rsidR="001E3075" w:rsidRPr="001E3075" w:rsidRDefault="001E3075" w:rsidP="001E3075">
            <w:pPr>
              <w:spacing w:after="0" w:line="259" w:lineRule="auto"/>
              <w:ind w:left="0" w:firstLine="0"/>
              <w:rPr>
                <w:b/>
                <w:bCs/>
              </w:rPr>
            </w:pPr>
            <w:r>
              <w:rPr>
                <w:b/>
                <w:bCs/>
              </w:rPr>
              <w:lastRenderedPageBreak/>
              <w:t>“</w:t>
            </w:r>
            <w:r w:rsidRPr="001E3075">
              <w:rPr>
                <w:b/>
                <w:bCs/>
              </w:rPr>
              <w:t>Rational Sentiments and Financial Frictions</w:t>
            </w:r>
            <w:r w:rsidR="007F5A25">
              <w:rPr>
                <w:b/>
                <w:bCs/>
              </w:rPr>
              <w:t>”</w:t>
            </w:r>
          </w:p>
          <w:p w14:paraId="045634A2" w14:textId="31272B5A" w:rsidR="007F5A25" w:rsidRPr="00247BDC" w:rsidRDefault="001E3075" w:rsidP="001E3075">
            <w:pPr>
              <w:spacing w:after="0" w:line="259" w:lineRule="auto"/>
              <w:ind w:left="0" w:firstLine="0"/>
              <w:rPr>
                <w:lang w:val="pt-BR"/>
              </w:rPr>
            </w:pPr>
            <w:r w:rsidRPr="00247BDC">
              <w:rPr>
                <w:lang w:val="pt-BR"/>
              </w:rPr>
              <w:t>by Paymon Khorrami &amp; Fernando Mendo</w:t>
            </w:r>
            <w:r w:rsidR="007F5A25" w:rsidRPr="00247BDC">
              <w:rPr>
                <w:lang w:val="pt-BR"/>
              </w:rPr>
              <w:t xml:space="preserve"> (</w:t>
            </w:r>
            <w:r w:rsidR="00621CDA">
              <w:rPr>
                <w:lang w:val="pt-BR"/>
              </w:rPr>
              <w:t xml:space="preserve"> Lars Hansen Conference)</w:t>
            </w:r>
          </w:p>
          <w:p w14:paraId="7B693EF0" w14:textId="71BBB499" w:rsidR="001E3075" w:rsidRPr="001E3075" w:rsidRDefault="007F5A25" w:rsidP="001E3075">
            <w:pPr>
              <w:spacing w:after="0" w:line="259" w:lineRule="auto"/>
              <w:ind w:left="0" w:firstLine="0"/>
              <w:rPr>
                <w:b/>
                <w:bCs/>
              </w:rPr>
            </w:pPr>
            <w:r>
              <w:rPr>
                <w:b/>
                <w:bCs/>
              </w:rPr>
              <w:t>“</w:t>
            </w:r>
            <w:r w:rsidR="001E3075" w:rsidRPr="001E3075">
              <w:rPr>
                <w:b/>
                <w:bCs/>
              </w:rPr>
              <w:t>A quantity-based approach to constructing</w:t>
            </w:r>
          </w:p>
          <w:p w14:paraId="4D8197C8" w14:textId="490C486B" w:rsidR="001E3075" w:rsidRDefault="001E3075" w:rsidP="001E3075">
            <w:pPr>
              <w:spacing w:after="0" w:line="259" w:lineRule="auto"/>
              <w:ind w:left="0" w:firstLine="0"/>
            </w:pPr>
            <w:r w:rsidRPr="001E3075">
              <w:rPr>
                <w:b/>
                <w:bCs/>
              </w:rPr>
              <w:t>climate risk hedge portfolios</w:t>
            </w:r>
            <w:r>
              <w:rPr>
                <w:b/>
                <w:bCs/>
              </w:rPr>
              <w:t>”</w:t>
            </w:r>
            <w:r w:rsidR="007F5A25">
              <w:rPr>
                <w:b/>
                <w:bCs/>
              </w:rPr>
              <w:t xml:space="preserve"> </w:t>
            </w:r>
            <w:r>
              <w:t xml:space="preserve">by </w:t>
            </w:r>
            <w:proofErr w:type="spellStart"/>
            <w:r>
              <w:t>Georgij</w:t>
            </w:r>
            <w:proofErr w:type="spellEnd"/>
            <w:r>
              <w:t xml:space="preserve"> Alekseev, Stefano Giglio, Quinn </w:t>
            </w:r>
            <w:proofErr w:type="spellStart"/>
            <w:r>
              <w:t>Maingi</w:t>
            </w:r>
            <w:proofErr w:type="spellEnd"/>
            <w:r>
              <w:t xml:space="preserve">, Julia </w:t>
            </w:r>
            <w:proofErr w:type="spellStart"/>
            <w:r>
              <w:t>Selgrad</w:t>
            </w:r>
            <w:proofErr w:type="spellEnd"/>
            <w:r>
              <w:t>, and Johannes Stroebe</w:t>
            </w:r>
          </w:p>
          <w:p w14:paraId="7999D020" w14:textId="6AB2F669" w:rsidR="001E3075" w:rsidRDefault="001E3075" w:rsidP="001E3075">
            <w:pPr>
              <w:spacing w:after="0" w:line="259" w:lineRule="auto"/>
              <w:ind w:left="0" w:firstLine="0"/>
            </w:pPr>
            <w:r>
              <w:rPr>
                <w:b/>
                <w:bCs/>
              </w:rPr>
              <w:t>“</w:t>
            </w:r>
            <w:r w:rsidRPr="001E3075">
              <w:rPr>
                <w:b/>
                <w:bCs/>
              </w:rPr>
              <w:t xml:space="preserve"> Triggers Stock Market Jumps?</w:t>
            </w:r>
            <w:r>
              <w:rPr>
                <w:b/>
                <w:bCs/>
              </w:rPr>
              <w:t xml:space="preserve">” </w:t>
            </w:r>
            <w:r w:rsidRPr="001E3075">
              <w:t xml:space="preserve">by Scott R. Baker, Nicholas Bloom, Steven J. Davis, and Marco </w:t>
            </w:r>
            <w:proofErr w:type="spellStart"/>
            <w:r w:rsidRPr="001E3075">
              <w:t>Sammon</w:t>
            </w:r>
            <w:proofErr w:type="spellEnd"/>
          </w:p>
          <w:p w14:paraId="534858C1" w14:textId="509536A3" w:rsidR="00ED25CD" w:rsidRPr="001E3075" w:rsidRDefault="001E3075" w:rsidP="00071528">
            <w:pPr>
              <w:spacing w:after="0" w:line="259" w:lineRule="auto"/>
              <w:ind w:left="0" w:firstLine="0"/>
            </w:pPr>
            <w:r>
              <w:rPr>
                <w:b/>
                <w:bCs/>
              </w:rPr>
              <w:t>“</w:t>
            </w:r>
            <w:r w:rsidRPr="001E3075">
              <w:rPr>
                <w:b/>
                <w:bCs/>
              </w:rPr>
              <w:t>Investing in Crises</w:t>
            </w:r>
            <w:r>
              <w:rPr>
                <w:b/>
                <w:bCs/>
              </w:rPr>
              <w:t xml:space="preserve">,” </w:t>
            </w:r>
            <w:r w:rsidRPr="001E3075">
              <w:t>by</w:t>
            </w:r>
            <w:r w:rsidRPr="001E3075">
              <w:rPr>
                <w:b/>
                <w:bCs/>
              </w:rPr>
              <w:t xml:space="preserve"> </w:t>
            </w:r>
            <w:r w:rsidRPr="001E3075">
              <w:t xml:space="preserve">Matthew Baron, Luc </w:t>
            </w:r>
            <w:proofErr w:type="spellStart"/>
            <w:r w:rsidRPr="001E3075">
              <w:t>Laeven</w:t>
            </w:r>
            <w:proofErr w:type="spellEnd"/>
            <w:r w:rsidRPr="001E3075">
              <w:t xml:space="preserve">, Julien </w:t>
            </w:r>
            <w:proofErr w:type="spellStart"/>
            <w:r w:rsidRPr="001E3075">
              <w:t>Pénasse</w:t>
            </w:r>
            <w:proofErr w:type="spellEnd"/>
            <w:r w:rsidRPr="001E3075">
              <w:t xml:space="preserve">, and </w:t>
            </w:r>
            <w:proofErr w:type="spellStart"/>
            <w:r w:rsidRPr="001E3075">
              <w:t>Yevhenii</w:t>
            </w:r>
            <w:proofErr w:type="spellEnd"/>
            <w:r w:rsidRPr="001E3075">
              <w:t xml:space="preserve"> </w:t>
            </w:r>
            <w:proofErr w:type="spellStart"/>
            <w:r w:rsidRPr="001E3075">
              <w:t>Usenko</w:t>
            </w:r>
            <w:proofErr w:type="spellEnd"/>
          </w:p>
          <w:p w14:paraId="5EB3EE8C" w14:textId="7C513AC4"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Lorenz , Karl </w:t>
            </w:r>
            <w:proofErr w:type="spellStart"/>
            <w:r>
              <w:t>Schmedders</w:t>
            </w:r>
            <w:proofErr w:type="spellEnd"/>
            <w:r>
              <w:t xml:space="preserve">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6EA26AFA" w14:textId="77777777" w:rsidR="00621CDA" w:rsidRDefault="00621CDA" w:rsidP="00F66D44">
            <w:pPr>
              <w:spacing w:after="0" w:line="259" w:lineRule="auto"/>
              <w:ind w:left="0" w:firstLine="0"/>
              <w:rPr>
                <w:b/>
                <w:bCs/>
              </w:rPr>
            </w:pPr>
          </w:p>
          <w:p w14:paraId="79A8C458" w14:textId="4432DF04"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by Xavier Gabaix and Ralph S.J. Koijen</w:t>
            </w:r>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 xml:space="preserve">by Marcin </w:t>
            </w:r>
            <w:proofErr w:type="spellStart"/>
            <w:r w:rsidRPr="005035F6">
              <w:rPr>
                <w:bCs/>
              </w:rPr>
              <w:t>Kacperczyk</w:t>
            </w:r>
            <w:proofErr w:type="spellEnd"/>
            <w:r w:rsidRPr="005035F6">
              <w:rPr>
                <w:bCs/>
              </w:rPr>
              <w:t xml:space="preserve">, Christophe Perignon, and Guillaume </w:t>
            </w:r>
            <w:proofErr w:type="spellStart"/>
            <w:r w:rsidRPr="005035F6">
              <w:rPr>
                <w:bCs/>
              </w:rPr>
              <w:t>Vuillemey</w:t>
            </w:r>
            <w:proofErr w:type="spellEnd"/>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128645DD" w:rsidR="005035F6" w:rsidRDefault="005035F6" w:rsidP="006B2953">
            <w:pPr>
              <w:spacing w:after="0" w:line="259" w:lineRule="auto"/>
              <w:ind w:left="0" w:firstLine="0"/>
              <w:rPr>
                <w:bCs/>
              </w:rPr>
            </w:pPr>
            <w:r>
              <w:rPr>
                <w:b/>
                <w:bCs/>
              </w:rPr>
              <w:t xml:space="preserve">“Volatility, Valuation Ratios, and Bubbles: An Empirical Measure of Market Sentiment” </w:t>
            </w:r>
            <w:r w:rsidRPr="005035F6">
              <w:rPr>
                <w:bCs/>
              </w:rPr>
              <w:t>by Can Gao and Ian Martin</w:t>
            </w:r>
            <w:r w:rsidR="00621CDA">
              <w:rPr>
                <w:bCs/>
              </w:rPr>
              <w:t xml:space="preserve"> (NBER)</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 xml:space="preserve">by Alyssa Anderson, Wenxi Du, and Bernd </w:t>
            </w:r>
            <w:proofErr w:type="spellStart"/>
            <w:r w:rsidRPr="005035F6">
              <w:rPr>
                <w:bCs/>
              </w:rPr>
              <w:t>Schlusche</w:t>
            </w:r>
            <w:proofErr w:type="spellEnd"/>
          </w:p>
          <w:p w14:paraId="37D03B76" w14:textId="435737B7" w:rsidR="002B5FDC" w:rsidRPr="002B5FDC" w:rsidRDefault="002B5FDC" w:rsidP="006B2953">
            <w:pPr>
              <w:spacing w:after="0" w:line="259" w:lineRule="auto"/>
              <w:ind w:left="0" w:firstLine="0"/>
              <w:rPr>
                <w:b/>
                <w:bCs/>
              </w:rPr>
            </w:pPr>
            <w:r w:rsidRPr="002B5FDC">
              <w:rPr>
                <w:b/>
                <w:bCs/>
              </w:rPr>
              <w:t>“The short rate disconnect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 xml:space="preserve">by Pablo </w:t>
            </w:r>
            <w:proofErr w:type="spellStart"/>
            <w:r w:rsidRPr="005035F6">
              <w:rPr>
                <w:bCs/>
              </w:rPr>
              <w:t>Kurlat</w:t>
            </w:r>
            <w:proofErr w:type="spellEnd"/>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lastRenderedPageBreak/>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 xml:space="preserve">by Andrew Ellul, </w:t>
            </w:r>
            <w:proofErr w:type="spellStart"/>
            <w:r w:rsidRPr="00E61A4F">
              <w:rPr>
                <w:bCs/>
              </w:rPr>
              <w:t>Chotibhak</w:t>
            </w:r>
            <w:proofErr w:type="spellEnd"/>
            <w:r w:rsidRPr="00E61A4F">
              <w:rPr>
                <w:bCs/>
              </w:rPr>
              <w:t xml:space="preserve"> </w:t>
            </w:r>
            <w:proofErr w:type="spellStart"/>
            <w:r w:rsidRPr="00E61A4F">
              <w:rPr>
                <w:bCs/>
              </w:rPr>
              <w:t>Jotikashira</w:t>
            </w:r>
            <w:proofErr w:type="spellEnd"/>
            <w:r w:rsidRPr="00E61A4F">
              <w:rPr>
                <w:bCs/>
              </w:rPr>
              <w:t xml:space="preserve">, Anastasia </w:t>
            </w:r>
            <w:proofErr w:type="spellStart"/>
            <w:r w:rsidRPr="00E61A4F">
              <w:rPr>
                <w:bCs/>
              </w:rPr>
              <w:t>Kartasheva</w:t>
            </w:r>
            <w:proofErr w:type="spellEnd"/>
            <w:r w:rsidRPr="00E61A4F">
              <w:rPr>
                <w:bCs/>
              </w:rPr>
              <w:t>, Christian Lundblad, and Wolf Wagner</w:t>
            </w:r>
          </w:p>
          <w:p w14:paraId="0688A551" w14:textId="77777777" w:rsidR="00E61A4F" w:rsidRDefault="00E61A4F" w:rsidP="006B2953">
            <w:pPr>
              <w:spacing w:after="0" w:line="259" w:lineRule="auto"/>
              <w:ind w:left="0" w:firstLine="0"/>
              <w:rPr>
                <w:b/>
                <w:bCs/>
              </w:rPr>
            </w:pPr>
            <w:r>
              <w:rPr>
                <w:b/>
                <w:bCs/>
              </w:rPr>
              <w:t>“Model Comparison with Sharpe Ratios”</w:t>
            </w:r>
            <w:r w:rsidRPr="00E61A4F">
              <w:rPr>
                <w:bCs/>
              </w:rPr>
              <w:t xml:space="preserve"> by Francisco Barillas, Raymond Kan, Cesare </w:t>
            </w:r>
            <w:proofErr w:type="spellStart"/>
            <w:r w:rsidRPr="00E61A4F">
              <w:rPr>
                <w:bCs/>
              </w:rPr>
              <w:t>Robotti</w:t>
            </w:r>
            <w:proofErr w:type="spellEnd"/>
            <w:r w:rsidRPr="00E61A4F">
              <w:rPr>
                <w:bCs/>
              </w:rPr>
              <w:t xml:space="preserve"> and Jay </w:t>
            </w:r>
            <w:proofErr w:type="spellStart"/>
            <w:r w:rsidRPr="00E61A4F">
              <w:rPr>
                <w:bCs/>
              </w:rPr>
              <w:t>Shanken</w:t>
            </w:r>
            <w:proofErr w:type="spellEnd"/>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 xml:space="preserve">by </w:t>
            </w:r>
            <w:proofErr w:type="spellStart"/>
            <w:r w:rsidRPr="00E61A4F">
              <w:rPr>
                <w:bCs/>
              </w:rPr>
              <w:t>Azi</w:t>
            </w:r>
            <w:proofErr w:type="spellEnd"/>
            <w:r w:rsidRPr="00E61A4F">
              <w:rPr>
                <w:bCs/>
              </w:rPr>
              <w:t xml:space="preserve"> Ben-Raphael, </w:t>
            </w:r>
            <w:proofErr w:type="spellStart"/>
            <w:r w:rsidRPr="00E61A4F">
              <w:rPr>
                <w:bCs/>
              </w:rPr>
              <w:t>Jaewon</w:t>
            </w:r>
            <w:proofErr w:type="spellEnd"/>
            <w:r w:rsidRPr="00E61A4F">
              <w:rPr>
                <w:bCs/>
              </w:rPr>
              <w:t xml:space="preserve">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 xml:space="preserve">by Markus </w:t>
            </w:r>
            <w:proofErr w:type="spellStart"/>
            <w:r w:rsidRPr="007F2B7D">
              <w:rPr>
                <w:bCs/>
              </w:rPr>
              <w:t>Brunnermeier</w:t>
            </w:r>
            <w:proofErr w:type="spellEnd"/>
            <w:r w:rsidRPr="007F2B7D">
              <w:rPr>
                <w:bCs/>
              </w:rPr>
              <w:t>,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xml:space="preserve">” by Laurent Barras and </w:t>
            </w:r>
            <w:proofErr w:type="spellStart"/>
            <w:r>
              <w:t>Aytek</w:t>
            </w:r>
            <w:proofErr w:type="spellEnd"/>
            <w:r>
              <w:t xml:space="preserve"> </w:t>
            </w:r>
            <w:proofErr w:type="spellStart"/>
            <w:r>
              <w:t>Malkhozov</w:t>
            </w:r>
            <w:proofErr w:type="spellEnd"/>
            <w:r>
              <w:t>, American Finance Association</w:t>
            </w:r>
          </w:p>
          <w:p w14:paraId="02E8A4A2" w14:textId="77777777" w:rsidR="00376499" w:rsidRDefault="00376499" w:rsidP="006B2953">
            <w:pPr>
              <w:spacing w:after="0" w:line="259" w:lineRule="auto"/>
              <w:ind w:left="0" w:firstLine="0"/>
            </w:pPr>
            <w:r>
              <w:lastRenderedPageBreak/>
              <w:t>“</w:t>
            </w:r>
            <w:r w:rsidRPr="00CC2A6E">
              <w:rPr>
                <w:b/>
              </w:rPr>
              <w:t>Concentrated Capital Losses and the Pricing of Corporate Credit Risk</w:t>
            </w:r>
            <w:r>
              <w:t xml:space="preserve">”, by </w:t>
            </w:r>
            <w:r w:rsidRPr="00CC2A6E">
              <w:t>Emil N. Siriwardane</w:t>
            </w:r>
            <w:r w:rsidRPr="00CC2A6E">
              <w:br/>
            </w:r>
            <w:r>
              <w:t>“</w:t>
            </w:r>
            <w:r w:rsidRPr="00CC2A6E">
              <w:rPr>
                <w:b/>
              </w:rPr>
              <w:t>The Tail that Wags the Economy: Belief-Driven Business Cycle and Persistent Stagnation</w:t>
            </w:r>
            <w:r>
              <w:t xml:space="preserve">” </w:t>
            </w:r>
            <w:r w:rsidRPr="00CC2A6E">
              <w:t xml:space="preserve">by Kozlowski, </w:t>
            </w:r>
            <w:proofErr w:type="spellStart"/>
            <w:r w:rsidRPr="00CC2A6E">
              <w:t>Veldkamp</w:t>
            </w:r>
            <w:proofErr w:type="spellEnd"/>
            <w:r w:rsidRPr="00CC2A6E">
              <w:t xml:space="preserve">, and </w:t>
            </w:r>
            <w:proofErr w:type="spellStart"/>
            <w:r w:rsidRPr="00CC2A6E">
              <w:t>Venkateswaram</w:t>
            </w:r>
            <w:proofErr w:type="spellEnd"/>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lastRenderedPageBreak/>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xml:space="preserve">” by Matthew Baron and Wei </w:t>
            </w:r>
            <w:proofErr w:type="spellStart"/>
            <w:r>
              <w:t>Xiong</w:t>
            </w:r>
            <w:proofErr w:type="spellEnd"/>
            <w:r>
              <w:t>,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xml:space="preserve">”, by </w:t>
            </w:r>
            <w:proofErr w:type="spellStart"/>
            <w:r>
              <w:t>Hengjie</w:t>
            </w:r>
            <w:proofErr w:type="spellEnd"/>
            <w:r>
              <w:t xml:space="preserv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xml:space="preserve">” by Marcin </w:t>
            </w:r>
            <w:proofErr w:type="spellStart"/>
            <w:r>
              <w:t>Kacperczyk</w:t>
            </w:r>
            <w:proofErr w:type="spellEnd"/>
            <w:r>
              <w:t xml:space="preserve">, Jaromir </w:t>
            </w:r>
            <w:proofErr w:type="spellStart"/>
            <w:r>
              <w:t>Nosal</w:t>
            </w:r>
            <w:proofErr w:type="spellEnd"/>
            <w:r>
              <w:t>,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xml:space="preserve">” by Guillermo Ordonez and Facundo </w:t>
            </w:r>
            <w:proofErr w:type="spellStart"/>
            <w:r>
              <w:t>Piguillem</w:t>
            </w:r>
            <w:proofErr w:type="spellEnd"/>
            <w:r>
              <w:t>,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xml:space="preserve">” by Lars Lochstoer and Paul </w:t>
            </w:r>
            <w:proofErr w:type="spellStart"/>
            <w:r>
              <w:t>Tealock</w:t>
            </w:r>
            <w:proofErr w:type="spellEnd"/>
            <w:r>
              <w:t>,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w:t>
            </w:r>
            <w:proofErr w:type="spellStart"/>
            <w:r>
              <w:t>Zhaogang</w:t>
            </w:r>
            <w:proofErr w:type="spellEnd"/>
            <w:r>
              <w:t xml:space="preserve">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w:t>
            </w:r>
            <w:proofErr w:type="spellStart"/>
            <w:r>
              <w:t>Shengxing</w:t>
            </w:r>
            <w:proofErr w:type="spellEnd"/>
            <w:r>
              <w:t xml:space="preserve">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xml:space="preserve">”, by Oliver </w:t>
            </w:r>
            <w:proofErr w:type="spellStart"/>
            <w:r>
              <w:t>Boguth</w:t>
            </w:r>
            <w:proofErr w:type="spellEnd"/>
            <w:r>
              <w:t xml:space="preserve">, Murray Carlson, Adlai Fisher and Mikhail </w:t>
            </w:r>
            <w:proofErr w:type="spellStart"/>
            <w:r>
              <w:t>Simutin</w:t>
            </w:r>
            <w:proofErr w:type="spellEnd"/>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w:t>
            </w:r>
            <w:proofErr w:type="spellStart"/>
            <w:r>
              <w:t>Doskov</w:t>
            </w:r>
            <w:proofErr w:type="spellEnd"/>
            <w:r>
              <w:t xml:space="preserve">, </w:t>
            </w:r>
            <w:proofErr w:type="spellStart"/>
            <w:r>
              <w:t>Tapio</w:t>
            </w:r>
            <w:proofErr w:type="spellEnd"/>
            <w:r>
              <w:t xml:space="preserve"> </w:t>
            </w:r>
            <w:proofErr w:type="spellStart"/>
            <w:r>
              <w:t>Pekkala</w:t>
            </w:r>
            <w:proofErr w:type="spellEnd"/>
            <w:r>
              <w:t xml:space="preserve">,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 xml:space="preserve">Arrow Street Capital, Phase Capital, </w:t>
      </w:r>
      <w:proofErr w:type="spellStart"/>
      <w:r>
        <w:t>Norges</w:t>
      </w:r>
      <w:proofErr w:type="spellEnd"/>
      <w:r>
        <w:t xml:space="preserve"> Bank Investment Management, </w:t>
      </w:r>
      <w:proofErr w:type="spellStart"/>
      <w:r>
        <w:t>Thalesians</w:t>
      </w:r>
      <w:proofErr w:type="spellEnd"/>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1E494A2E" w14:textId="1B2F0313" w:rsidR="004A4F56" w:rsidRDefault="004A4F56" w:rsidP="006B2953">
            <w:pPr>
              <w:spacing w:after="0" w:line="259" w:lineRule="auto"/>
              <w:ind w:left="0" w:firstLine="0"/>
              <w:rPr>
                <w:b/>
              </w:rPr>
            </w:pPr>
            <w:r>
              <w:rPr>
                <w:b/>
              </w:rPr>
              <w:t>2022</w:t>
            </w:r>
          </w:p>
          <w:p w14:paraId="7C1A1D78" w14:textId="61DE0A98"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765F804D" w14:textId="38FA51AD" w:rsidR="004A4F56" w:rsidRDefault="004A4F56" w:rsidP="004A4F56">
            <w:pPr>
              <w:spacing w:after="0" w:line="259" w:lineRule="auto"/>
              <w:ind w:left="0" w:firstLine="0"/>
            </w:pPr>
            <w:r>
              <w:t xml:space="preserve">Peter </w:t>
            </w:r>
            <w:proofErr w:type="spellStart"/>
            <w:r>
              <w:t>Carr</w:t>
            </w:r>
            <w:proofErr w:type="spellEnd"/>
            <w:r>
              <w:t xml:space="preserve"> Memorial Grant Best Paper Award</w:t>
            </w:r>
          </w:p>
          <w:p w14:paraId="4F4DDB91" w14:textId="4C410B68" w:rsidR="00071528" w:rsidRDefault="00071528" w:rsidP="004A4F56">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 xml:space="preserve">Katherine </w:t>
            </w:r>
            <w:proofErr w:type="spellStart"/>
            <w:r>
              <w:t>Dusak</w:t>
            </w:r>
            <w:proofErr w:type="spellEnd"/>
            <w:r>
              <w:t xml:space="preserve">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510E97D3"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 xml:space="preserve">Journal of the European Economic Association, Journal of Financial Economics, Financial Analyst </w:t>
      </w:r>
      <w:r>
        <w:lastRenderedPageBreak/>
        <w:t>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Review of Economic Studies, Review of Economics and Statistics</w:t>
      </w:r>
      <w:r w:rsidR="00B213C0">
        <w:t>, Journal of Political Economy, Economic Journal, Review of Finance</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Cavalcade </w:t>
      </w:r>
      <w:r w:rsidR="0028321C">
        <w:t>,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proofErr w:type="spellStart"/>
      <w:r>
        <w:t>Gavea</w:t>
      </w:r>
      <w:proofErr w:type="spellEnd"/>
      <w:r>
        <w:t xml:space="preserve"> </w:t>
      </w:r>
      <w:proofErr w:type="spellStart"/>
      <w:r>
        <w:t>Investimentos</w:t>
      </w:r>
      <w:proofErr w:type="spellEnd"/>
      <w:r>
        <w:t xml:space="preserve">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61493897">
    <w:abstractNumId w:val="5"/>
  </w:num>
  <w:num w:numId="2" w16cid:durableId="1279605461">
    <w:abstractNumId w:val="0"/>
  </w:num>
  <w:num w:numId="3" w16cid:durableId="917641749">
    <w:abstractNumId w:val="6"/>
  </w:num>
  <w:num w:numId="4" w16cid:durableId="1284388178">
    <w:abstractNumId w:val="1"/>
  </w:num>
  <w:num w:numId="5" w16cid:durableId="2131588616">
    <w:abstractNumId w:val="4"/>
  </w:num>
  <w:num w:numId="6" w16cid:durableId="2014187517">
    <w:abstractNumId w:val="2"/>
  </w:num>
  <w:num w:numId="7" w16cid:durableId="161081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1E3075"/>
    <w:rsid w:val="001E4CA5"/>
    <w:rsid w:val="001F6E52"/>
    <w:rsid w:val="00227C38"/>
    <w:rsid w:val="0023644A"/>
    <w:rsid w:val="00247BDC"/>
    <w:rsid w:val="0028321C"/>
    <w:rsid w:val="00295C66"/>
    <w:rsid w:val="00297B1E"/>
    <w:rsid w:val="002B5FDC"/>
    <w:rsid w:val="002F5C7E"/>
    <w:rsid w:val="003449C3"/>
    <w:rsid w:val="00376499"/>
    <w:rsid w:val="003A3664"/>
    <w:rsid w:val="003C09D3"/>
    <w:rsid w:val="003E2AB6"/>
    <w:rsid w:val="004227F1"/>
    <w:rsid w:val="00456A57"/>
    <w:rsid w:val="004A4AF5"/>
    <w:rsid w:val="004A4F56"/>
    <w:rsid w:val="004E3B8C"/>
    <w:rsid w:val="004F15EA"/>
    <w:rsid w:val="005035F6"/>
    <w:rsid w:val="005257AD"/>
    <w:rsid w:val="00574AA4"/>
    <w:rsid w:val="005A6FC2"/>
    <w:rsid w:val="005C2E0D"/>
    <w:rsid w:val="00614F1A"/>
    <w:rsid w:val="00621CDA"/>
    <w:rsid w:val="006278C8"/>
    <w:rsid w:val="00635CCB"/>
    <w:rsid w:val="0064270E"/>
    <w:rsid w:val="00652C2E"/>
    <w:rsid w:val="006549CD"/>
    <w:rsid w:val="00661E34"/>
    <w:rsid w:val="006644E0"/>
    <w:rsid w:val="006666A6"/>
    <w:rsid w:val="006D265B"/>
    <w:rsid w:val="00716E94"/>
    <w:rsid w:val="00731BFD"/>
    <w:rsid w:val="007458D8"/>
    <w:rsid w:val="007B1F2E"/>
    <w:rsid w:val="007C01C8"/>
    <w:rsid w:val="007E1807"/>
    <w:rsid w:val="007E77CF"/>
    <w:rsid w:val="007F5A25"/>
    <w:rsid w:val="0081157D"/>
    <w:rsid w:val="0083723C"/>
    <w:rsid w:val="00861242"/>
    <w:rsid w:val="00873C64"/>
    <w:rsid w:val="008863CE"/>
    <w:rsid w:val="008F2486"/>
    <w:rsid w:val="008F333E"/>
    <w:rsid w:val="00924DBD"/>
    <w:rsid w:val="00990B55"/>
    <w:rsid w:val="009A3D05"/>
    <w:rsid w:val="009A619A"/>
    <w:rsid w:val="009A71C1"/>
    <w:rsid w:val="009B72FE"/>
    <w:rsid w:val="00A06314"/>
    <w:rsid w:val="00A21C80"/>
    <w:rsid w:val="00A46467"/>
    <w:rsid w:val="00A655CF"/>
    <w:rsid w:val="00A70031"/>
    <w:rsid w:val="00A92203"/>
    <w:rsid w:val="00AA2324"/>
    <w:rsid w:val="00AB54E1"/>
    <w:rsid w:val="00AB6E95"/>
    <w:rsid w:val="00B213C0"/>
    <w:rsid w:val="00B36FD8"/>
    <w:rsid w:val="00B662A5"/>
    <w:rsid w:val="00B730D8"/>
    <w:rsid w:val="00B74924"/>
    <w:rsid w:val="00B907BB"/>
    <w:rsid w:val="00BE75C3"/>
    <w:rsid w:val="00C21FCF"/>
    <w:rsid w:val="00C235D8"/>
    <w:rsid w:val="00C23CCA"/>
    <w:rsid w:val="00C27A57"/>
    <w:rsid w:val="00C60CA1"/>
    <w:rsid w:val="00CA6D2E"/>
    <w:rsid w:val="00CC2A6E"/>
    <w:rsid w:val="00CE16E2"/>
    <w:rsid w:val="00CE4561"/>
    <w:rsid w:val="00CE7219"/>
    <w:rsid w:val="00D24DB7"/>
    <w:rsid w:val="00D52D0C"/>
    <w:rsid w:val="00D547AC"/>
    <w:rsid w:val="00D7278A"/>
    <w:rsid w:val="00DA10D1"/>
    <w:rsid w:val="00E36901"/>
    <w:rsid w:val="00E53E8E"/>
    <w:rsid w:val="00E5407C"/>
    <w:rsid w:val="00E567A9"/>
    <w:rsid w:val="00E57460"/>
    <w:rsid w:val="00E61A4F"/>
    <w:rsid w:val="00EA31B2"/>
    <w:rsid w:val="00EC3D1B"/>
    <w:rsid w:val="00EC5C0C"/>
    <w:rsid w:val="00EC6696"/>
    <w:rsid w:val="00ED25CD"/>
    <w:rsid w:val="00F015A4"/>
    <w:rsid w:val="00F052C2"/>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E1"/>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 w:type="character" w:customStyle="1" w:styleId="c9dxtc">
    <w:name w:val="c9dxtc"/>
    <w:basedOn w:val="DefaultParagraphFont"/>
    <w:rsid w:val="00247BDC"/>
  </w:style>
  <w:style w:type="paragraph" w:customStyle="1" w:styleId="zfr3q">
    <w:name w:val="zfr3q"/>
    <w:basedOn w:val="Normal"/>
    <w:rsid w:val="00247BDC"/>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376123497">
      <w:bodyDiv w:val="1"/>
      <w:marLeft w:val="0"/>
      <w:marRight w:val="0"/>
      <w:marTop w:val="0"/>
      <w:marBottom w:val="0"/>
      <w:divBdr>
        <w:top w:val="none" w:sz="0" w:space="0" w:color="auto"/>
        <w:left w:val="none" w:sz="0" w:space="0" w:color="auto"/>
        <w:bottom w:val="none" w:sz="0" w:space="0" w:color="auto"/>
        <w:right w:val="none" w:sz="0" w:space="0" w:color="auto"/>
      </w:divBdr>
    </w:div>
    <w:div w:id="582837488">
      <w:bodyDiv w:val="1"/>
      <w:marLeft w:val="0"/>
      <w:marRight w:val="0"/>
      <w:marTop w:val="0"/>
      <w:marBottom w:val="0"/>
      <w:divBdr>
        <w:top w:val="none" w:sz="0" w:space="0" w:color="auto"/>
        <w:left w:val="none" w:sz="0" w:space="0" w:color="auto"/>
        <w:bottom w:val="none" w:sz="0" w:space="0" w:color="auto"/>
        <w:right w:val="none" w:sz="0" w:space="0" w:color="auto"/>
      </w:divBdr>
      <w:divsChild>
        <w:div w:id="2111578949">
          <w:marLeft w:val="0"/>
          <w:marRight w:val="0"/>
          <w:marTop w:val="0"/>
          <w:marBottom w:val="0"/>
          <w:divBdr>
            <w:top w:val="none" w:sz="0" w:space="0" w:color="auto"/>
            <w:left w:val="none" w:sz="0" w:space="0" w:color="auto"/>
            <w:bottom w:val="none" w:sz="0" w:space="0" w:color="auto"/>
            <w:right w:val="none" w:sz="0" w:space="0" w:color="auto"/>
          </w:divBdr>
        </w:div>
      </w:divsChild>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faculty.som.yale.edu/alanmoreira/Papers/network.pdf" TargetMode="Externa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hyperlink" Target="https://amoreira2.github.io/alan-moreira.github.io/WhateverItTakes.pdf" TargetMode="External"/><Relationship Id="rId20" Type="http://schemas.openxmlformats.org/officeDocument/2006/relationships/hyperlink" Target="https://www.dropbox.com/s/ow2v32aryudo3kh/Lockups.pdf?dl=0" TargetMode="Externa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23" Type="http://schemas.openxmlformats.org/officeDocument/2006/relationships/theme" Target="theme/theme1.xml"/><Relationship Id="rId10" Type="http://schemas.openxmlformats.org/officeDocument/2006/relationships/hyperlink" Target="http://faculty.som.yale.edu/alanmoreira/Papers/ShadowMacro.pdf" TargetMode="External"/><Relationship Id="rId19" Type="http://schemas.openxmlformats.org/officeDocument/2006/relationships/hyperlink" Target="https://www.dropbox.com/s/amqqkj4wqcs0tgb/LinnainmaaMoreira_112017.pdf?dl=0"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9T12:05:29.402"/>
    </inkml:context>
    <inkml:brush xml:id="br0">
      <inkml:brushProperty name="width" value="0.025" units="cm"/>
      <inkml:brushProperty name="height" value="0.025" units="cm"/>
    </inkml:brush>
  </inkml:definitions>
  <inkml:trace contextRef="#ctx0" brushRef="#br0">0 1 1695 0 0,'0'0'152'0'0,"39"49"-152"0"0,-36-38 0 0 0,-6-7-72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17</cp:revision>
  <cp:lastPrinted>2024-11-19T16:50:00Z</cp:lastPrinted>
  <dcterms:created xsi:type="dcterms:W3CDTF">2024-08-29T12:21:00Z</dcterms:created>
  <dcterms:modified xsi:type="dcterms:W3CDTF">2024-11-19T17:02:00Z</dcterms:modified>
</cp:coreProperties>
</file>