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embeddings/oleObject1.bin" ContentType="application/vnd.openxmlformats-officedocument.oleObject"/>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3BF4" w:rsidRDefault="00D20282" w:rsidP="00933BF4">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r>
        <w:tab/>
      </w:r>
    </w:p>
    <w:p w:rsidR="00933BF4" w:rsidRPr="009D002B" w:rsidRDefault="00A42A8F" w:rsidP="00933BF4"/>
    <w:p w:rsidR="00933BF4" w:rsidRPr="005B6D5E" w:rsidRDefault="00D20282" w:rsidP="00933BF4">
      <w:pPr>
        <w:pStyle w:val="ISMSNormal"/>
        <w:jc w:val="center"/>
        <w:rPr>
          <w:b/>
        </w:rPr>
      </w:pPr>
      <w:r>
        <w:rPr>
          <w:b/>
        </w:rPr>
        <w:t>POLICY AND GUIDANCE</w:t>
      </w:r>
    </w:p>
    <w:p w:rsidR="00933BF4" w:rsidRPr="005B6D5E" w:rsidRDefault="00D20282" w:rsidP="00933BF4">
      <w:pPr>
        <w:pStyle w:val="ISMSNormal"/>
        <w:jc w:val="center"/>
        <w:rPr>
          <w:b/>
        </w:rPr>
      </w:pPr>
      <w:r w:rsidRPr="005B6D5E">
        <w:rPr>
          <w:b/>
        </w:rPr>
        <w:t>Do not Photocopy</w:t>
      </w:r>
    </w:p>
    <w:p w:rsidR="00933BF4" w:rsidRPr="005B6D5E" w:rsidRDefault="00A42A8F" w:rsidP="00933BF4">
      <w:pPr>
        <w:pStyle w:val="ISMSNormal"/>
        <w:jc w:val="center"/>
        <w:rPr>
          <w:b/>
        </w:rPr>
      </w:pPr>
    </w:p>
    <w:p w:rsidR="00933BF4" w:rsidRPr="00F06990" w:rsidRDefault="00D20282" w:rsidP="00933BF4">
      <w:pPr>
        <w:pStyle w:val="ISMSNormal"/>
        <w:jc w:val="center"/>
        <w:rPr>
          <w:b/>
        </w:rPr>
      </w:pPr>
      <w:r>
        <w:rPr>
          <w:b/>
        </w:rPr>
        <w:t xml:space="preserve">Document Information Classification: </w:t>
      </w:r>
      <w:r w:rsidRPr="00AE1A55">
        <w:rPr>
          <w:b/>
        </w:rPr>
        <w:t>Unrestricted</w:t>
      </w:r>
    </w:p>
    <w:p w:rsidR="00933BF4" w:rsidRPr="00A214A6" w:rsidRDefault="00A42A8F" w:rsidP="00933BF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0366B7" w:rsidTr="00933BF4">
        <w:trPr>
          <w:jc w:val="center"/>
        </w:trPr>
        <w:tc>
          <w:tcPr>
            <w:tcW w:w="1912" w:type="pct"/>
            <w:tcBorders>
              <w:top w:val="single" w:sz="8" w:space="0" w:color="auto"/>
            </w:tcBorders>
          </w:tcPr>
          <w:p w:rsidR="00933BF4" w:rsidRPr="005B6D5E" w:rsidRDefault="00D20282" w:rsidP="00933BF4">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Risk Management Process</w:t>
            </w:r>
            <w:r w:rsidRPr="005B6D5E">
              <w:rPr>
                <w:b/>
                <w:lang w:eastAsia="en-GB"/>
              </w:rPr>
              <w:fldChar w:fldCharType="end"/>
            </w:r>
          </w:p>
        </w:tc>
      </w:tr>
      <w:tr w:rsidR="000366B7" w:rsidTr="00933BF4">
        <w:trPr>
          <w:jc w:val="center"/>
        </w:trPr>
        <w:tc>
          <w:tcPr>
            <w:tcW w:w="1912" w:type="pct"/>
          </w:tcPr>
          <w:p w:rsidR="00933BF4" w:rsidRPr="005B6D5E" w:rsidRDefault="00D20282" w:rsidP="00933BF4">
            <w:pPr>
              <w:pStyle w:val="ISMSNormal"/>
              <w:spacing w:before="120" w:after="120"/>
              <w:rPr>
                <w:b/>
                <w:lang w:eastAsia="en-GB"/>
              </w:rPr>
            </w:pPr>
            <w:r w:rsidRPr="005B6D5E">
              <w:rPr>
                <w:b/>
                <w:lang w:eastAsia="en-GB"/>
              </w:rPr>
              <w:t>Effective Date:</w:t>
            </w:r>
          </w:p>
        </w:tc>
        <w:tc>
          <w:tcPr>
            <w:tcW w:w="3088" w:type="pct"/>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25 Sep 2019</w:t>
            </w:r>
            <w:r w:rsidRPr="005B6D5E">
              <w:rPr>
                <w:b/>
                <w:lang w:eastAsia="en-GB"/>
              </w:rPr>
              <w:fldChar w:fldCharType="end"/>
            </w:r>
          </w:p>
        </w:tc>
      </w:tr>
      <w:tr w:rsidR="000366B7" w:rsidTr="00933BF4">
        <w:trPr>
          <w:jc w:val="center"/>
        </w:trPr>
        <w:tc>
          <w:tcPr>
            <w:tcW w:w="1912" w:type="pct"/>
          </w:tcPr>
          <w:p w:rsidR="00933BF4" w:rsidRPr="005B6D5E" w:rsidRDefault="00D20282" w:rsidP="00933BF4">
            <w:pPr>
              <w:pStyle w:val="ISMSNormal"/>
              <w:spacing w:before="120" w:after="120"/>
              <w:rPr>
                <w:b/>
                <w:lang w:eastAsia="en-GB"/>
              </w:rPr>
            </w:pPr>
            <w:r w:rsidRPr="005B6D5E">
              <w:rPr>
                <w:b/>
                <w:lang w:eastAsia="en-GB"/>
              </w:rPr>
              <w:t>Reference Number:</w:t>
            </w:r>
          </w:p>
        </w:tc>
        <w:tc>
          <w:tcPr>
            <w:tcW w:w="3088" w:type="pct"/>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ISMS-02-05</w:t>
            </w:r>
            <w:r w:rsidRPr="005B6D5E">
              <w:rPr>
                <w:b/>
                <w:lang w:eastAsia="en-GB"/>
              </w:rPr>
              <w:fldChar w:fldCharType="end"/>
            </w:r>
          </w:p>
        </w:tc>
      </w:tr>
      <w:tr w:rsidR="000366B7" w:rsidTr="00933BF4">
        <w:trPr>
          <w:jc w:val="center"/>
        </w:trPr>
        <w:tc>
          <w:tcPr>
            <w:tcW w:w="1912" w:type="pct"/>
          </w:tcPr>
          <w:p w:rsidR="00933BF4" w:rsidRPr="005B6D5E" w:rsidRDefault="00D20282" w:rsidP="00933BF4">
            <w:pPr>
              <w:pStyle w:val="ISMSNormal"/>
              <w:spacing w:before="120" w:after="120"/>
              <w:rPr>
                <w:b/>
                <w:lang w:eastAsia="en-GB"/>
              </w:rPr>
            </w:pPr>
            <w:r w:rsidRPr="005B6D5E">
              <w:rPr>
                <w:b/>
                <w:lang w:eastAsia="en-GB"/>
              </w:rPr>
              <w:t>Version Number:</w:t>
            </w:r>
          </w:p>
        </w:tc>
        <w:tc>
          <w:tcPr>
            <w:tcW w:w="3088" w:type="pct"/>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3.5</w:t>
            </w:r>
            <w:r w:rsidRPr="005B6D5E">
              <w:rPr>
                <w:b/>
                <w:lang w:eastAsia="en-GB"/>
              </w:rPr>
              <w:fldChar w:fldCharType="end"/>
            </w:r>
          </w:p>
        </w:tc>
      </w:tr>
      <w:tr w:rsidR="000366B7" w:rsidTr="00933BF4">
        <w:trPr>
          <w:jc w:val="center"/>
        </w:trPr>
        <w:tc>
          <w:tcPr>
            <w:tcW w:w="1912" w:type="pct"/>
          </w:tcPr>
          <w:p w:rsidR="00933BF4" w:rsidRPr="005B6D5E" w:rsidRDefault="00D20282" w:rsidP="00933BF4">
            <w:pPr>
              <w:pStyle w:val="ISMSNormal"/>
              <w:spacing w:before="120" w:after="120"/>
              <w:rPr>
                <w:b/>
                <w:lang w:eastAsia="en-GB"/>
              </w:rPr>
            </w:pPr>
            <w:r w:rsidRPr="005B6D5E">
              <w:rPr>
                <w:b/>
                <w:lang w:eastAsia="en-GB"/>
              </w:rPr>
              <w:t>Owner:</w:t>
            </w:r>
          </w:p>
        </w:tc>
        <w:tc>
          <w:tcPr>
            <w:tcW w:w="3088" w:type="pct"/>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Risk Management </w:t>
            </w:r>
            <w:r w:rsidRPr="005B6D5E">
              <w:rPr>
                <w:b/>
                <w:lang w:eastAsia="en-GB"/>
              </w:rPr>
              <w:t xml:space="preserve">Process Owner,  </w:t>
            </w:r>
            <w:r w:rsidRPr="005B6D5E">
              <w:rPr>
                <w:b/>
                <w:lang w:eastAsia="en-GB"/>
              </w:rPr>
              <w:fldChar w:fldCharType="end"/>
            </w:r>
          </w:p>
        </w:tc>
      </w:tr>
      <w:tr w:rsidR="000366B7" w:rsidTr="00933BF4">
        <w:trPr>
          <w:jc w:val="center"/>
        </w:trPr>
        <w:tc>
          <w:tcPr>
            <w:tcW w:w="1912" w:type="pct"/>
            <w:tcBorders>
              <w:bottom w:val="single" w:sz="8" w:space="0" w:color="auto"/>
            </w:tcBorders>
          </w:tcPr>
          <w:p w:rsidR="00933BF4" w:rsidRPr="005B6D5E" w:rsidRDefault="00D20282" w:rsidP="00933BF4">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933BF4" w:rsidRPr="005B6D5E" w:rsidRDefault="00D20282" w:rsidP="00933BF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25 Sep 2021</w:t>
            </w:r>
            <w:r w:rsidRPr="005B6D5E">
              <w:rPr>
                <w:b/>
                <w:lang w:eastAsia="en-GB"/>
              </w:rPr>
              <w:fldChar w:fldCharType="end"/>
            </w:r>
          </w:p>
        </w:tc>
      </w:tr>
    </w:tbl>
    <w:p w:rsidR="00933BF4" w:rsidRPr="00A214A6" w:rsidRDefault="00A42A8F" w:rsidP="00933BF4"/>
    <w:p w:rsidR="00933BF4" w:rsidRPr="00A214A6" w:rsidRDefault="00D20282" w:rsidP="00933BF4">
      <w:r w:rsidRPr="00A214A6">
        <w:br w:type="page"/>
      </w:r>
    </w:p>
    <w:p w:rsidR="00933BF4" w:rsidRPr="009D002B" w:rsidRDefault="00A42A8F" w:rsidP="00933BF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933BF4" w:rsidRDefault="00D20282" w:rsidP="00933BF4">
          <w:pPr>
            <w:pStyle w:val="TOCHeading"/>
          </w:pPr>
          <w:r w:rsidRPr="00A35784">
            <w:t>Table of Contents</w:t>
          </w:r>
        </w:p>
        <w:p w:rsidR="00933BF4" w:rsidRPr="006735AF" w:rsidRDefault="00A42A8F" w:rsidP="00933BF4">
          <w:pPr>
            <w:rPr>
              <w:lang w:val="en-US" w:eastAsia="ja-JP"/>
            </w:rPr>
          </w:pPr>
        </w:p>
        <w:p w:rsidR="000366B7" w:rsidRDefault="00D20282">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34" w:history="1">
            <w:r>
              <w:rPr>
                <w:rStyle w:val="Hyperlink"/>
              </w:rPr>
              <w:t>1.</w:t>
            </w:r>
            <w:r>
              <w:rPr>
                <w:rFonts w:asciiTheme="minorHAnsi" w:hAnsiTheme="minorHAnsi"/>
                <w:noProof/>
              </w:rPr>
              <w:tab/>
            </w:r>
            <w:r w:rsidRPr="003B5B28">
              <w:rPr>
                <w:rStyle w:val="Hyperlink"/>
              </w:rPr>
              <w:t>Purpose</w:t>
            </w:r>
            <w:r>
              <w:tab/>
            </w:r>
            <w:r>
              <w:fldChar w:fldCharType="begin"/>
            </w:r>
            <w:r>
              <w:instrText xml:space="preserve"> PAGEREF _Toc256000134 \h </w:instrText>
            </w:r>
            <w:r>
              <w:fldChar w:fldCharType="separate"/>
            </w:r>
            <w:r>
              <w:t>3</w:t>
            </w:r>
            <w:r>
              <w:fldChar w:fldCharType="end"/>
            </w:r>
          </w:hyperlink>
        </w:p>
        <w:p w:rsidR="000366B7" w:rsidRDefault="00A42A8F">
          <w:pPr>
            <w:pStyle w:val="TOC1"/>
            <w:tabs>
              <w:tab w:val="left" w:pos="480"/>
              <w:tab w:val="right" w:leader="dot" w:pos="9016"/>
            </w:tabs>
            <w:rPr>
              <w:rFonts w:asciiTheme="minorHAnsi" w:hAnsiTheme="minorHAnsi"/>
              <w:noProof/>
            </w:rPr>
          </w:pPr>
          <w:hyperlink w:anchor="_Toc256000135" w:history="1">
            <w:r w:rsidR="00D20282">
              <w:rPr>
                <w:rStyle w:val="Hyperlink"/>
              </w:rPr>
              <w:t>2.</w:t>
            </w:r>
            <w:r w:rsidR="00D20282">
              <w:rPr>
                <w:rFonts w:asciiTheme="minorHAnsi" w:hAnsiTheme="minorHAnsi"/>
                <w:noProof/>
              </w:rPr>
              <w:tab/>
            </w:r>
            <w:r w:rsidR="00D20282" w:rsidRPr="00FF23CB">
              <w:rPr>
                <w:rStyle w:val="Hyperlink"/>
              </w:rPr>
              <w:t>Scope</w:t>
            </w:r>
            <w:r w:rsidR="00D20282">
              <w:tab/>
            </w:r>
            <w:r w:rsidR="00D20282">
              <w:fldChar w:fldCharType="begin"/>
            </w:r>
            <w:r w:rsidR="00D20282">
              <w:instrText xml:space="preserve"> PAGEREF _Toc256000135 \h </w:instrText>
            </w:r>
            <w:r w:rsidR="00D20282">
              <w:fldChar w:fldCharType="separate"/>
            </w:r>
            <w:r w:rsidR="00D20282">
              <w:t>3</w:t>
            </w:r>
            <w:r w:rsidR="00D20282">
              <w:fldChar w:fldCharType="end"/>
            </w:r>
          </w:hyperlink>
        </w:p>
        <w:p w:rsidR="000366B7" w:rsidRDefault="00A42A8F">
          <w:pPr>
            <w:pStyle w:val="TOC1"/>
            <w:tabs>
              <w:tab w:val="left" w:pos="480"/>
              <w:tab w:val="right" w:leader="dot" w:pos="9016"/>
            </w:tabs>
            <w:rPr>
              <w:rFonts w:asciiTheme="minorHAnsi" w:hAnsiTheme="minorHAnsi"/>
              <w:noProof/>
            </w:rPr>
          </w:pPr>
          <w:hyperlink w:anchor="_Toc256000136" w:history="1">
            <w:r w:rsidR="00D20282">
              <w:rPr>
                <w:rStyle w:val="Hyperlink"/>
              </w:rPr>
              <w:t>3.</w:t>
            </w:r>
            <w:r w:rsidR="00D20282">
              <w:rPr>
                <w:rFonts w:asciiTheme="minorHAnsi" w:hAnsiTheme="minorHAnsi"/>
                <w:noProof/>
              </w:rPr>
              <w:tab/>
            </w:r>
            <w:r w:rsidR="00D20282" w:rsidRPr="00FF23CB">
              <w:rPr>
                <w:rStyle w:val="Hyperlink"/>
              </w:rPr>
              <w:t>Responsibilities</w:t>
            </w:r>
            <w:r w:rsidR="00D20282">
              <w:tab/>
            </w:r>
            <w:r w:rsidR="00D20282">
              <w:fldChar w:fldCharType="begin"/>
            </w:r>
            <w:r w:rsidR="00D20282">
              <w:instrText xml:space="preserve"> PAGEREF _Toc256000136 \h </w:instrText>
            </w:r>
            <w:r w:rsidR="00D20282">
              <w:fldChar w:fldCharType="separate"/>
            </w:r>
            <w:r w:rsidR="00D20282">
              <w:t>3</w:t>
            </w:r>
            <w:r w:rsidR="00D20282">
              <w:fldChar w:fldCharType="end"/>
            </w:r>
          </w:hyperlink>
        </w:p>
        <w:p w:rsidR="000366B7" w:rsidRDefault="00A42A8F">
          <w:pPr>
            <w:pStyle w:val="TOC1"/>
            <w:tabs>
              <w:tab w:val="left" w:pos="480"/>
              <w:tab w:val="right" w:leader="dot" w:pos="9016"/>
            </w:tabs>
            <w:rPr>
              <w:rFonts w:asciiTheme="minorHAnsi" w:hAnsiTheme="minorHAnsi"/>
              <w:noProof/>
            </w:rPr>
          </w:pPr>
          <w:hyperlink w:anchor="_Toc256000137" w:history="1">
            <w:r w:rsidR="00D20282">
              <w:rPr>
                <w:rStyle w:val="Hyperlink"/>
              </w:rPr>
              <w:t>4.</w:t>
            </w:r>
            <w:r w:rsidR="00D20282">
              <w:rPr>
                <w:rFonts w:asciiTheme="minorHAnsi" w:hAnsiTheme="minorHAnsi"/>
                <w:noProof/>
              </w:rPr>
              <w:tab/>
            </w:r>
            <w:r w:rsidR="00D20282" w:rsidRPr="00FF23CB">
              <w:rPr>
                <w:rStyle w:val="Hyperlink"/>
              </w:rPr>
              <w:t>Procedure</w:t>
            </w:r>
            <w:r w:rsidR="00D20282">
              <w:tab/>
            </w:r>
            <w:r w:rsidR="00D20282">
              <w:fldChar w:fldCharType="begin"/>
            </w:r>
            <w:r w:rsidR="00D20282">
              <w:instrText xml:space="preserve"> PAGEREF _Toc256000137 \h </w:instrText>
            </w:r>
            <w:r w:rsidR="00D20282">
              <w:fldChar w:fldCharType="separate"/>
            </w:r>
            <w:r w:rsidR="00D20282">
              <w:t>4</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38" w:history="1">
            <w:r w:rsidR="00D20282">
              <w:rPr>
                <w:rStyle w:val="Hyperlink"/>
              </w:rPr>
              <w:t>4.1.</w:t>
            </w:r>
            <w:r w:rsidR="00D20282">
              <w:rPr>
                <w:rFonts w:asciiTheme="minorHAnsi" w:hAnsiTheme="minorHAnsi"/>
                <w:noProof/>
              </w:rPr>
              <w:tab/>
            </w:r>
            <w:r w:rsidR="00D20282" w:rsidRPr="00FF23CB">
              <w:rPr>
                <w:rStyle w:val="Hyperlink"/>
              </w:rPr>
              <w:t>High-level Risk Assessment</w:t>
            </w:r>
            <w:r w:rsidR="00D20282">
              <w:tab/>
            </w:r>
            <w:r w:rsidR="00D20282">
              <w:fldChar w:fldCharType="begin"/>
            </w:r>
            <w:r w:rsidR="00D20282">
              <w:instrText xml:space="preserve"> PAGEREF _Toc256000138 \h </w:instrText>
            </w:r>
            <w:r w:rsidR="00D20282">
              <w:fldChar w:fldCharType="separate"/>
            </w:r>
            <w:r w:rsidR="00D20282">
              <w:t>5</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39" w:history="1">
            <w:r w:rsidR="00D20282">
              <w:rPr>
                <w:rStyle w:val="Hyperlink"/>
              </w:rPr>
              <w:t>4.2.</w:t>
            </w:r>
            <w:r w:rsidR="00D20282">
              <w:rPr>
                <w:rFonts w:asciiTheme="minorHAnsi" w:hAnsiTheme="minorHAnsi"/>
                <w:noProof/>
              </w:rPr>
              <w:tab/>
            </w:r>
            <w:r w:rsidR="00D20282" w:rsidRPr="00FF23CB">
              <w:rPr>
                <w:rStyle w:val="Hyperlink"/>
              </w:rPr>
              <w:t>Detailed Risk Assessment Procedure</w:t>
            </w:r>
            <w:r w:rsidR="00D20282">
              <w:tab/>
            </w:r>
            <w:r w:rsidR="00D20282">
              <w:fldChar w:fldCharType="begin"/>
            </w:r>
            <w:r w:rsidR="00D20282">
              <w:instrText xml:space="preserve"> PAGEREF _Toc256000139 \h </w:instrText>
            </w:r>
            <w:r w:rsidR="00D20282">
              <w:fldChar w:fldCharType="separate"/>
            </w:r>
            <w:r w:rsidR="00D20282">
              <w:t>5</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40" w:history="1">
            <w:r w:rsidR="00D20282">
              <w:rPr>
                <w:rStyle w:val="Hyperlink"/>
              </w:rPr>
              <w:t>4.3.</w:t>
            </w:r>
            <w:r w:rsidR="00D20282">
              <w:rPr>
                <w:rFonts w:asciiTheme="minorHAnsi" w:hAnsiTheme="minorHAnsi"/>
                <w:noProof/>
              </w:rPr>
              <w:tab/>
            </w:r>
            <w:r w:rsidR="00D20282">
              <w:rPr>
                <w:rStyle w:val="Hyperlink"/>
              </w:rPr>
              <w:t>Risk Assessment Schedule</w:t>
            </w:r>
            <w:r w:rsidR="00D20282">
              <w:tab/>
            </w:r>
            <w:r w:rsidR="00D20282">
              <w:fldChar w:fldCharType="begin"/>
            </w:r>
            <w:r w:rsidR="00D20282">
              <w:instrText xml:space="preserve"> PAGEREF _Toc256000140 \h </w:instrText>
            </w:r>
            <w:r w:rsidR="00D20282">
              <w:fldChar w:fldCharType="separate"/>
            </w:r>
            <w:r w:rsidR="00D20282">
              <w:t>5</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41" w:history="1">
            <w:r w:rsidR="00D20282">
              <w:rPr>
                <w:rStyle w:val="Hyperlink"/>
              </w:rPr>
              <w:t>4.4.</w:t>
            </w:r>
            <w:r w:rsidR="00D20282">
              <w:rPr>
                <w:rFonts w:asciiTheme="minorHAnsi" w:hAnsiTheme="minorHAnsi"/>
                <w:noProof/>
              </w:rPr>
              <w:tab/>
            </w:r>
            <w:r w:rsidR="00D20282">
              <w:rPr>
                <w:rStyle w:val="Hyperlink"/>
              </w:rPr>
              <w:t>R</w:t>
            </w:r>
            <w:r w:rsidR="00D20282" w:rsidRPr="00FF23CB">
              <w:rPr>
                <w:rStyle w:val="Hyperlink"/>
              </w:rPr>
              <w:t>isk Assessment Values</w:t>
            </w:r>
            <w:r w:rsidR="00D20282">
              <w:tab/>
            </w:r>
            <w:r w:rsidR="00D20282">
              <w:fldChar w:fldCharType="begin"/>
            </w:r>
            <w:r w:rsidR="00D20282">
              <w:instrText xml:space="preserve"> PAGEREF _Toc256000141 \h </w:instrText>
            </w:r>
            <w:r w:rsidR="00D20282">
              <w:fldChar w:fldCharType="separate"/>
            </w:r>
            <w:r w:rsidR="00D20282">
              <w:t>6</w:t>
            </w:r>
            <w:r w:rsidR="00D20282">
              <w:fldChar w:fldCharType="end"/>
            </w:r>
          </w:hyperlink>
        </w:p>
        <w:p w:rsidR="000366B7" w:rsidRDefault="00A42A8F">
          <w:pPr>
            <w:pStyle w:val="TOC3"/>
            <w:tabs>
              <w:tab w:val="left" w:pos="1320"/>
              <w:tab w:val="right" w:leader="dot" w:pos="9016"/>
            </w:tabs>
            <w:rPr>
              <w:rFonts w:asciiTheme="minorHAnsi" w:hAnsiTheme="minorHAnsi"/>
              <w:noProof/>
            </w:rPr>
          </w:pPr>
          <w:hyperlink w:anchor="_Toc256000142" w:history="1">
            <w:r w:rsidR="00D20282">
              <w:rPr>
                <w:rStyle w:val="Hyperlink"/>
              </w:rPr>
              <w:t>4.4.1.</w:t>
            </w:r>
            <w:r w:rsidR="00D20282">
              <w:rPr>
                <w:rFonts w:asciiTheme="minorHAnsi" w:hAnsiTheme="minorHAnsi"/>
                <w:noProof/>
              </w:rPr>
              <w:tab/>
            </w:r>
            <w:r w:rsidR="00D20282" w:rsidRPr="00FF23CB">
              <w:rPr>
                <w:rStyle w:val="Hyperlink"/>
              </w:rPr>
              <w:t xml:space="preserve">Assigning </w:t>
            </w:r>
            <w:r w:rsidR="00D20282">
              <w:rPr>
                <w:rStyle w:val="Hyperlink"/>
              </w:rPr>
              <w:t xml:space="preserve">Risk Impact </w:t>
            </w:r>
            <w:r w:rsidR="00D20282" w:rsidRPr="00FF23CB">
              <w:rPr>
                <w:rStyle w:val="Hyperlink"/>
              </w:rPr>
              <w:t>Value</w:t>
            </w:r>
            <w:r w:rsidR="00D20282">
              <w:rPr>
                <w:rStyle w:val="Hyperlink"/>
              </w:rPr>
              <w:t>s</w:t>
            </w:r>
            <w:r w:rsidR="00D20282">
              <w:tab/>
            </w:r>
            <w:r w:rsidR="00D20282">
              <w:fldChar w:fldCharType="begin"/>
            </w:r>
            <w:r w:rsidR="00D20282">
              <w:instrText xml:space="preserve"> PAGEREF _Toc256000142 \h </w:instrText>
            </w:r>
            <w:r w:rsidR="00D20282">
              <w:fldChar w:fldCharType="separate"/>
            </w:r>
            <w:r w:rsidR="00D20282">
              <w:t>6</w:t>
            </w:r>
            <w:r w:rsidR="00D20282">
              <w:fldChar w:fldCharType="end"/>
            </w:r>
          </w:hyperlink>
        </w:p>
        <w:p w:rsidR="000366B7" w:rsidRDefault="00A42A8F">
          <w:pPr>
            <w:pStyle w:val="TOC3"/>
            <w:tabs>
              <w:tab w:val="left" w:pos="1320"/>
              <w:tab w:val="right" w:leader="dot" w:pos="9016"/>
            </w:tabs>
            <w:rPr>
              <w:rFonts w:asciiTheme="minorHAnsi" w:hAnsiTheme="minorHAnsi"/>
              <w:noProof/>
            </w:rPr>
          </w:pPr>
          <w:hyperlink w:anchor="_Toc256000143" w:history="1">
            <w:r w:rsidR="00D20282">
              <w:rPr>
                <w:rStyle w:val="Hyperlink"/>
                <w:rFonts w:cs="Calibri"/>
              </w:rPr>
              <w:t>4.4.2.</w:t>
            </w:r>
            <w:r w:rsidR="00D20282">
              <w:rPr>
                <w:rFonts w:asciiTheme="minorHAnsi" w:hAnsiTheme="minorHAnsi" w:cs="Calibri"/>
                <w:noProof/>
              </w:rPr>
              <w:tab/>
            </w:r>
            <w:r w:rsidR="00D20282" w:rsidRPr="0008391B">
              <w:rPr>
                <w:rStyle w:val="Hyperlink"/>
                <w:rFonts w:cs="Calibri"/>
              </w:rPr>
              <w:t>Assigning Likelihood Values</w:t>
            </w:r>
            <w:r w:rsidR="00D20282">
              <w:tab/>
            </w:r>
            <w:r w:rsidR="00D20282">
              <w:fldChar w:fldCharType="begin"/>
            </w:r>
            <w:r w:rsidR="00D20282">
              <w:instrText xml:space="preserve"> PAGEREF _Toc256000143 \h </w:instrText>
            </w:r>
            <w:r w:rsidR="00D20282">
              <w:fldChar w:fldCharType="separate"/>
            </w:r>
            <w:r w:rsidR="00D20282">
              <w:t>9</w:t>
            </w:r>
            <w:r w:rsidR="00D20282">
              <w:fldChar w:fldCharType="end"/>
            </w:r>
          </w:hyperlink>
        </w:p>
        <w:p w:rsidR="000366B7" w:rsidRDefault="00A42A8F">
          <w:pPr>
            <w:pStyle w:val="TOC3"/>
            <w:tabs>
              <w:tab w:val="left" w:pos="1320"/>
              <w:tab w:val="right" w:leader="dot" w:pos="9016"/>
            </w:tabs>
            <w:rPr>
              <w:rFonts w:asciiTheme="minorHAnsi" w:hAnsiTheme="minorHAnsi"/>
              <w:noProof/>
            </w:rPr>
          </w:pPr>
          <w:hyperlink w:anchor="_Toc256000144" w:history="1">
            <w:r w:rsidR="00D20282">
              <w:rPr>
                <w:rStyle w:val="Hyperlink"/>
              </w:rPr>
              <w:t>4.4.3.</w:t>
            </w:r>
            <w:r w:rsidR="00D20282">
              <w:rPr>
                <w:rFonts w:asciiTheme="minorHAnsi" w:hAnsiTheme="minorHAnsi"/>
                <w:noProof/>
              </w:rPr>
              <w:tab/>
            </w:r>
            <w:r w:rsidR="00D20282">
              <w:rPr>
                <w:rStyle w:val="Hyperlink"/>
              </w:rPr>
              <w:t xml:space="preserve">Risk Score </w:t>
            </w:r>
            <w:r w:rsidR="00D20282" w:rsidRPr="00FF23CB">
              <w:rPr>
                <w:rStyle w:val="Hyperlink"/>
              </w:rPr>
              <w:t>Calculation</w:t>
            </w:r>
            <w:r w:rsidR="00D20282">
              <w:tab/>
            </w:r>
            <w:r w:rsidR="00D20282">
              <w:fldChar w:fldCharType="begin"/>
            </w:r>
            <w:r w:rsidR="00D20282">
              <w:instrText xml:space="preserve"> PAGEREF _Toc256000144 \h </w:instrText>
            </w:r>
            <w:r w:rsidR="00D20282">
              <w:fldChar w:fldCharType="separate"/>
            </w:r>
            <w:r w:rsidR="00D20282">
              <w:t>10</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45" w:history="1">
            <w:r w:rsidR="00D20282">
              <w:rPr>
                <w:rStyle w:val="Hyperlink"/>
              </w:rPr>
              <w:t>4.5.</w:t>
            </w:r>
            <w:r w:rsidR="00D20282">
              <w:rPr>
                <w:rFonts w:asciiTheme="minorHAnsi" w:hAnsiTheme="minorHAnsi"/>
                <w:noProof/>
              </w:rPr>
              <w:tab/>
            </w:r>
            <w:r w:rsidR="00D20282">
              <w:rPr>
                <w:rStyle w:val="Hyperlink"/>
              </w:rPr>
              <w:t>Risk Treatment</w:t>
            </w:r>
            <w:r w:rsidR="00D20282">
              <w:tab/>
            </w:r>
            <w:r w:rsidR="00D20282">
              <w:fldChar w:fldCharType="begin"/>
            </w:r>
            <w:r w:rsidR="00D20282">
              <w:instrText xml:space="preserve"> PAGEREF _Toc256000145 \h </w:instrText>
            </w:r>
            <w:r w:rsidR="00D20282">
              <w:fldChar w:fldCharType="separate"/>
            </w:r>
            <w:r w:rsidR="00D20282">
              <w:t>10</w:t>
            </w:r>
            <w:r w:rsidR="00D20282">
              <w:fldChar w:fldCharType="end"/>
            </w:r>
          </w:hyperlink>
        </w:p>
        <w:p w:rsidR="000366B7" w:rsidRDefault="00A42A8F">
          <w:pPr>
            <w:pStyle w:val="TOC3"/>
            <w:tabs>
              <w:tab w:val="left" w:pos="1320"/>
              <w:tab w:val="right" w:leader="dot" w:pos="9016"/>
            </w:tabs>
            <w:rPr>
              <w:rFonts w:asciiTheme="minorHAnsi" w:hAnsiTheme="minorHAnsi"/>
              <w:noProof/>
            </w:rPr>
          </w:pPr>
          <w:hyperlink w:anchor="_Toc256000146" w:history="1">
            <w:r w:rsidR="00D20282">
              <w:rPr>
                <w:rStyle w:val="Hyperlink"/>
              </w:rPr>
              <w:t>4.5.1.</w:t>
            </w:r>
            <w:r w:rsidR="00D20282">
              <w:rPr>
                <w:rFonts w:asciiTheme="minorHAnsi" w:hAnsiTheme="minorHAnsi"/>
                <w:noProof/>
              </w:rPr>
              <w:tab/>
            </w:r>
            <w:r w:rsidR="00D20282">
              <w:rPr>
                <w:rStyle w:val="Hyperlink"/>
              </w:rPr>
              <w:t>Risk T</w:t>
            </w:r>
            <w:r w:rsidR="00D20282" w:rsidRPr="004656B7">
              <w:rPr>
                <w:rStyle w:val="Hyperlink"/>
              </w:rPr>
              <w:t xml:space="preserve">reatment </w:t>
            </w:r>
            <w:r w:rsidR="00D20282">
              <w:rPr>
                <w:rStyle w:val="Hyperlink"/>
              </w:rPr>
              <w:t>C</w:t>
            </w:r>
            <w:r w:rsidR="00D20282" w:rsidRPr="004656B7">
              <w:rPr>
                <w:rStyle w:val="Hyperlink"/>
              </w:rPr>
              <w:t>onstraints</w:t>
            </w:r>
            <w:r w:rsidR="00D20282">
              <w:tab/>
            </w:r>
            <w:r w:rsidR="00D20282">
              <w:fldChar w:fldCharType="begin"/>
            </w:r>
            <w:r w:rsidR="00D20282">
              <w:instrText xml:space="preserve"> PAGEREF _Toc256000146 \h </w:instrText>
            </w:r>
            <w:r w:rsidR="00D20282">
              <w:fldChar w:fldCharType="separate"/>
            </w:r>
            <w:r w:rsidR="00D20282">
              <w:t>10</w:t>
            </w:r>
            <w:r w:rsidR="00D20282">
              <w:fldChar w:fldCharType="end"/>
            </w:r>
          </w:hyperlink>
        </w:p>
        <w:p w:rsidR="000366B7" w:rsidRDefault="00A42A8F">
          <w:pPr>
            <w:pStyle w:val="TOC2"/>
            <w:tabs>
              <w:tab w:val="left" w:pos="880"/>
              <w:tab w:val="right" w:leader="dot" w:pos="9016"/>
            </w:tabs>
            <w:rPr>
              <w:rFonts w:asciiTheme="minorHAnsi" w:hAnsiTheme="minorHAnsi"/>
              <w:noProof/>
            </w:rPr>
          </w:pPr>
          <w:hyperlink w:anchor="_Toc256000147" w:history="1">
            <w:r w:rsidR="00D20282">
              <w:rPr>
                <w:rStyle w:val="Hyperlink"/>
              </w:rPr>
              <w:t>4.6.</w:t>
            </w:r>
            <w:r w:rsidR="00D20282">
              <w:rPr>
                <w:rFonts w:asciiTheme="minorHAnsi" w:hAnsiTheme="minorHAnsi"/>
                <w:noProof/>
              </w:rPr>
              <w:tab/>
            </w:r>
            <w:r w:rsidR="00D20282" w:rsidRPr="008456A5">
              <w:rPr>
                <w:rStyle w:val="Hyperlink"/>
              </w:rPr>
              <w:t xml:space="preserve">Risk </w:t>
            </w:r>
            <w:r w:rsidR="00D20282">
              <w:rPr>
                <w:rStyle w:val="Hyperlink"/>
              </w:rPr>
              <w:t>T</w:t>
            </w:r>
            <w:r w:rsidR="00D20282" w:rsidRPr="008456A5">
              <w:rPr>
                <w:rStyle w:val="Hyperlink"/>
              </w:rPr>
              <w:t xml:space="preserve">reatment </w:t>
            </w:r>
            <w:r w:rsidR="00D20282">
              <w:rPr>
                <w:rStyle w:val="Hyperlink"/>
              </w:rPr>
              <w:t>P</w:t>
            </w:r>
            <w:r w:rsidR="00D20282" w:rsidRPr="008456A5">
              <w:rPr>
                <w:rStyle w:val="Hyperlink"/>
              </w:rPr>
              <w:t>rocess</w:t>
            </w:r>
            <w:r w:rsidR="00D20282">
              <w:tab/>
            </w:r>
            <w:r w:rsidR="00D20282">
              <w:fldChar w:fldCharType="begin"/>
            </w:r>
            <w:r w:rsidR="00D20282">
              <w:instrText xml:space="preserve"> PAGEREF _Toc256000147 \h </w:instrText>
            </w:r>
            <w:r w:rsidR="00D20282">
              <w:fldChar w:fldCharType="separate"/>
            </w:r>
            <w:r w:rsidR="00D20282">
              <w:t>12</w:t>
            </w:r>
            <w:r w:rsidR="00D20282">
              <w:fldChar w:fldCharType="end"/>
            </w:r>
          </w:hyperlink>
        </w:p>
        <w:p w:rsidR="000366B7" w:rsidRDefault="00A42A8F">
          <w:pPr>
            <w:pStyle w:val="TOC1"/>
            <w:tabs>
              <w:tab w:val="left" w:pos="480"/>
              <w:tab w:val="right" w:leader="dot" w:pos="9016"/>
            </w:tabs>
            <w:rPr>
              <w:rFonts w:asciiTheme="minorHAnsi" w:hAnsiTheme="minorHAnsi"/>
              <w:noProof/>
            </w:rPr>
          </w:pPr>
          <w:hyperlink w:anchor="_Toc256000148" w:history="1">
            <w:r w:rsidR="00D20282">
              <w:rPr>
                <w:rStyle w:val="Hyperlink"/>
              </w:rPr>
              <w:t>5.</w:t>
            </w:r>
            <w:r w:rsidR="00D20282">
              <w:rPr>
                <w:rFonts w:asciiTheme="minorHAnsi" w:hAnsiTheme="minorHAnsi"/>
                <w:noProof/>
              </w:rPr>
              <w:tab/>
            </w:r>
            <w:r w:rsidR="00D20282">
              <w:rPr>
                <w:rStyle w:val="Hyperlink"/>
              </w:rPr>
              <w:t>Cross-r</w:t>
            </w:r>
            <w:r w:rsidR="00D20282" w:rsidRPr="00FF23CB">
              <w:rPr>
                <w:rStyle w:val="Hyperlink"/>
              </w:rPr>
              <w:t xml:space="preserve">eferenced </w:t>
            </w:r>
            <w:r w:rsidR="00D20282">
              <w:rPr>
                <w:rStyle w:val="Hyperlink"/>
              </w:rPr>
              <w:t xml:space="preserve">ISMS </w:t>
            </w:r>
            <w:r w:rsidR="00D20282" w:rsidRPr="00FF23CB">
              <w:rPr>
                <w:rStyle w:val="Hyperlink"/>
              </w:rPr>
              <w:t>Documents</w:t>
            </w:r>
            <w:r w:rsidR="00D20282">
              <w:tab/>
            </w:r>
            <w:r w:rsidR="00D20282">
              <w:fldChar w:fldCharType="begin"/>
            </w:r>
            <w:r w:rsidR="00D20282">
              <w:instrText xml:space="preserve"> PAGEREF _Toc256000148 \h </w:instrText>
            </w:r>
            <w:r w:rsidR="00D20282">
              <w:fldChar w:fldCharType="separate"/>
            </w:r>
            <w:r w:rsidR="00D20282">
              <w:t>13</w:t>
            </w:r>
            <w:r w:rsidR="00D20282">
              <w:fldChar w:fldCharType="end"/>
            </w:r>
          </w:hyperlink>
        </w:p>
        <w:p w:rsidR="000366B7" w:rsidRDefault="00A42A8F">
          <w:pPr>
            <w:pStyle w:val="TOC1"/>
            <w:tabs>
              <w:tab w:val="left" w:pos="480"/>
              <w:tab w:val="right" w:leader="dot" w:pos="9016"/>
            </w:tabs>
            <w:rPr>
              <w:rFonts w:asciiTheme="minorHAnsi" w:hAnsiTheme="minorHAnsi"/>
              <w:noProof/>
            </w:rPr>
          </w:pPr>
          <w:hyperlink w:anchor="_Toc256000149" w:history="1">
            <w:r w:rsidR="00D20282">
              <w:rPr>
                <w:rStyle w:val="Hyperlink"/>
              </w:rPr>
              <w:t>6.</w:t>
            </w:r>
            <w:r w:rsidR="00D20282">
              <w:rPr>
                <w:rFonts w:asciiTheme="minorHAnsi" w:hAnsiTheme="minorHAnsi"/>
                <w:noProof/>
              </w:rPr>
              <w:tab/>
            </w:r>
            <w:r w:rsidR="00D20282" w:rsidRPr="00FF23CB">
              <w:rPr>
                <w:rStyle w:val="Hyperlink"/>
              </w:rPr>
              <w:t>Appendices</w:t>
            </w:r>
            <w:r w:rsidR="00D20282">
              <w:tab/>
            </w:r>
            <w:r w:rsidR="00D20282">
              <w:fldChar w:fldCharType="begin"/>
            </w:r>
            <w:r w:rsidR="00D20282">
              <w:instrText xml:space="preserve"> PAGEREF _Toc256000149 \h </w:instrText>
            </w:r>
            <w:r w:rsidR="00D20282">
              <w:fldChar w:fldCharType="separate"/>
            </w:r>
            <w:r w:rsidR="00D20282">
              <w:t>14</w:t>
            </w:r>
            <w:r w:rsidR="00D20282">
              <w:fldChar w:fldCharType="end"/>
            </w:r>
          </w:hyperlink>
        </w:p>
        <w:p w:rsidR="000366B7" w:rsidRDefault="00D20282" w:rsidP="00933BF4">
          <w:pPr>
            <w:pStyle w:val="TOCHeading"/>
            <w:jc w:val="left"/>
          </w:pPr>
          <w:r>
            <w:fldChar w:fldCharType="end"/>
          </w:r>
        </w:p>
      </w:sdtContent>
    </w:sdt>
    <w:p w:rsidR="00933BF4" w:rsidRPr="00FF23CB" w:rsidRDefault="00D20282" w:rsidP="00933BF4">
      <w:pPr>
        <w:pStyle w:val="ISMSHeading1"/>
        <w:rPr>
          <w:rFonts w:cs="Arial"/>
          <w:szCs w:val="24"/>
        </w:rPr>
      </w:pPr>
      <w:r>
        <w:br w:type="page"/>
      </w:r>
      <w:bookmarkStart w:id="0" w:name="_Toc256000134"/>
      <w:bookmarkStart w:id="1" w:name="_Toc256000006"/>
      <w:bookmarkStart w:id="2" w:name="_Toc256000108"/>
      <w:bookmarkStart w:id="3" w:name="_Toc256000092"/>
      <w:bookmarkStart w:id="4" w:name="_Toc256000076"/>
      <w:bookmarkStart w:id="5" w:name="_Toc256000060"/>
      <w:bookmarkStart w:id="6" w:name="_Toc256000045"/>
      <w:bookmarkStart w:id="7" w:name="_Toc256000030"/>
      <w:bookmarkStart w:id="8" w:name="_Toc256000015"/>
      <w:bookmarkStart w:id="9" w:name="_Toc256000000"/>
      <w:bookmarkStart w:id="10" w:name="_Toc484423630"/>
      <w:bookmarkStart w:id="11" w:name="_Toc486331666"/>
      <w:bookmarkStart w:id="12" w:name="_Toc490561960"/>
      <w:bookmarkStart w:id="13" w:name="_Toc497291365"/>
      <w:bookmarkStart w:id="14" w:name="_Toc524514454"/>
      <w:bookmarkStart w:id="15" w:name="_Toc956724"/>
      <w:r w:rsidRPr="003B5B28">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933BF4" w:rsidRPr="00541FBC" w:rsidRDefault="00D20282" w:rsidP="00933BF4">
      <w:pPr>
        <w:pStyle w:val="ISMSNormal"/>
      </w:pPr>
      <w:r w:rsidRPr="00541FBC">
        <w:t xml:space="preserve">This document defines the risk management process </w:t>
      </w:r>
      <w:r>
        <w:t xml:space="preserve">for Information Security Management </w:t>
      </w:r>
      <w:r w:rsidRPr="00541FBC">
        <w:t>that is used to identify possible risks, problems or disasters before they happen. This process allows the organisation to assess the risk</w:t>
      </w:r>
      <w:r>
        <w:t xml:space="preserve">s </w:t>
      </w:r>
      <w:r w:rsidRPr="00541FBC">
        <w:t>and to set up procedures to avoid the risks or minimize their impact. This also ensure</w:t>
      </w:r>
      <w:r>
        <w:t>s</w:t>
      </w:r>
      <w:r w:rsidRPr="00541FBC">
        <w:t xml:space="preserve"> the organisation complies with legal obligations and can establish and maintain a business continuity plan.</w:t>
      </w:r>
    </w:p>
    <w:p w:rsidR="00933BF4" w:rsidRPr="00FF23CB" w:rsidRDefault="00A42A8F" w:rsidP="00933BF4">
      <w:pPr>
        <w:pStyle w:val="ISMSNormal"/>
      </w:pPr>
    </w:p>
    <w:p w:rsidR="00933BF4" w:rsidRPr="00FF23CB" w:rsidRDefault="00D20282" w:rsidP="00933BF4">
      <w:pPr>
        <w:pStyle w:val="ISMSHeading1"/>
      </w:pPr>
      <w:bookmarkStart w:id="16" w:name="_Toc256000135"/>
      <w:bookmarkStart w:id="17" w:name="_Toc256000007"/>
      <w:bookmarkStart w:id="18" w:name="_Toc256000109"/>
      <w:bookmarkStart w:id="19" w:name="_Toc256000093"/>
      <w:bookmarkStart w:id="20" w:name="_Toc256000077"/>
      <w:bookmarkStart w:id="21" w:name="_Toc256000061"/>
      <w:bookmarkStart w:id="22" w:name="_Toc256000046"/>
      <w:bookmarkStart w:id="23" w:name="_Toc256000031"/>
      <w:bookmarkStart w:id="24" w:name="_Toc256000016"/>
      <w:bookmarkStart w:id="25" w:name="_Toc256000001"/>
      <w:bookmarkStart w:id="26" w:name="_Toc484423631"/>
      <w:bookmarkStart w:id="27" w:name="_Toc486331667"/>
      <w:bookmarkStart w:id="28" w:name="_Toc490561961"/>
      <w:bookmarkStart w:id="29" w:name="_Toc497291366"/>
      <w:bookmarkStart w:id="30" w:name="_Toc524514455"/>
      <w:bookmarkStart w:id="31" w:name="_Toc956725"/>
      <w:r w:rsidRPr="00FF23CB">
        <w:t>Scope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33BF4" w:rsidRDefault="00D20282" w:rsidP="00933BF4">
      <w:pPr>
        <w:pStyle w:val="ISMSNormal"/>
      </w:pPr>
      <w:r w:rsidRPr="00FF23CB">
        <w:t>This document applies to all assets under the ownership or control of the TRE.</w:t>
      </w:r>
    </w:p>
    <w:p w:rsidR="00933BF4" w:rsidRDefault="00A42A8F" w:rsidP="00933BF4">
      <w:pPr>
        <w:pStyle w:val="ISMSNormal"/>
      </w:pPr>
    </w:p>
    <w:p w:rsidR="00933BF4" w:rsidRPr="00FF23CB" w:rsidRDefault="00D20282" w:rsidP="00933BF4">
      <w:pPr>
        <w:pStyle w:val="ISMSHeading1"/>
      </w:pPr>
      <w:bookmarkStart w:id="32" w:name="_Toc256000136"/>
      <w:bookmarkStart w:id="33" w:name="_Toc256000008"/>
      <w:bookmarkStart w:id="34" w:name="_Toc256000110"/>
      <w:bookmarkStart w:id="35" w:name="_Toc256000094"/>
      <w:bookmarkStart w:id="36" w:name="_Toc256000078"/>
      <w:bookmarkStart w:id="37" w:name="_Toc256000062"/>
      <w:bookmarkStart w:id="38" w:name="_Toc256000047"/>
      <w:bookmarkStart w:id="39" w:name="_Toc256000032"/>
      <w:bookmarkStart w:id="40" w:name="_Toc256000017"/>
      <w:bookmarkStart w:id="41" w:name="_Toc256000002"/>
      <w:bookmarkStart w:id="42" w:name="_Toc484423632"/>
      <w:bookmarkStart w:id="43" w:name="_Toc486331668"/>
      <w:bookmarkStart w:id="44" w:name="_Toc490561962"/>
      <w:bookmarkStart w:id="45" w:name="_Toc497291367"/>
      <w:bookmarkStart w:id="46" w:name="_Toc524514456"/>
      <w:bookmarkStart w:id="47" w:name="_Toc956726"/>
      <w:r w:rsidRPr="00FF23CB">
        <w:t>Responsibilities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933BF4" w:rsidRPr="00FF23CB" w:rsidRDefault="00D20282" w:rsidP="00933BF4">
      <w:pPr>
        <w:pStyle w:val="ISMSNormal"/>
      </w:pPr>
      <w:r w:rsidRPr="00FF23CB">
        <w:t>Management Sponsor</w:t>
      </w:r>
      <w:r>
        <w:t xml:space="preserve"> is responsible for:</w:t>
      </w:r>
    </w:p>
    <w:p w:rsidR="00933BF4" w:rsidRPr="00D310C5" w:rsidRDefault="00D20282" w:rsidP="00933BF4">
      <w:pPr>
        <w:pStyle w:val="ListParagraph"/>
        <w:numPr>
          <w:ilvl w:val="0"/>
          <w:numId w:val="11"/>
        </w:numPr>
      </w:pPr>
      <w:bookmarkStart w:id="48" w:name="_Hlk486280003"/>
      <w:r>
        <w:t>Assisting the Risk Owner in m</w:t>
      </w:r>
      <w:r w:rsidRPr="00D310C5">
        <w:t xml:space="preserve">anaging </w:t>
      </w:r>
      <w:bookmarkEnd w:id="48"/>
      <w:r w:rsidRPr="00D310C5">
        <w:t>risks classified as “Very High”</w:t>
      </w:r>
    </w:p>
    <w:p w:rsidR="00933BF4" w:rsidRDefault="00A42A8F" w:rsidP="00933BF4">
      <w:pPr>
        <w:pStyle w:val="ISMSNormal"/>
      </w:pPr>
    </w:p>
    <w:p w:rsidR="00933BF4" w:rsidRDefault="00D20282" w:rsidP="00933BF4">
      <w:pPr>
        <w:pStyle w:val="ISMSNormal"/>
      </w:pPr>
      <w:r>
        <w:t xml:space="preserve">The </w:t>
      </w:r>
      <w:r w:rsidRPr="00FF23CB">
        <w:t xml:space="preserve">Information Security Steering Group </w:t>
      </w:r>
      <w:r>
        <w:t>(ISSG) is responsible for:</w:t>
      </w:r>
    </w:p>
    <w:p w:rsidR="00933BF4" w:rsidRDefault="00D20282" w:rsidP="00933BF4">
      <w:pPr>
        <w:pStyle w:val="ListParagraph"/>
        <w:numPr>
          <w:ilvl w:val="0"/>
          <w:numId w:val="15"/>
        </w:numPr>
      </w:pPr>
      <w:r>
        <w:t>Initiating a detailed risk assessment for all risks that exceed the risk assessment threshold</w:t>
      </w:r>
    </w:p>
    <w:p w:rsidR="00933BF4" w:rsidRPr="00F21BCD" w:rsidRDefault="00D20282" w:rsidP="00933BF4">
      <w:pPr>
        <w:pStyle w:val="ListParagraph"/>
        <w:numPr>
          <w:ilvl w:val="0"/>
          <w:numId w:val="15"/>
        </w:numPr>
      </w:pPr>
      <w:r>
        <w:t>Assisting the Risk Owner in m</w:t>
      </w:r>
      <w:r w:rsidRPr="00D310C5">
        <w:t>anaging</w:t>
      </w:r>
      <w:r w:rsidRPr="00F21BCD">
        <w:t xml:space="preserve"> risks classified as “High”</w:t>
      </w:r>
    </w:p>
    <w:p w:rsidR="00933BF4" w:rsidRDefault="00D20282" w:rsidP="00933BF4">
      <w:pPr>
        <w:pStyle w:val="ListParagraph"/>
        <w:numPr>
          <w:ilvl w:val="0"/>
          <w:numId w:val="15"/>
        </w:numPr>
      </w:pPr>
      <w:r w:rsidRPr="00FF23CB">
        <w:t>Review</w:t>
      </w:r>
      <w:r>
        <w:t>ing</w:t>
      </w:r>
      <w:r w:rsidRPr="00FF23CB">
        <w:t xml:space="preserve"> the output of risk assessment</w:t>
      </w:r>
      <w:r>
        <w:t xml:space="preserve"> and risk treatment</w:t>
      </w:r>
      <w:r w:rsidRPr="00FF23CB">
        <w:t xml:space="preserve"> at </w:t>
      </w:r>
      <w:r>
        <w:t>ISMS Management Review meetings</w:t>
      </w:r>
    </w:p>
    <w:p w:rsidR="00933BF4" w:rsidRPr="008C4BAC" w:rsidRDefault="00D20282" w:rsidP="00933BF4">
      <w:pPr>
        <w:pStyle w:val="ListParagraph"/>
        <w:numPr>
          <w:ilvl w:val="0"/>
          <w:numId w:val="15"/>
        </w:numPr>
      </w:pPr>
      <w:r>
        <w:t>Reviewing the risk register at ISMS Board meetings</w:t>
      </w:r>
    </w:p>
    <w:p w:rsidR="00933BF4" w:rsidRDefault="00A42A8F" w:rsidP="00933BF4">
      <w:pPr>
        <w:pStyle w:val="ISMSNormal"/>
      </w:pPr>
    </w:p>
    <w:p w:rsidR="00933BF4" w:rsidRPr="00D700F7" w:rsidRDefault="00D20282" w:rsidP="00933BF4">
      <w:pPr>
        <w:pStyle w:val="ISMSNormal"/>
      </w:pPr>
      <w:r>
        <w:t xml:space="preserve">The ISMS Risk Management Process Owner </w:t>
      </w:r>
      <w:r w:rsidRPr="00FF23CB">
        <w:t>is responsible for:</w:t>
      </w:r>
    </w:p>
    <w:p w:rsidR="00933BF4" w:rsidRDefault="00D20282" w:rsidP="00933BF4">
      <w:pPr>
        <w:pStyle w:val="ListParagraph"/>
        <w:numPr>
          <w:ilvl w:val="0"/>
          <w:numId w:val="9"/>
        </w:numPr>
      </w:pPr>
      <w:r>
        <w:t xml:space="preserve">Managing the Information Security Risk Register ISMS-02-06 </w:t>
      </w:r>
    </w:p>
    <w:p w:rsidR="00933BF4" w:rsidRDefault="00D20282" w:rsidP="00933BF4">
      <w:pPr>
        <w:pStyle w:val="ListParagraph"/>
        <w:numPr>
          <w:ilvl w:val="0"/>
          <w:numId w:val="9"/>
        </w:numPr>
      </w:pPr>
      <w:r>
        <w:t>Routinely reviewing the Risk Register with the TRE Asset Owners and Risk Owners</w:t>
      </w:r>
    </w:p>
    <w:p w:rsidR="00933BF4" w:rsidRPr="008976F2" w:rsidRDefault="00D20282" w:rsidP="00933BF4">
      <w:pPr>
        <w:pStyle w:val="ListParagraph"/>
        <w:numPr>
          <w:ilvl w:val="0"/>
          <w:numId w:val="9"/>
        </w:numPr>
      </w:pPr>
      <w:r>
        <w:t>Making changes to the risk register if any information requires amendment</w:t>
      </w:r>
    </w:p>
    <w:p w:rsidR="00933BF4" w:rsidRDefault="00A42A8F" w:rsidP="00933BF4">
      <w:pPr>
        <w:pStyle w:val="ISMSNormal"/>
      </w:pPr>
    </w:p>
    <w:p w:rsidR="00933BF4" w:rsidRDefault="00D20282" w:rsidP="00933BF4">
      <w:pPr>
        <w:pStyle w:val="ISMSNormal"/>
      </w:pPr>
      <w:r>
        <w:t xml:space="preserve">The </w:t>
      </w:r>
      <w:r w:rsidRPr="00FF23CB">
        <w:t>Information Security Manager (ISM) is responsible for:</w:t>
      </w:r>
    </w:p>
    <w:p w:rsidR="00933BF4" w:rsidRPr="00D700F7" w:rsidRDefault="00D20282" w:rsidP="00933BF4">
      <w:pPr>
        <w:pStyle w:val="ListParagraph"/>
      </w:pPr>
      <w:r>
        <w:t>Presenting risks classified as “Very High” or “High” at the ISMS Management Review meetings on behalf of the ISMS Risk Management Process Owner</w:t>
      </w:r>
    </w:p>
    <w:p w:rsidR="00933BF4" w:rsidRDefault="00A42A8F" w:rsidP="00933BF4">
      <w:pPr>
        <w:pStyle w:val="ISMSNormal"/>
      </w:pPr>
    </w:p>
    <w:p w:rsidR="00933BF4" w:rsidRPr="00FF23CB" w:rsidRDefault="00D20282" w:rsidP="00933BF4">
      <w:pPr>
        <w:pStyle w:val="ISMSNormal"/>
      </w:pPr>
      <w:r>
        <w:t xml:space="preserve">TRE </w:t>
      </w:r>
      <w:r w:rsidRPr="00FF23CB">
        <w:t xml:space="preserve">Asset Owners </w:t>
      </w:r>
      <w:r>
        <w:t xml:space="preserve">and </w:t>
      </w:r>
      <w:r w:rsidRPr="00FF23CB">
        <w:t>are responsible for:</w:t>
      </w:r>
    </w:p>
    <w:p w:rsidR="00933BF4" w:rsidRPr="0067561D" w:rsidRDefault="00D20282" w:rsidP="00933BF4">
      <w:pPr>
        <w:pStyle w:val="ListParagraph"/>
        <w:numPr>
          <w:ilvl w:val="0"/>
          <w:numId w:val="10"/>
        </w:numPr>
      </w:pPr>
      <w:r w:rsidRPr="0067561D">
        <w:t>Completing the high level and detailed risk assessments</w:t>
      </w:r>
    </w:p>
    <w:p w:rsidR="00933BF4" w:rsidRPr="008976F2" w:rsidRDefault="00D20282" w:rsidP="00933BF4">
      <w:pPr>
        <w:pStyle w:val="ListParagraph"/>
        <w:numPr>
          <w:ilvl w:val="0"/>
          <w:numId w:val="10"/>
        </w:numPr>
      </w:pPr>
      <w:r>
        <w:t>Identifying any changes to their risks and informing the ISMS Risk Management Process owner</w:t>
      </w:r>
    </w:p>
    <w:p w:rsidR="00933BF4" w:rsidRDefault="00A42A8F" w:rsidP="00933BF4">
      <w:pPr>
        <w:pStyle w:val="ISMSNormal"/>
      </w:pPr>
    </w:p>
    <w:p w:rsidR="00933BF4" w:rsidRDefault="00D20282" w:rsidP="00933BF4">
      <w:pPr>
        <w:pStyle w:val="ISMSNormal"/>
      </w:pPr>
      <w:r>
        <w:t>The Risk Owner is responsible for:</w:t>
      </w:r>
    </w:p>
    <w:p w:rsidR="00933BF4" w:rsidRDefault="00D20282" w:rsidP="00933BF4">
      <w:pPr>
        <w:pStyle w:val="ListParagraph"/>
        <w:numPr>
          <w:ilvl w:val="0"/>
          <w:numId w:val="15"/>
        </w:numPr>
      </w:pPr>
      <w:r>
        <w:t>Managing their risks</w:t>
      </w:r>
    </w:p>
    <w:p w:rsidR="00933BF4" w:rsidRPr="0031434C" w:rsidRDefault="00D20282" w:rsidP="00933BF4">
      <w:pPr>
        <w:pStyle w:val="ListParagraph"/>
        <w:numPr>
          <w:ilvl w:val="0"/>
          <w:numId w:val="15"/>
        </w:numPr>
      </w:pPr>
      <w:r w:rsidRPr="0031434C">
        <w:t>Identifying and completing the required treatment actions</w:t>
      </w:r>
    </w:p>
    <w:p w:rsidR="00933BF4" w:rsidRPr="00473645" w:rsidRDefault="00D20282" w:rsidP="00933BF4">
      <w:pPr>
        <w:pStyle w:val="ListParagraph"/>
        <w:numPr>
          <w:ilvl w:val="0"/>
          <w:numId w:val="15"/>
        </w:numPr>
      </w:pPr>
      <w:r w:rsidRPr="008C4BAC">
        <w:t>Reporting issues, requirements and potential knock-on effects for the proposed risk treatments</w:t>
      </w:r>
    </w:p>
    <w:p w:rsidR="00933BF4" w:rsidRDefault="00D20282" w:rsidP="00933BF4">
      <w:pPr>
        <w:pStyle w:val="ListParagraph"/>
        <w:numPr>
          <w:ilvl w:val="0"/>
          <w:numId w:val="15"/>
        </w:numPr>
      </w:pPr>
      <w:r>
        <w:t>Communicating risks and treatments to TRE staff, users and stakeholders as appropriate</w:t>
      </w:r>
    </w:p>
    <w:p w:rsidR="00933BF4" w:rsidRPr="00FF23CB" w:rsidRDefault="00D20282" w:rsidP="00933BF4">
      <w:pPr>
        <w:pStyle w:val="ListParagraph"/>
      </w:pPr>
      <w:r>
        <w:t xml:space="preserve">Identifying any changes to their risks and informing the ISMS Risk Management Process owner </w:t>
      </w:r>
    </w:p>
    <w:p w:rsidR="00933BF4" w:rsidRDefault="00A42A8F" w:rsidP="00933BF4">
      <w:pPr>
        <w:pStyle w:val="ISMSNormal"/>
      </w:pPr>
    </w:p>
    <w:p w:rsidR="00933BF4" w:rsidRDefault="00A42A8F" w:rsidP="00933BF4">
      <w:pPr>
        <w:pStyle w:val="ISMSNormal"/>
      </w:pPr>
    </w:p>
    <w:p w:rsidR="00933BF4" w:rsidRPr="00FF23CB" w:rsidRDefault="00D20282" w:rsidP="00933BF4">
      <w:pPr>
        <w:pStyle w:val="ISMSHeading1"/>
      </w:pPr>
      <w:bookmarkStart w:id="49" w:name="_Toc256000137"/>
      <w:bookmarkStart w:id="50" w:name="_Toc256000009"/>
      <w:bookmarkStart w:id="51" w:name="_Toc256000111"/>
      <w:bookmarkStart w:id="52" w:name="_Toc256000095"/>
      <w:bookmarkStart w:id="53" w:name="_Toc256000079"/>
      <w:bookmarkStart w:id="54" w:name="_Toc256000063"/>
      <w:bookmarkStart w:id="55" w:name="_Toc256000048"/>
      <w:bookmarkStart w:id="56" w:name="_Toc256000033"/>
      <w:bookmarkStart w:id="57" w:name="_Toc256000018"/>
      <w:bookmarkStart w:id="58" w:name="_Toc256000003"/>
      <w:bookmarkStart w:id="59" w:name="_Toc484423633"/>
      <w:bookmarkStart w:id="60" w:name="_Toc486331669"/>
      <w:bookmarkStart w:id="61" w:name="_Toc490561963"/>
      <w:bookmarkStart w:id="62" w:name="_Toc497291368"/>
      <w:bookmarkStart w:id="63" w:name="_Toc524514457"/>
      <w:bookmarkStart w:id="64" w:name="_Toc956727"/>
      <w:r w:rsidRPr="00FF23CB">
        <w:lastRenderedPageBreak/>
        <w:t>Procedure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933BF4" w:rsidRPr="00C979A9" w:rsidRDefault="00D20282" w:rsidP="00933BF4">
      <w:pPr>
        <w:pStyle w:val="ISMSNormal"/>
      </w:pPr>
      <w:r w:rsidRPr="00C979A9">
        <w:t>Organizations and people that use computers can describe their needs for information security and trust in systems in terms of three major requirements:</w:t>
      </w:r>
    </w:p>
    <w:p w:rsidR="00933BF4" w:rsidRPr="00C979A9" w:rsidRDefault="00A42A8F" w:rsidP="00933BF4">
      <w:pPr>
        <w:pStyle w:val="ISMSNormal"/>
      </w:pPr>
    </w:p>
    <w:p w:rsidR="00933BF4" w:rsidRPr="00C979A9" w:rsidRDefault="00D20282" w:rsidP="00933BF4">
      <w:pPr>
        <w:pStyle w:val="ListParagraph"/>
        <w:numPr>
          <w:ilvl w:val="0"/>
          <w:numId w:val="19"/>
        </w:numPr>
      </w:pPr>
      <w:r w:rsidRPr="00C979A9">
        <w:t>Confidentiality: controlling who gets to read information;</w:t>
      </w:r>
    </w:p>
    <w:p w:rsidR="00933BF4" w:rsidRPr="00C979A9" w:rsidRDefault="00D20282" w:rsidP="00933BF4">
      <w:pPr>
        <w:pStyle w:val="ListParagraph"/>
        <w:numPr>
          <w:ilvl w:val="0"/>
          <w:numId w:val="19"/>
        </w:numPr>
      </w:pPr>
      <w:r w:rsidRPr="00C979A9">
        <w:t>Integrity: assuring that information and programs are changed only in a specified and authorized manner; and</w:t>
      </w:r>
    </w:p>
    <w:p w:rsidR="00933BF4" w:rsidRDefault="00D20282" w:rsidP="00933BF4">
      <w:pPr>
        <w:pStyle w:val="ListParagraph"/>
        <w:numPr>
          <w:ilvl w:val="0"/>
          <w:numId w:val="19"/>
        </w:numPr>
      </w:pPr>
      <w:r w:rsidRPr="00C979A9">
        <w:t>Availability: assuring that authorized users have continued access to information and resources.</w:t>
      </w:r>
    </w:p>
    <w:p w:rsidR="00933BF4" w:rsidRDefault="00A42A8F" w:rsidP="00933BF4">
      <w:pPr>
        <w:pStyle w:val="ISMSNormal"/>
      </w:pPr>
    </w:p>
    <w:p w:rsidR="00933BF4" w:rsidRDefault="00D20282" w:rsidP="00933BF4">
      <w:pPr>
        <w:pStyle w:val="ISMSNormal"/>
      </w:pPr>
      <w:r>
        <w:t xml:space="preserve">For the purpose of the risk assessment process it shall be considered that the primary asset is the data managed by the TRE and this is strictly confidential. If </w:t>
      </w:r>
      <w:r w:rsidRPr="00B34E6A">
        <w:t xml:space="preserve">impacted </w:t>
      </w:r>
      <w:r>
        <w:t xml:space="preserve">it </w:t>
      </w:r>
      <w:r w:rsidRPr="00B34E6A">
        <w:t>has the potential to cause serious damage or distress to individuals or serious damage to the University’s interests e.g. highly sensitive private information about living individuals, business activity with the potential to seriously affect commercial interests and/or the University’s corporate reputation, information that facilitates the protection of critical functions and key assets including passwords and administration account information.</w:t>
      </w:r>
      <w:r>
        <w:t xml:space="preserve"> The individual assets that could affect this primary asset include, but are not limited to:</w:t>
      </w:r>
    </w:p>
    <w:p w:rsidR="00933BF4" w:rsidRDefault="00D20282" w:rsidP="00933BF4">
      <w:pPr>
        <w:pStyle w:val="ListParagraph"/>
        <w:numPr>
          <w:ilvl w:val="0"/>
          <w:numId w:val="21"/>
        </w:numPr>
      </w:pPr>
      <w:r w:rsidRPr="006F75D5">
        <w:t xml:space="preserve">Information e.g. passwords, </w:t>
      </w:r>
      <w:r>
        <w:t>s</w:t>
      </w:r>
      <w:r w:rsidRPr="006F75D5">
        <w:t xml:space="preserve">ource code, </w:t>
      </w:r>
      <w:r>
        <w:t>s</w:t>
      </w:r>
      <w:r w:rsidRPr="006F75D5">
        <w:t xml:space="preserve">ystem documentation, </w:t>
      </w:r>
      <w:r>
        <w:t>i</w:t>
      </w:r>
      <w:r w:rsidRPr="006F75D5">
        <w:t xml:space="preserve">ntellectual property, </w:t>
      </w:r>
      <w:r>
        <w:t>d</w:t>
      </w:r>
      <w:r w:rsidRPr="006F75D5">
        <w:t xml:space="preserve">ata for regulatory requirements, </w:t>
      </w:r>
      <w:r>
        <w:t>n</w:t>
      </w:r>
      <w:r w:rsidRPr="006F75D5">
        <w:t xml:space="preserve">etwork infrastructure design  </w:t>
      </w:r>
    </w:p>
    <w:p w:rsidR="00933BF4" w:rsidRDefault="00D20282" w:rsidP="00933BF4">
      <w:pPr>
        <w:pStyle w:val="ListParagraph"/>
        <w:numPr>
          <w:ilvl w:val="0"/>
          <w:numId w:val="20"/>
        </w:numPr>
      </w:pPr>
      <w:r w:rsidRPr="006F75D5">
        <w:t xml:space="preserve">Technology e.g. </w:t>
      </w:r>
      <w:r>
        <w:t>s</w:t>
      </w:r>
      <w:r w:rsidRPr="006F75D5">
        <w:t xml:space="preserve">ervers, </w:t>
      </w:r>
      <w:r>
        <w:t>d</w:t>
      </w:r>
      <w:r w:rsidRPr="006F75D5">
        <w:t xml:space="preserve">esktop computers, </w:t>
      </w:r>
      <w:r>
        <w:t>l</w:t>
      </w:r>
      <w:r w:rsidRPr="006F75D5">
        <w:t xml:space="preserve">aptops, </w:t>
      </w:r>
      <w:r>
        <w:t>t</w:t>
      </w:r>
      <w:r w:rsidRPr="006F75D5">
        <w:t xml:space="preserve">ablet, </w:t>
      </w:r>
      <w:r>
        <w:t>s</w:t>
      </w:r>
      <w:r w:rsidRPr="006F75D5">
        <w:t xml:space="preserve">mart phones, </w:t>
      </w:r>
      <w:r>
        <w:t>s</w:t>
      </w:r>
      <w:r w:rsidRPr="006F75D5">
        <w:t xml:space="preserve">erver application software, </w:t>
      </w:r>
      <w:r>
        <w:t>e</w:t>
      </w:r>
      <w:r w:rsidRPr="006F75D5">
        <w:t xml:space="preserve">nd-user software, </w:t>
      </w:r>
      <w:r>
        <w:t>d</w:t>
      </w:r>
      <w:r w:rsidRPr="006F75D5">
        <w:t xml:space="preserve">evelopment tools, </w:t>
      </w:r>
      <w:r>
        <w:t>r</w:t>
      </w:r>
      <w:r w:rsidRPr="006F75D5">
        <w:t xml:space="preserve">outers, </w:t>
      </w:r>
      <w:r>
        <w:t>n</w:t>
      </w:r>
      <w:r w:rsidRPr="006F75D5">
        <w:t xml:space="preserve">etwork switches, PBXs, </w:t>
      </w:r>
      <w:r>
        <w:t>r</w:t>
      </w:r>
      <w:r w:rsidRPr="006F75D5">
        <w:t xml:space="preserve">emovable media, </w:t>
      </w:r>
      <w:r>
        <w:t>p</w:t>
      </w:r>
      <w:r w:rsidRPr="006F75D5">
        <w:t xml:space="preserve">ower supplies, </w:t>
      </w:r>
      <w:r>
        <w:t>u</w:t>
      </w:r>
      <w:r w:rsidRPr="006F75D5">
        <w:t xml:space="preserve">ninterruptible power supplies </w:t>
      </w:r>
    </w:p>
    <w:p w:rsidR="00933BF4" w:rsidRDefault="00D20282" w:rsidP="00933BF4">
      <w:pPr>
        <w:pStyle w:val="ListParagraph"/>
        <w:numPr>
          <w:ilvl w:val="0"/>
          <w:numId w:val="20"/>
        </w:numPr>
      </w:pPr>
      <w:r w:rsidRPr="006F75D5">
        <w:t xml:space="preserve">Services e.g. </w:t>
      </w:r>
      <w:r>
        <w:t xml:space="preserve">batch </w:t>
      </w:r>
      <w:r w:rsidRPr="006F75D5">
        <w:t xml:space="preserve">scheduling, </w:t>
      </w:r>
      <w:r>
        <w:t>i</w:t>
      </w:r>
      <w:r w:rsidRPr="006F75D5">
        <w:t xml:space="preserve">nstant messaging, Active Directory service, Domain Name </w:t>
      </w:r>
      <w:r>
        <w:t>service</w:t>
      </w:r>
      <w:r w:rsidRPr="006F75D5">
        <w:t xml:space="preserve"> (DNS), Dynamic Host controls Configuration Protocol</w:t>
      </w:r>
      <w:r>
        <w:t xml:space="preserve"> service</w:t>
      </w:r>
      <w:r w:rsidRPr="006F75D5">
        <w:t xml:space="preserve"> (DHCP), </w:t>
      </w:r>
      <w:r>
        <w:t>e</w:t>
      </w:r>
      <w:r w:rsidRPr="006F75D5">
        <w:t xml:space="preserve">nterprise management tools, </w:t>
      </w:r>
      <w:r>
        <w:t>f</w:t>
      </w:r>
      <w:r w:rsidRPr="006F75D5">
        <w:t xml:space="preserve">ile sharing, </w:t>
      </w:r>
      <w:r>
        <w:t>s</w:t>
      </w:r>
      <w:r w:rsidRPr="006F75D5">
        <w:t xml:space="preserve">torage, </w:t>
      </w:r>
      <w:r>
        <w:t>d</w:t>
      </w:r>
      <w:r w:rsidRPr="006F75D5">
        <w:t xml:space="preserve">ial-up remote access, Telephony Virtual Private Networking (VPN) access, </w:t>
      </w:r>
      <w:r>
        <w:t>c</w:t>
      </w:r>
      <w:r w:rsidRPr="006F75D5">
        <w:t xml:space="preserve">ollaboration services  </w:t>
      </w:r>
    </w:p>
    <w:p w:rsidR="00933BF4" w:rsidRPr="006F75D5" w:rsidRDefault="00D20282" w:rsidP="00933BF4">
      <w:pPr>
        <w:pStyle w:val="ListParagraph"/>
        <w:numPr>
          <w:ilvl w:val="0"/>
          <w:numId w:val="20"/>
        </w:numPr>
      </w:pPr>
      <w:r>
        <w:t>P</w:t>
      </w:r>
      <w:r w:rsidRPr="006F75D5">
        <w:t xml:space="preserve">eople e.g. </w:t>
      </w:r>
      <w:r>
        <w:t>s</w:t>
      </w:r>
      <w:r w:rsidRPr="006F75D5">
        <w:t xml:space="preserve">ubject matter experts, administrators, developers, third party support, end-users </w:t>
      </w:r>
    </w:p>
    <w:p w:rsidR="00933BF4" w:rsidRDefault="00A42A8F" w:rsidP="00933BF4">
      <w:pPr>
        <w:pStyle w:val="ListParagraph"/>
        <w:numPr>
          <w:ilvl w:val="0"/>
          <w:numId w:val="0"/>
        </w:numPr>
        <w:ind w:left="720"/>
      </w:pPr>
    </w:p>
    <w:p w:rsidR="00933BF4" w:rsidRDefault="00D20282" w:rsidP="00933BF4">
      <w:pPr>
        <w:pStyle w:val="ISMSNormal"/>
      </w:pPr>
      <w:r>
        <w:t xml:space="preserve">The effect these assets have on the TRE data is defined as their </w:t>
      </w:r>
      <w:r>
        <w:rPr>
          <w:i/>
        </w:rPr>
        <w:t>impact</w:t>
      </w:r>
      <w:r>
        <w:t xml:space="preserve"> and assigned a numerical value [score] according to the severity of that impact.</w:t>
      </w:r>
    </w:p>
    <w:p w:rsidR="00933BF4" w:rsidRDefault="00A42A8F" w:rsidP="00933BF4">
      <w:pPr>
        <w:pStyle w:val="ISMSNormal"/>
      </w:pPr>
    </w:p>
    <w:p w:rsidR="00933BF4" w:rsidRDefault="00D20282" w:rsidP="00933BF4">
      <w:pPr>
        <w:pStyle w:val="ISMSNormal"/>
      </w:pPr>
      <w:r>
        <w:t xml:space="preserve">These requirements will be used to assess the impact of risks to the organisation through the </w:t>
      </w:r>
      <w:r w:rsidRPr="00FF23CB">
        <w:t xml:space="preserve">Risk </w:t>
      </w:r>
      <w:r>
        <w:t>A</w:t>
      </w:r>
      <w:r w:rsidRPr="00FF23CB">
        <w:t>ssessment process</w:t>
      </w:r>
      <w:r>
        <w:t xml:space="preserve">. This process </w:t>
      </w:r>
      <w:r w:rsidRPr="00FF23CB">
        <w:t>has two levels:</w:t>
      </w:r>
    </w:p>
    <w:p w:rsidR="00933BF4" w:rsidRDefault="00A42A8F" w:rsidP="00933BF4">
      <w:pPr>
        <w:pStyle w:val="ISMSNormal"/>
      </w:pPr>
    </w:p>
    <w:p w:rsidR="00933BF4" w:rsidRPr="00FF23CB" w:rsidRDefault="00D20282" w:rsidP="00933BF4">
      <w:pPr>
        <w:pStyle w:val="ListParagraph"/>
        <w:numPr>
          <w:ilvl w:val="0"/>
          <w:numId w:val="14"/>
        </w:numPr>
      </w:pPr>
      <w:r w:rsidRPr="00FF23CB">
        <w:rPr>
          <w:b/>
        </w:rPr>
        <w:t>High-level risk assessment:</w:t>
      </w:r>
      <w:r w:rsidRPr="00FF23CB">
        <w:t xml:space="preserve"> the purpose of th</w:t>
      </w:r>
      <w:r>
        <w:t xml:space="preserve">e high-level risk </w:t>
      </w:r>
      <w:r w:rsidRPr="00FF23CB">
        <w:t xml:space="preserve">assessment is to identify </w:t>
      </w:r>
      <w:r>
        <w:t xml:space="preserve">all information </w:t>
      </w:r>
      <w:r w:rsidRPr="00FF23CB">
        <w:t>assets</w:t>
      </w:r>
      <w:r>
        <w:t xml:space="preserve"> in the organisation i.e. all assets that may affect the security of the data in the TRE. </w:t>
      </w:r>
      <w:r w:rsidRPr="006F75D5">
        <w:t>A value is assigned to each asset in terms of the worst-case impact the loss of confidentiality, integrity or availability of the asset may have on the organisation</w:t>
      </w:r>
      <w:r>
        <w:t xml:space="preserve">. This determines the value of the asset to the organisation and is used to assess if the asset should be taken through to the next stage of the process for a </w:t>
      </w:r>
      <w:r w:rsidRPr="00FF23CB">
        <w:t>detailed risk assessment. High-level risk assessment can take the form of an audit or self-assessment by the operator or owner of the asset. Assets that are indicated as exceeding the risk assessment threshold will be required to undergo a detailed risk assessment.</w:t>
      </w:r>
    </w:p>
    <w:p w:rsidR="00933BF4" w:rsidRPr="00FF23CB" w:rsidRDefault="00A42A8F" w:rsidP="00933BF4">
      <w:pPr>
        <w:pStyle w:val="ISMSNormal"/>
      </w:pPr>
    </w:p>
    <w:p w:rsidR="00933BF4" w:rsidRPr="006F75D5" w:rsidRDefault="00D20282" w:rsidP="00933BF4">
      <w:pPr>
        <w:pStyle w:val="ListParagraph"/>
        <w:numPr>
          <w:ilvl w:val="0"/>
          <w:numId w:val="14"/>
        </w:numPr>
        <w:rPr>
          <w:b/>
        </w:rPr>
      </w:pPr>
      <w:r w:rsidRPr="00FF23CB">
        <w:rPr>
          <w:b/>
        </w:rPr>
        <w:t xml:space="preserve">Detailed risk assessment: </w:t>
      </w:r>
      <w:r w:rsidRPr="00FF23CB">
        <w:t xml:space="preserve">the purpose of the detailed risk assessment is to take into account </w:t>
      </w:r>
      <w:r>
        <w:t xml:space="preserve">the </w:t>
      </w:r>
      <w:r w:rsidRPr="00FF23CB">
        <w:t>threats</w:t>
      </w:r>
      <w:r>
        <w:t xml:space="preserve"> that may exploit </w:t>
      </w:r>
      <w:r w:rsidRPr="00FF23CB">
        <w:t xml:space="preserve">vulnerabilities of the </w:t>
      </w:r>
      <w:r>
        <w:t xml:space="preserve">high-value </w:t>
      </w:r>
      <w:r w:rsidRPr="00FF23CB">
        <w:t>asset</w:t>
      </w:r>
      <w:r>
        <w:t>s</w:t>
      </w:r>
      <w:r w:rsidRPr="00FF23CB">
        <w:t xml:space="preserve"> and </w:t>
      </w:r>
      <w:r>
        <w:t xml:space="preserve">the </w:t>
      </w:r>
      <w:r w:rsidRPr="00FF23CB">
        <w:t xml:space="preserve">likelihood of </w:t>
      </w:r>
      <w:r>
        <w:t xml:space="preserve">the </w:t>
      </w:r>
      <w:r w:rsidRPr="00FF23CB">
        <w:t>breach or attack. This risk assessment should be conducted by an expert in the asset subject</w:t>
      </w:r>
      <w:r>
        <w:t xml:space="preserve"> or </w:t>
      </w:r>
      <w:r w:rsidRPr="00FF23CB">
        <w:t xml:space="preserve">asset owner. </w:t>
      </w:r>
    </w:p>
    <w:p w:rsidR="00933BF4" w:rsidRPr="00603DC6" w:rsidRDefault="00A42A8F" w:rsidP="00933BF4">
      <w:pPr>
        <w:rPr>
          <w:b/>
        </w:rPr>
      </w:pPr>
    </w:p>
    <w:p w:rsidR="00933BF4" w:rsidRPr="00FF23CB" w:rsidRDefault="00D20282" w:rsidP="00933BF4">
      <w:pPr>
        <w:pStyle w:val="ISMSHeading2"/>
      </w:pPr>
      <w:bookmarkStart w:id="65" w:name="_Toc256000138"/>
      <w:bookmarkStart w:id="66" w:name="_Toc256000010"/>
      <w:bookmarkStart w:id="67" w:name="_Toc256000112"/>
      <w:bookmarkStart w:id="68" w:name="_Toc256000096"/>
      <w:bookmarkStart w:id="69" w:name="_Toc256000080"/>
      <w:bookmarkStart w:id="70" w:name="_Toc256000064"/>
      <w:bookmarkStart w:id="71" w:name="_Toc256000049"/>
      <w:bookmarkStart w:id="72" w:name="_Toc256000034"/>
      <w:bookmarkStart w:id="73" w:name="_Toc256000019"/>
      <w:bookmarkStart w:id="74" w:name="_Toc256000004"/>
      <w:bookmarkStart w:id="75" w:name="_Toc484423634"/>
      <w:bookmarkStart w:id="76" w:name="_Toc486331670"/>
      <w:bookmarkStart w:id="77" w:name="_Toc490561964"/>
      <w:bookmarkStart w:id="78" w:name="_Toc497291369"/>
      <w:bookmarkStart w:id="79" w:name="_Toc524514458"/>
      <w:bookmarkStart w:id="80" w:name="_Toc956728"/>
      <w:r w:rsidRPr="00FF23CB">
        <w:t>High-level Risk Assessment</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933BF4" w:rsidRPr="00FF23CB" w:rsidRDefault="00D20282" w:rsidP="00933BF4">
      <w:pPr>
        <w:pStyle w:val="ISMSNormal"/>
      </w:pPr>
      <w:r w:rsidRPr="00FF23CB">
        <w:t>The steps for high-level risk assessment are as follows:</w:t>
      </w:r>
    </w:p>
    <w:p w:rsidR="00933BF4" w:rsidRPr="00543F95" w:rsidRDefault="00D20282" w:rsidP="00933BF4">
      <w:pPr>
        <w:pStyle w:val="ListParagraph"/>
        <w:numPr>
          <w:ilvl w:val="0"/>
          <w:numId w:val="8"/>
        </w:numPr>
        <w:ind w:left="567"/>
      </w:pPr>
      <w:r w:rsidRPr="00543F95">
        <w:t>Identify the asset in the TRE and the individual required to perform the assessment. Note: assets such as people or groups of similar assets may have a group assessment.</w:t>
      </w:r>
    </w:p>
    <w:p w:rsidR="00933BF4" w:rsidRPr="00543F95" w:rsidRDefault="00D20282" w:rsidP="00933BF4">
      <w:pPr>
        <w:pStyle w:val="ListParagraph"/>
        <w:numPr>
          <w:ilvl w:val="0"/>
          <w:numId w:val="8"/>
        </w:numPr>
        <w:ind w:left="567"/>
      </w:pPr>
      <w:r w:rsidRPr="00543F95">
        <w:t xml:space="preserve">Identify the value of the asset using the Confidentiality, Integrity and Availability (CIA) criteria (Table 1). </w:t>
      </w:r>
      <w:r>
        <w:t>Value</w:t>
      </w:r>
      <w:r w:rsidRPr="00543F95">
        <w:t xml:space="preserve"> = Confidentiality + Integrity + Availability.</w:t>
      </w:r>
    </w:p>
    <w:p w:rsidR="00933BF4" w:rsidRPr="00543F95" w:rsidRDefault="00D20282" w:rsidP="00933BF4">
      <w:pPr>
        <w:pStyle w:val="ListParagraph"/>
        <w:numPr>
          <w:ilvl w:val="0"/>
          <w:numId w:val="8"/>
        </w:numPr>
        <w:ind w:left="567"/>
      </w:pPr>
      <w:r w:rsidRPr="00543F95">
        <w:t>Record the high-level risk assessment details in the Risk Register (</w:t>
      </w:r>
      <w:r>
        <w:t>ISMS-02-06</w:t>
      </w:r>
      <w:r w:rsidRPr="00543F95">
        <w:t>)</w:t>
      </w:r>
    </w:p>
    <w:p w:rsidR="00933BF4" w:rsidRPr="00543F95" w:rsidRDefault="00D20282" w:rsidP="00933BF4">
      <w:pPr>
        <w:pStyle w:val="ListParagraph"/>
        <w:numPr>
          <w:ilvl w:val="0"/>
          <w:numId w:val="8"/>
        </w:numPr>
        <w:ind w:left="567"/>
      </w:pPr>
      <w:r w:rsidRPr="00543F95">
        <w:t xml:space="preserve">Any asset with a single C, I or A value &gt;=4 or a combined value of &gt;=8 will require a detailed risk assessment. </w:t>
      </w:r>
    </w:p>
    <w:p w:rsidR="00933BF4" w:rsidRPr="00FF23CB" w:rsidRDefault="00A42A8F" w:rsidP="00933BF4">
      <w:pPr>
        <w:pStyle w:val="ListParagraph"/>
        <w:numPr>
          <w:ilvl w:val="0"/>
          <w:numId w:val="0"/>
        </w:numPr>
        <w:ind w:left="567"/>
        <w:rPr>
          <w:b/>
        </w:rPr>
      </w:pPr>
    </w:p>
    <w:p w:rsidR="00933BF4" w:rsidRPr="00FF23CB" w:rsidRDefault="00D20282" w:rsidP="00933BF4">
      <w:pPr>
        <w:pStyle w:val="ISMSHeading2"/>
      </w:pPr>
      <w:bookmarkStart w:id="81" w:name="_Toc256000139"/>
      <w:bookmarkStart w:id="82" w:name="_Toc256000011"/>
      <w:bookmarkStart w:id="83" w:name="_Toc256000113"/>
      <w:bookmarkStart w:id="84" w:name="_Toc256000097"/>
      <w:bookmarkStart w:id="85" w:name="_Toc256000081"/>
      <w:bookmarkStart w:id="86" w:name="_Toc256000065"/>
      <w:bookmarkStart w:id="87" w:name="_Toc256000050"/>
      <w:bookmarkStart w:id="88" w:name="_Toc256000035"/>
      <w:bookmarkStart w:id="89" w:name="_Toc256000020"/>
      <w:bookmarkStart w:id="90" w:name="_Toc256000005"/>
      <w:bookmarkStart w:id="91" w:name="_Toc484423635"/>
      <w:bookmarkStart w:id="92" w:name="_Toc486331671"/>
      <w:bookmarkStart w:id="93" w:name="_Toc490561965"/>
      <w:bookmarkStart w:id="94" w:name="_Toc497291370"/>
      <w:bookmarkStart w:id="95" w:name="_Toc524514459"/>
      <w:bookmarkStart w:id="96" w:name="_Toc956729"/>
      <w:r w:rsidRPr="00FF23CB">
        <w:t>Detailed Risk Assessment Procedure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933BF4" w:rsidRPr="00FF23CB" w:rsidRDefault="00D20282" w:rsidP="00933BF4">
      <w:pPr>
        <w:pStyle w:val="ISMSNormal"/>
      </w:pPr>
      <w:r w:rsidRPr="00FF23CB">
        <w:t>The steps for a detailed risk assessment are as follows:</w:t>
      </w:r>
    </w:p>
    <w:p w:rsidR="00933BF4" w:rsidRDefault="00D20282" w:rsidP="00933BF4">
      <w:pPr>
        <w:pStyle w:val="ListParagraph"/>
        <w:numPr>
          <w:ilvl w:val="0"/>
          <w:numId w:val="8"/>
        </w:numPr>
        <w:ind w:left="567"/>
      </w:pPr>
      <w:r w:rsidRPr="005459CF">
        <w:t xml:space="preserve">Identify the information asset in the TRE and confirm the value of the asset using the Confidentiality, Integrity and Availability (CIA) criteria (Table 1). </w:t>
      </w:r>
    </w:p>
    <w:p w:rsidR="00933BF4" w:rsidRPr="005459CF" w:rsidRDefault="00D20282" w:rsidP="00933BF4">
      <w:pPr>
        <w:pStyle w:val="ListParagraph"/>
        <w:numPr>
          <w:ilvl w:val="0"/>
          <w:numId w:val="8"/>
        </w:numPr>
        <w:ind w:left="567"/>
      </w:pPr>
      <w:r>
        <w:t>I</w:t>
      </w:r>
      <w:r w:rsidRPr="005459CF">
        <w:t>dentify any threats that may exploit vulnerabilities of the asset.</w:t>
      </w:r>
    </w:p>
    <w:p w:rsidR="00933BF4" w:rsidRDefault="00D20282" w:rsidP="00933BF4">
      <w:pPr>
        <w:pStyle w:val="ListParagraph"/>
        <w:numPr>
          <w:ilvl w:val="0"/>
          <w:numId w:val="8"/>
        </w:numPr>
        <w:ind w:left="567"/>
      </w:pPr>
      <w:r w:rsidRPr="00CB0324">
        <w:t xml:space="preserve">Define the associated risk and </w:t>
      </w:r>
      <w:r>
        <w:t xml:space="preserve">describe the </w:t>
      </w:r>
      <w:r w:rsidRPr="00CB0324">
        <w:t xml:space="preserve">impact on the </w:t>
      </w:r>
      <w:r>
        <w:t xml:space="preserve">CIA </w:t>
      </w:r>
      <w:r w:rsidRPr="00CB0324">
        <w:t>criteria</w:t>
      </w:r>
    </w:p>
    <w:p w:rsidR="00933BF4" w:rsidRDefault="00D20282" w:rsidP="00933BF4">
      <w:pPr>
        <w:pStyle w:val="ListParagraph"/>
        <w:numPr>
          <w:ilvl w:val="0"/>
          <w:numId w:val="8"/>
        </w:numPr>
        <w:ind w:left="567"/>
      </w:pPr>
      <w:r w:rsidRPr="005459CF">
        <w:t xml:space="preserve">The values for each </w:t>
      </w:r>
      <w:r>
        <w:t xml:space="preserve">of the CIA criteria </w:t>
      </w:r>
      <w:r w:rsidRPr="005459CF">
        <w:t xml:space="preserve">can be </w:t>
      </w:r>
      <w:r>
        <w:t xml:space="preserve">adjusted </w:t>
      </w:r>
      <w:r w:rsidRPr="005459CF">
        <w:t>to account for specific incidents or risks.</w:t>
      </w:r>
    </w:p>
    <w:p w:rsidR="00933BF4" w:rsidRPr="005459CF" w:rsidRDefault="00D20282" w:rsidP="00933BF4">
      <w:pPr>
        <w:pStyle w:val="ListParagraph"/>
        <w:numPr>
          <w:ilvl w:val="0"/>
          <w:numId w:val="8"/>
        </w:numPr>
        <w:ind w:left="567"/>
      </w:pPr>
      <w:r>
        <w:t>The maximum of the CIA criteria shall be the Risk Impact.</w:t>
      </w:r>
    </w:p>
    <w:p w:rsidR="00933BF4" w:rsidRPr="00CB0324" w:rsidRDefault="00D20282" w:rsidP="00933BF4">
      <w:pPr>
        <w:pStyle w:val="ListParagraph"/>
        <w:numPr>
          <w:ilvl w:val="0"/>
          <w:numId w:val="8"/>
        </w:numPr>
        <w:ind w:left="567"/>
      </w:pPr>
      <w:r w:rsidRPr="00CB0324">
        <w:t xml:space="preserve">Determine the </w:t>
      </w:r>
      <w:r>
        <w:t>L</w:t>
      </w:r>
      <w:r w:rsidRPr="00CB0324">
        <w:t>ikelihood of the risk occurring (Table 2)</w:t>
      </w:r>
    </w:p>
    <w:p w:rsidR="00933BF4" w:rsidRDefault="00D20282" w:rsidP="00933BF4">
      <w:pPr>
        <w:pStyle w:val="ListParagraph"/>
        <w:numPr>
          <w:ilvl w:val="0"/>
          <w:numId w:val="8"/>
        </w:numPr>
        <w:ind w:left="567"/>
      </w:pPr>
      <w:r w:rsidRPr="00FF23CB">
        <w:t xml:space="preserve">Calculate the </w:t>
      </w:r>
      <w:r>
        <w:t>Risk Score</w:t>
      </w:r>
      <w:r w:rsidRPr="00FF23CB">
        <w:t xml:space="preserve"> </w:t>
      </w:r>
      <w:r>
        <w:t>=</w:t>
      </w:r>
      <w:r w:rsidRPr="00FF23CB">
        <w:t xml:space="preserve"> </w:t>
      </w:r>
      <w:r>
        <w:t>Impact  x Likelihood</w:t>
      </w:r>
    </w:p>
    <w:p w:rsidR="00933BF4" w:rsidRPr="00FF23CB" w:rsidRDefault="00D20282" w:rsidP="00933BF4">
      <w:pPr>
        <w:pStyle w:val="ListParagraph"/>
        <w:numPr>
          <w:ilvl w:val="0"/>
          <w:numId w:val="8"/>
        </w:numPr>
        <w:ind w:left="567"/>
      </w:pPr>
      <w:r>
        <w:t>Categorize the risk level e.g. “Very High”, “High” etc.(Table 3)</w:t>
      </w:r>
    </w:p>
    <w:p w:rsidR="00933BF4" w:rsidRPr="00FF23CB" w:rsidRDefault="00D20282" w:rsidP="00933BF4">
      <w:pPr>
        <w:pStyle w:val="ListParagraph"/>
        <w:numPr>
          <w:ilvl w:val="0"/>
          <w:numId w:val="8"/>
        </w:numPr>
        <w:ind w:left="567"/>
      </w:pPr>
      <w:r w:rsidRPr="00FF23CB">
        <w:t>Assign a</w:t>
      </w:r>
      <w:r>
        <w:t xml:space="preserve"> Risk Owner </w:t>
      </w:r>
      <w:r w:rsidRPr="00FF23CB">
        <w:t xml:space="preserve">to </w:t>
      </w:r>
      <w:r>
        <w:t xml:space="preserve">manage </w:t>
      </w:r>
      <w:r w:rsidRPr="00FF23CB">
        <w:t>the risk</w:t>
      </w:r>
      <w:r>
        <w:t xml:space="preserve"> and complete the remaining activities</w:t>
      </w:r>
    </w:p>
    <w:p w:rsidR="00933BF4" w:rsidRDefault="00D20282" w:rsidP="00933BF4">
      <w:pPr>
        <w:pStyle w:val="ListParagraph"/>
        <w:numPr>
          <w:ilvl w:val="0"/>
          <w:numId w:val="8"/>
        </w:numPr>
        <w:ind w:left="567"/>
      </w:pPr>
      <w:r>
        <w:t>I</w:t>
      </w:r>
      <w:r w:rsidRPr="00914D43">
        <w:t xml:space="preserve">dentify </w:t>
      </w:r>
      <w:r>
        <w:t xml:space="preserve">the treatment </w:t>
      </w:r>
      <w:r w:rsidRPr="00914D43">
        <w:t xml:space="preserve">approach to managing the risk including </w:t>
      </w:r>
      <w:r>
        <w:t xml:space="preserve">any </w:t>
      </w:r>
      <w:r w:rsidRPr="00914D43">
        <w:t xml:space="preserve">mitigating actions and </w:t>
      </w:r>
      <w:r>
        <w:t>contingency plans as necessary</w:t>
      </w:r>
      <w:r w:rsidRPr="002C2853">
        <w:t xml:space="preserve"> </w:t>
      </w:r>
    </w:p>
    <w:p w:rsidR="00933BF4" w:rsidRPr="002C2853" w:rsidRDefault="00D20282" w:rsidP="00933BF4">
      <w:pPr>
        <w:pStyle w:val="ListParagraph"/>
        <w:numPr>
          <w:ilvl w:val="0"/>
          <w:numId w:val="8"/>
        </w:numPr>
        <w:ind w:left="567"/>
      </w:pPr>
      <w:r>
        <w:t xml:space="preserve">Update the </w:t>
      </w:r>
      <w:r w:rsidRPr="00FF23CB">
        <w:t>risk</w:t>
      </w:r>
      <w:r>
        <w:t xml:space="preserve"> details in </w:t>
      </w:r>
      <w:r w:rsidRPr="00FF23CB">
        <w:t xml:space="preserve">the </w:t>
      </w:r>
      <w:r>
        <w:t>R</w:t>
      </w:r>
      <w:r w:rsidRPr="00FF23CB">
        <w:t xml:space="preserve">isk </w:t>
      </w:r>
      <w:r>
        <w:t>R</w:t>
      </w:r>
      <w:r w:rsidRPr="00FF23CB">
        <w:t>egister</w:t>
      </w:r>
      <w:r>
        <w:t xml:space="preserve"> (ISMS-02-06)</w:t>
      </w:r>
      <w:r w:rsidRPr="00FF23CB">
        <w:t xml:space="preserve"> </w:t>
      </w:r>
    </w:p>
    <w:p w:rsidR="00933BF4" w:rsidRDefault="00D20282" w:rsidP="00933BF4">
      <w:pPr>
        <w:pStyle w:val="ListParagraph"/>
        <w:numPr>
          <w:ilvl w:val="0"/>
          <w:numId w:val="8"/>
        </w:numPr>
        <w:ind w:left="567"/>
      </w:pPr>
      <w:r>
        <w:t>C</w:t>
      </w:r>
      <w:r w:rsidRPr="00FF23CB">
        <w:t>ommunicate the risk to the relevant stakeholders</w:t>
      </w:r>
      <w:r>
        <w:t xml:space="preserve"> and manage the risk throughout its lifecycle.</w:t>
      </w:r>
    </w:p>
    <w:p w:rsidR="00933BF4" w:rsidRDefault="00A42A8F" w:rsidP="00933BF4"/>
    <w:p w:rsidR="00933BF4" w:rsidRDefault="00D20282" w:rsidP="00933BF4">
      <w:pPr>
        <w:pStyle w:val="ISMSHeading2"/>
      </w:pPr>
      <w:bookmarkStart w:id="97" w:name="_Toc256000140"/>
      <w:bookmarkStart w:id="98" w:name="_Toc256000124"/>
      <w:bookmarkStart w:id="99" w:name="_Toc256000114"/>
      <w:bookmarkStart w:id="100" w:name="_Toc256000098"/>
      <w:bookmarkStart w:id="101" w:name="_Toc256000082"/>
      <w:bookmarkStart w:id="102" w:name="_Toc256000066"/>
      <w:bookmarkStart w:id="103" w:name="_Toc524514460"/>
      <w:bookmarkStart w:id="104" w:name="_Toc956730"/>
      <w:r>
        <w:t>Risk Assessment Schedule</w:t>
      </w:r>
      <w:bookmarkEnd w:id="97"/>
      <w:bookmarkEnd w:id="98"/>
      <w:bookmarkEnd w:id="99"/>
      <w:bookmarkEnd w:id="100"/>
      <w:bookmarkEnd w:id="101"/>
      <w:bookmarkEnd w:id="102"/>
      <w:bookmarkEnd w:id="103"/>
      <w:bookmarkEnd w:id="104"/>
    </w:p>
    <w:p w:rsidR="00933BF4" w:rsidRDefault="00D20282" w:rsidP="00933BF4">
      <w:pPr>
        <w:pStyle w:val="ISMSNormal"/>
        <w:numPr>
          <w:ilvl w:val="0"/>
          <w:numId w:val="22"/>
        </w:numPr>
        <w:spacing w:line="240" w:lineRule="auto"/>
        <w:jc w:val="left"/>
      </w:pPr>
      <w:r>
        <w:t>The Risk Owners will review their existing risks on a bi-monthly basis and any changes will be updated into the Risk Register (ISMS-02-06).</w:t>
      </w:r>
    </w:p>
    <w:p w:rsidR="00933BF4" w:rsidRDefault="00D20282" w:rsidP="00933BF4">
      <w:pPr>
        <w:pStyle w:val="ISMSNormal"/>
        <w:numPr>
          <w:ilvl w:val="0"/>
          <w:numId w:val="22"/>
        </w:numPr>
        <w:spacing w:line="240" w:lineRule="auto"/>
        <w:jc w:val="left"/>
      </w:pPr>
      <w:r>
        <w:t xml:space="preserve">New risks can be identified by TRE Asset Owners or existing Risk Owners at any time. </w:t>
      </w:r>
    </w:p>
    <w:p w:rsidR="00933BF4" w:rsidRDefault="00D20282" w:rsidP="00933BF4">
      <w:pPr>
        <w:pStyle w:val="ISMSNormal"/>
        <w:numPr>
          <w:ilvl w:val="0"/>
          <w:numId w:val="22"/>
        </w:numPr>
        <w:spacing w:line="240" w:lineRule="auto"/>
        <w:jc w:val="left"/>
      </w:pPr>
      <w:r>
        <w:t>The ISSG will review any “Very High” or “High” risks during the ISMS Board Meetings that take place every 2 months. A review of any new risks will also take place during these meetings.</w:t>
      </w:r>
    </w:p>
    <w:p w:rsidR="00933BF4" w:rsidRDefault="00A42A8F" w:rsidP="00933BF4">
      <w:pPr>
        <w:pStyle w:val="ISMSNormal"/>
        <w:ind w:left="720"/>
        <w:jc w:val="left"/>
      </w:pPr>
    </w:p>
    <w:p w:rsidR="00933BF4" w:rsidRDefault="00A42A8F" w:rsidP="00933BF4">
      <w:pPr>
        <w:pStyle w:val="ISMSNormal"/>
        <w:jc w:val="left"/>
      </w:pPr>
    </w:p>
    <w:p w:rsidR="00933BF4" w:rsidRDefault="00A42A8F" w:rsidP="00933BF4">
      <w:pPr>
        <w:pStyle w:val="ISMSNormal"/>
        <w:jc w:val="left"/>
      </w:pPr>
    </w:p>
    <w:p w:rsidR="00933BF4" w:rsidRDefault="00A42A8F" w:rsidP="00933BF4">
      <w:pPr>
        <w:pStyle w:val="ISMSNormal"/>
        <w:jc w:val="left"/>
        <w:sectPr w:rsidR="00933BF4" w:rsidSect="00933BF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933BF4" w:rsidRPr="00FF23CB" w:rsidRDefault="00D20282" w:rsidP="00933BF4">
      <w:pPr>
        <w:pStyle w:val="ISMSHeading2"/>
      </w:pPr>
      <w:bookmarkStart w:id="105" w:name="_Toc256000141"/>
      <w:bookmarkStart w:id="106" w:name="_Toc256000125"/>
      <w:bookmarkStart w:id="107" w:name="_Toc256000115"/>
      <w:bookmarkStart w:id="108" w:name="_Toc256000099"/>
      <w:bookmarkStart w:id="109" w:name="_Toc256000083"/>
      <w:bookmarkStart w:id="110" w:name="_Toc256000067"/>
      <w:bookmarkStart w:id="111" w:name="_Toc256000051"/>
      <w:bookmarkStart w:id="112" w:name="_Toc256000036"/>
      <w:bookmarkStart w:id="113" w:name="_Toc256000021"/>
      <w:bookmarkStart w:id="114" w:name="_Toc484423636"/>
      <w:bookmarkStart w:id="115" w:name="_Toc486331672"/>
      <w:bookmarkStart w:id="116" w:name="_Toc490561966"/>
      <w:bookmarkStart w:id="117" w:name="_Toc497291371"/>
      <w:bookmarkStart w:id="118" w:name="_Toc524514461"/>
      <w:bookmarkStart w:id="119" w:name="_Toc956731"/>
      <w:r>
        <w:lastRenderedPageBreak/>
        <w:t>R</w:t>
      </w:r>
      <w:r w:rsidRPr="00FF23CB">
        <w:t>isk Assessment Values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933BF4" w:rsidRPr="00FF23CB" w:rsidRDefault="00D20282" w:rsidP="00933BF4">
      <w:pPr>
        <w:pStyle w:val="ISMSNormal"/>
      </w:pPr>
      <w:r w:rsidRPr="00FF23CB">
        <w:t>The following sections contain the information necessary to support the risk assessment process.</w:t>
      </w:r>
    </w:p>
    <w:p w:rsidR="00933BF4" w:rsidRPr="00FF23CB" w:rsidRDefault="00D20282" w:rsidP="00933BF4">
      <w:pPr>
        <w:pStyle w:val="ISMSHeading3"/>
      </w:pPr>
      <w:bookmarkStart w:id="120" w:name="_Toc256000142"/>
      <w:bookmarkStart w:id="121" w:name="_Toc256000126"/>
      <w:bookmarkStart w:id="122" w:name="_Toc256000116"/>
      <w:bookmarkStart w:id="123" w:name="_Toc256000100"/>
      <w:bookmarkStart w:id="124" w:name="_Toc256000084"/>
      <w:bookmarkStart w:id="125" w:name="_Toc256000068"/>
      <w:bookmarkStart w:id="126" w:name="_Toc256000052"/>
      <w:bookmarkStart w:id="127" w:name="_Toc256000037"/>
      <w:bookmarkStart w:id="128" w:name="_Toc256000022"/>
      <w:bookmarkStart w:id="129" w:name="_Toc484423637"/>
      <w:bookmarkStart w:id="130" w:name="_Toc486331673"/>
      <w:bookmarkStart w:id="131" w:name="_Toc490561967"/>
      <w:bookmarkStart w:id="132" w:name="_Toc497291372"/>
      <w:bookmarkStart w:id="133" w:name="_Toc524514462"/>
      <w:bookmarkStart w:id="134" w:name="_Toc956732"/>
      <w:r w:rsidRPr="00FF23CB">
        <w:t xml:space="preserve">Assigning </w:t>
      </w:r>
      <w:r>
        <w:t xml:space="preserve">Risk Impact </w:t>
      </w:r>
      <w:r w:rsidRPr="00FF23CB">
        <w:t>Value</w:t>
      </w:r>
      <w:r>
        <w:t>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933BF4" w:rsidRDefault="00D20282" w:rsidP="00933BF4">
      <w:pPr>
        <w:pStyle w:val="ISMSNormal"/>
      </w:pPr>
      <w:r w:rsidRPr="00FF23CB">
        <w:t xml:space="preserve">Assets are valued on the </w:t>
      </w:r>
      <w:r>
        <w:t xml:space="preserve">maximum </w:t>
      </w:r>
      <w:r w:rsidRPr="00FF23CB">
        <w:t>of the scores of the Confidentiality, Integrity and Availability (CIA) c</w:t>
      </w:r>
      <w:r>
        <w:t>riteria</w:t>
      </w:r>
      <w:r w:rsidRPr="00FF23CB">
        <w:t xml:space="preserve">. Each </w:t>
      </w:r>
      <w:r>
        <w:t>of the criteria</w:t>
      </w:r>
      <w:r w:rsidRPr="00FF23CB">
        <w:t xml:space="preserve"> is scored according to the table below</w:t>
      </w:r>
      <w:r>
        <w:t xml:space="preserve"> dependent upon the ability of the asset to impact the TRE data (the Primary Asset)</w:t>
      </w:r>
      <w:r w:rsidRPr="00FF23CB">
        <w:t>.</w:t>
      </w:r>
    </w:p>
    <w:p w:rsidR="00933BF4" w:rsidRPr="00FF23CB" w:rsidRDefault="00A42A8F" w:rsidP="00933BF4">
      <w:pPr>
        <w:pStyle w:val="ISMSNormal"/>
      </w:pPr>
    </w:p>
    <w:p w:rsidR="00933BF4" w:rsidRPr="00A33043" w:rsidRDefault="00D20282" w:rsidP="00933BF4">
      <w:pPr>
        <w:pStyle w:val="ISMSNormal"/>
        <w:rPr>
          <w:b/>
        </w:rPr>
      </w:pPr>
      <w:r w:rsidRPr="00A33043">
        <w:rPr>
          <w:b/>
        </w:rPr>
        <w:t>Table 1: CIA score definition guidance</w:t>
      </w:r>
    </w:p>
    <w:tbl>
      <w:tblPr>
        <w:tblStyle w:val="TableGrid"/>
        <w:tblW w:w="5000" w:type="pct"/>
        <w:tblLook w:val="04A0" w:firstRow="1" w:lastRow="0" w:firstColumn="1" w:lastColumn="0" w:noHBand="0" w:noVBand="1"/>
      </w:tblPr>
      <w:tblGrid>
        <w:gridCol w:w="779"/>
        <w:gridCol w:w="1930"/>
        <w:gridCol w:w="2739"/>
        <w:gridCol w:w="2739"/>
        <w:gridCol w:w="5761"/>
      </w:tblGrid>
      <w:tr w:rsidR="000366B7" w:rsidTr="00933BF4">
        <w:trPr>
          <w:tblHeader/>
        </w:trPr>
        <w:tc>
          <w:tcPr>
            <w:tcW w:w="27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3BF4" w:rsidRPr="0008391B" w:rsidRDefault="00D20282" w:rsidP="00933BF4">
            <w:pPr>
              <w:rPr>
                <w:rFonts w:ascii="Calibri" w:hAnsi="Calibri" w:cs="Calibri"/>
                <w:b/>
                <w:sz w:val="22"/>
                <w:szCs w:val="22"/>
              </w:rPr>
            </w:pPr>
            <w:r w:rsidRPr="0008391B">
              <w:rPr>
                <w:rFonts w:ascii="Calibri" w:hAnsi="Calibri" w:cs="Calibri"/>
                <w:b/>
                <w:sz w:val="22"/>
                <w:szCs w:val="22"/>
              </w:rPr>
              <w:t>Value</w:t>
            </w:r>
          </w:p>
        </w:tc>
        <w:tc>
          <w:tcPr>
            <w:tcW w:w="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Confidentiality</w:t>
            </w:r>
          </w:p>
        </w:tc>
        <w:tc>
          <w:tcPr>
            <w:tcW w:w="9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Integrity</w:t>
            </w:r>
          </w:p>
          <w:p w:rsidR="00933BF4" w:rsidRPr="0008391B" w:rsidRDefault="00A42A8F" w:rsidP="00933BF4">
            <w:pPr>
              <w:jc w:val="center"/>
              <w:rPr>
                <w:rFonts w:ascii="Calibri" w:hAnsi="Calibri" w:cs="Calibri"/>
                <w:b/>
                <w:sz w:val="22"/>
                <w:szCs w:val="22"/>
              </w:rPr>
            </w:pPr>
          </w:p>
        </w:tc>
        <w:tc>
          <w:tcPr>
            <w:tcW w:w="9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Availability</w:t>
            </w:r>
          </w:p>
        </w:tc>
        <w:tc>
          <w:tcPr>
            <w:tcW w:w="206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Additional Value Measures (can be applied across all of the criteria)</w:t>
            </w:r>
          </w:p>
        </w:tc>
      </w:tr>
      <w:tr w:rsidR="000366B7" w:rsidTr="00933BF4">
        <w:trPr>
          <w:cantSplit/>
        </w:trPr>
        <w:tc>
          <w:tcPr>
            <w:tcW w:w="279" w:type="pct"/>
            <w:tcBorders>
              <w:top w:val="single" w:sz="4" w:space="0" w:color="auto"/>
            </w:tcBorders>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1</w:t>
            </w:r>
          </w:p>
        </w:tc>
        <w:tc>
          <w:tcPr>
            <w:tcW w:w="692" w:type="pct"/>
            <w:tcBorders>
              <w:top w:val="single" w:sz="4" w:space="0" w:color="auto"/>
            </w:tcBorders>
          </w:tcPr>
          <w:p w:rsidR="00933BF4" w:rsidRPr="0008391B" w:rsidRDefault="00D20282" w:rsidP="00933BF4">
            <w:pPr>
              <w:pStyle w:val="ListParagraph"/>
              <w:numPr>
                <w:ilvl w:val="0"/>
                <w:numId w:val="13"/>
              </w:numPr>
              <w:ind w:left="170" w:hanging="170"/>
              <w:rPr>
                <w:rFonts w:ascii="Calibri" w:hAnsi="Calibri" w:cs="Calibri"/>
                <w:sz w:val="22"/>
                <w:szCs w:val="22"/>
              </w:rPr>
            </w:pPr>
            <w:r w:rsidRPr="0008391B">
              <w:rPr>
                <w:rFonts w:ascii="Calibri" w:hAnsi="Calibri" w:cs="Calibri"/>
                <w:sz w:val="22"/>
                <w:szCs w:val="22"/>
              </w:rPr>
              <w:t>No impact on data confidentiality</w:t>
            </w:r>
          </w:p>
        </w:tc>
        <w:tc>
          <w:tcPr>
            <w:tcW w:w="982" w:type="pct"/>
            <w:tcBorders>
              <w:top w:val="single" w:sz="4" w:space="0" w:color="auto"/>
            </w:tcBorders>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No impact on data accuracy or consistency</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Any corruption or loss of data would not impact operations</w:t>
            </w:r>
          </w:p>
        </w:tc>
        <w:tc>
          <w:tcPr>
            <w:tcW w:w="982" w:type="pct"/>
            <w:tcBorders>
              <w:top w:val="single" w:sz="4" w:space="0" w:color="auto"/>
            </w:tcBorders>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Pr>
                <w:rFonts w:ascii="Calibri" w:hAnsi="Calibri" w:cs="Calibri"/>
                <w:color w:val="000000"/>
                <w:sz w:val="22"/>
                <w:szCs w:val="22"/>
              </w:rPr>
              <w:t>Temporary loss of availability would have a minor impact on normal operations</w:t>
            </w:r>
          </w:p>
          <w:p w:rsidR="00933BF4" w:rsidRPr="0008391B" w:rsidRDefault="00D20282" w:rsidP="008A1989">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Asset can be quickly restored within </w:t>
            </w:r>
            <w:r>
              <w:rPr>
                <w:rFonts w:ascii="Calibri" w:hAnsi="Calibri" w:cs="Calibri"/>
                <w:color w:val="000000"/>
                <w:sz w:val="22"/>
                <w:szCs w:val="22"/>
              </w:rPr>
              <w:t>1 working day</w:t>
            </w:r>
          </w:p>
        </w:tc>
        <w:tc>
          <w:tcPr>
            <w:tcW w:w="2065" w:type="pct"/>
            <w:tcBorders>
              <w:top w:val="single" w:sz="4" w:space="0" w:color="auto"/>
            </w:tcBorders>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Small number of individual correspondence/ representations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No measurable impact on research activity within specific teams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No impact on research income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Technical breaches which may result in complaints to the University but complainant does not resort to legal action or regulatory referral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Breach results in minimal or no damage or loss </w:t>
            </w:r>
          </w:p>
        </w:tc>
      </w:tr>
      <w:tr w:rsidR="000366B7" w:rsidTr="00933BF4">
        <w:trPr>
          <w:cantSplit/>
        </w:trPr>
        <w:tc>
          <w:tcPr>
            <w:tcW w:w="279"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lastRenderedPageBreak/>
              <w:t>2</w:t>
            </w:r>
          </w:p>
        </w:tc>
        <w:tc>
          <w:tcPr>
            <w:tcW w:w="69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Minor impact on data confidentiality (e.g. small subset of non-traceable data released)</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D</w:t>
            </w:r>
            <w:r w:rsidRPr="0008391B">
              <w:rPr>
                <w:rFonts w:ascii="Calibri" w:hAnsi="Calibri" w:cs="Calibri"/>
                <w:color w:val="000000"/>
                <w:sz w:val="22"/>
              </w:rPr>
              <w:t xml:space="preserve">isclosure of the information would cause only minor embarrassment or minor operational inconvenience </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Minor impact on data accuracy or consistency but does not affect collaborators</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Any corruption or loss of data is retrievable with minimal effort</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Temporary loss of availability would have a minor impact on normal operations</w:t>
            </w:r>
          </w:p>
          <w:p w:rsidR="00933BF4" w:rsidRPr="0008391B" w:rsidRDefault="00D20282" w:rsidP="008A1989">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Asset can be restored within </w:t>
            </w:r>
            <w:r>
              <w:rPr>
                <w:rFonts w:ascii="Calibri" w:hAnsi="Calibri" w:cs="Calibri"/>
                <w:color w:val="000000"/>
                <w:sz w:val="22"/>
                <w:szCs w:val="22"/>
              </w:rPr>
              <w:t>3 working days</w:t>
            </w:r>
          </w:p>
        </w:tc>
        <w:tc>
          <w:tcPr>
            <w:tcW w:w="2065"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Reputation is minimally affected with little or no targeted effort or expense required to recover;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Small impact on research activity within specific teams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Mild stakeholder correspondence/ representations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Minor impact on research income or productivity for wider group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Regulatory action unlikely or of only localised effect.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Advisory/improvement notices</w:t>
            </w:r>
          </w:p>
        </w:tc>
      </w:tr>
      <w:tr w:rsidR="000366B7" w:rsidTr="00933BF4">
        <w:trPr>
          <w:cantSplit/>
        </w:trPr>
        <w:tc>
          <w:tcPr>
            <w:tcW w:w="279"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3</w:t>
            </w:r>
          </w:p>
        </w:tc>
        <w:tc>
          <w:tcPr>
            <w:tcW w:w="69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Moderate impact on data confidentiality</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D</w:t>
            </w:r>
            <w:r w:rsidRPr="0008391B">
              <w:rPr>
                <w:rFonts w:ascii="Calibri" w:hAnsi="Calibri" w:cs="Calibri"/>
                <w:color w:val="000000"/>
                <w:sz w:val="22"/>
              </w:rPr>
              <w:t>isclosure of the information would cause some reputational damage and has a short-term impact on operations</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Data corruption or loss has a noticeable impact on collaborators</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Corruption requires resources and time to resolve</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Loss of availability of this asset would impact normal operations and prevent collaborators from accessing our services or data</w:t>
            </w:r>
          </w:p>
          <w:p w:rsidR="00933BF4" w:rsidRPr="0008391B" w:rsidRDefault="00D20282" w:rsidP="008A1989">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Asset and availability can be restored within </w:t>
            </w:r>
            <w:r>
              <w:rPr>
                <w:rFonts w:ascii="Calibri" w:hAnsi="Calibri" w:cs="Calibri"/>
                <w:color w:val="000000"/>
                <w:sz w:val="22"/>
                <w:szCs w:val="22"/>
              </w:rPr>
              <w:t>5 working days</w:t>
            </w:r>
          </w:p>
        </w:tc>
        <w:tc>
          <w:tcPr>
            <w:tcW w:w="2065"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Reputation is damaged in the short to medium term with targeted effort and expense required to recover.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Public stakeholder comment and correspondence expressing concern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Low key local or regional interest media coverage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Medium term effect on productivity within discipline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Case referred by complainant to regulatory authorities who may request information or records as a result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Enforcement action notices.</w:t>
            </w:r>
          </w:p>
        </w:tc>
      </w:tr>
      <w:tr w:rsidR="000366B7" w:rsidTr="00933BF4">
        <w:trPr>
          <w:cantSplit/>
        </w:trPr>
        <w:tc>
          <w:tcPr>
            <w:tcW w:w="279"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lastRenderedPageBreak/>
              <w:t>4</w:t>
            </w:r>
          </w:p>
        </w:tc>
        <w:tc>
          <w:tcPr>
            <w:tcW w:w="69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Significant proportion of the data is accessible or released</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Disclosure of the information has a significant impact on operations or tactical objectives</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Corruption or loss of data/asset would restrict operations and cause loss of collaborator confidence</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Corruption requires significant resources and time to resolve</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Loss of availability of this asset would affect several processes and would prevent collaborators from accessing our services or data</w:t>
            </w:r>
          </w:p>
          <w:p w:rsidR="00933BF4" w:rsidRPr="0008391B" w:rsidRDefault="00D20282" w:rsidP="007801A2">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Availability cannot be restored within </w:t>
            </w:r>
            <w:r>
              <w:rPr>
                <w:rFonts w:ascii="Calibri" w:hAnsi="Calibri" w:cs="Calibri"/>
                <w:color w:val="000000"/>
                <w:sz w:val="22"/>
                <w:szCs w:val="22"/>
              </w:rPr>
              <w:t>10 working days</w:t>
            </w:r>
            <w:r w:rsidRPr="0008391B">
              <w:rPr>
                <w:rFonts w:ascii="Calibri" w:hAnsi="Calibri" w:cs="Calibri"/>
                <w:color w:val="000000"/>
                <w:sz w:val="22"/>
                <w:szCs w:val="22"/>
              </w:rPr>
              <w:t xml:space="preserve"> and requires specific skills/personnel or significant resources</w:t>
            </w:r>
          </w:p>
        </w:tc>
        <w:tc>
          <w:tcPr>
            <w:tcW w:w="2065"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Significant public and private comment from stakeholders expressing serious concerns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Adverse regional or national interest media coverage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Medium to long term effect on productivity in more than one discipline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Incident requires escalation to UoM Data Protection Officer or IG SIRI</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University required to report serious matter to regulators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Case referred by complainant to regulatory authorities and potential for regulatory action with more than localised effect</w:t>
            </w:r>
          </w:p>
        </w:tc>
      </w:tr>
      <w:tr w:rsidR="000366B7" w:rsidTr="00933BF4">
        <w:trPr>
          <w:cantSplit/>
        </w:trPr>
        <w:tc>
          <w:tcPr>
            <w:tcW w:w="279"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5</w:t>
            </w:r>
          </w:p>
        </w:tc>
        <w:tc>
          <w:tcPr>
            <w:tcW w:w="69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All of the data is accessible or released</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Disclosure of the information has a serious impact on long term strategic objectives or puts the survival of the organization at risk. </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Corruption or loss of data halts all operations and would cause major loss of collaborator confidence. </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Corruption requires extensive resources and time to resolve </w:t>
            </w:r>
          </w:p>
        </w:tc>
        <w:tc>
          <w:tcPr>
            <w:tcW w:w="982"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Loss of this asset would prevent the TRE from operating and providing any of its services to its collaborators</w:t>
            </w:r>
          </w:p>
          <w:p w:rsidR="00933BF4" w:rsidRPr="0008391B" w:rsidRDefault="00D20282" w:rsidP="00D310FC">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 xml:space="preserve">Availability cannot be restored within </w:t>
            </w:r>
            <w:r>
              <w:rPr>
                <w:rFonts w:ascii="Calibri" w:hAnsi="Calibri" w:cs="Calibri"/>
                <w:color w:val="000000"/>
                <w:sz w:val="22"/>
                <w:szCs w:val="22"/>
              </w:rPr>
              <w:t>20 working days</w:t>
            </w:r>
            <w:r w:rsidRPr="0008391B">
              <w:rPr>
                <w:rFonts w:ascii="Calibri" w:hAnsi="Calibri" w:cs="Calibri"/>
                <w:color w:val="000000"/>
                <w:sz w:val="22"/>
                <w:szCs w:val="22"/>
              </w:rPr>
              <w:t xml:space="preserve"> and requires specific skills/personnel or significant resources</w:t>
            </w:r>
          </w:p>
        </w:tc>
        <w:tc>
          <w:tcPr>
            <w:tcW w:w="2065" w:type="pct"/>
          </w:tcPr>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Reputation damaged for the long term or irrevocably destroyed</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Adverse high profile, national media coverage from reputable/ influential media, with some international interest</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Incident requires escalation to UoM Data Protection Officer or IG SIRI</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Formal external regulatory investigation into organisational practices with potential for suspension of significant elements of University operations</w:t>
            </w:r>
          </w:p>
          <w:p w:rsidR="00933BF4" w:rsidRPr="0008391B" w:rsidRDefault="00D20282" w:rsidP="00933BF4">
            <w:pPr>
              <w:pStyle w:val="ListParagraph"/>
              <w:numPr>
                <w:ilvl w:val="0"/>
                <w:numId w:val="13"/>
              </w:numPr>
              <w:ind w:left="170" w:hanging="170"/>
              <w:rPr>
                <w:rFonts w:ascii="Calibri" w:hAnsi="Calibri" w:cs="Calibri"/>
                <w:color w:val="000000"/>
                <w:sz w:val="22"/>
                <w:szCs w:val="22"/>
              </w:rPr>
            </w:pPr>
            <w:r w:rsidRPr="0008391B">
              <w:rPr>
                <w:rFonts w:ascii="Calibri" w:hAnsi="Calibri" w:cs="Calibri"/>
                <w:color w:val="000000"/>
                <w:sz w:val="22"/>
                <w:szCs w:val="22"/>
              </w:rPr>
              <w:t>Withdrawal of status or imposition of sanctions resulting in forced termination of mission critical activities</w:t>
            </w:r>
          </w:p>
        </w:tc>
      </w:tr>
    </w:tbl>
    <w:p w:rsidR="00933BF4" w:rsidRPr="0008391B" w:rsidRDefault="00D20282" w:rsidP="00933BF4">
      <w:pPr>
        <w:pStyle w:val="ISMSNormal"/>
        <w:rPr>
          <w:rFonts w:cs="Calibri"/>
          <w:b/>
        </w:rPr>
      </w:pPr>
      <w:r w:rsidRPr="0008391B">
        <w:rPr>
          <w:rFonts w:cs="Calibri"/>
          <w:b/>
        </w:rPr>
        <w:br w:type="page"/>
      </w:r>
    </w:p>
    <w:p w:rsidR="00933BF4" w:rsidRPr="0008391B" w:rsidRDefault="00D20282" w:rsidP="00933BF4">
      <w:pPr>
        <w:pStyle w:val="ISMSHeading3"/>
        <w:rPr>
          <w:rFonts w:cs="Calibri"/>
        </w:rPr>
      </w:pPr>
      <w:bookmarkStart w:id="135" w:name="_Toc256000143"/>
      <w:bookmarkStart w:id="136" w:name="_Toc256000127"/>
      <w:bookmarkStart w:id="137" w:name="_Toc256000117"/>
      <w:bookmarkStart w:id="138" w:name="_Toc256000101"/>
      <w:bookmarkStart w:id="139" w:name="_Toc256000085"/>
      <w:bookmarkStart w:id="140" w:name="_Toc256000069"/>
      <w:bookmarkStart w:id="141" w:name="_Toc256000053"/>
      <w:bookmarkStart w:id="142" w:name="_Toc256000038"/>
      <w:bookmarkStart w:id="143" w:name="_Toc256000023"/>
      <w:bookmarkStart w:id="144" w:name="_Toc484423638"/>
      <w:bookmarkStart w:id="145" w:name="_Toc486331674"/>
      <w:bookmarkStart w:id="146" w:name="_Toc490561968"/>
      <w:bookmarkStart w:id="147" w:name="_Toc497291373"/>
      <w:bookmarkStart w:id="148" w:name="_Toc524514463"/>
      <w:bookmarkStart w:id="149" w:name="_Toc956733"/>
      <w:r w:rsidRPr="0008391B">
        <w:rPr>
          <w:rFonts w:cs="Calibri"/>
        </w:rPr>
        <w:lastRenderedPageBreak/>
        <w:t>Assigning Likelihood Values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933BF4" w:rsidRPr="0008391B" w:rsidRDefault="00D20282" w:rsidP="00933BF4">
      <w:pPr>
        <w:pStyle w:val="ISMSNormal"/>
        <w:rPr>
          <w:rFonts w:cs="Calibri"/>
        </w:rPr>
      </w:pPr>
      <w:r w:rsidRPr="0008391B">
        <w:rPr>
          <w:rFonts w:cs="Calibri"/>
        </w:rPr>
        <w:t>The examples given cover either the frequency of attack or whether the attacker would require specified levels of knowledge, experience or determination.</w:t>
      </w:r>
    </w:p>
    <w:p w:rsidR="00933BF4" w:rsidRPr="0008391B" w:rsidRDefault="00A42A8F" w:rsidP="00933BF4">
      <w:pPr>
        <w:pStyle w:val="ISMSNormal"/>
        <w:rPr>
          <w:rFonts w:cs="Calibri"/>
          <w:b/>
        </w:rPr>
      </w:pPr>
    </w:p>
    <w:p w:rsidR="00933BF4" w:rsidRPr="0008391B" w:rsidRDefault="00D20282" w:rsidP="00933BF4">
      <w:pPr>
        <w:pStyle w:val="ISMSNormal"/>
        <w:rPr>
          <w:rFonts w:cs="Calibri"/>
          <w:b/>
        </w:rPr>
      </w:pPr>
      <w:r w:rsidRPr="0008391B">
        <w:rPr>
          <w:rFonts w:cs="Calibri"/>
          <w:b/>
        </w:rPr>
        <w:t xml:space="preserve">Table 2: Likelihood: </w:t>
      </w:r>
    </w:p>
    <w:tbl>
      <w:tblPr>
        <w:tblStyle w:val="TableGrid"/>
        <w:tblW w:w="5000" w:type="pct"/>
        <w:tblLook w:val="04A0" w:firstRow="1" w:lastRow="0" w:firstColumn="1" w:lastColumn="0" w:noHBand="0" w:noVBand="1"/>
      </w:tblPr>
      <w:tblGrid>
        <w:gridCol w:w="843"/>
        <w:gridCol w:w="2053"/>
        <w:gridCol w:w="11052"/>
      </w:tblGrid>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Cs w:val="24"/>
              </w:rPr>
            </w:pPr>
            <w:r w:rsidRPr="0008391B">
              <w:rPr>
                <w:rFonts w:ascii="Calibri" w:hAnsi="Calibri" w:cs="Calibri"/>
                <w:b/>
                <w:szCs w:val="24"/>
              </w:rPr>
              <w:t>Value</w:t>
            </w:r>
          </w:p>
        </w:tc>
        <w:tc>
          <w:tcPr>
            <w:tcW w:w="736" w:type="pct"/>
            <w:shd w:val="clear" w:color="auto" w:fill="D9D9D9" w:themeFill="background1" w:themeFillShade="D9"/>
          </w:tcPr>
          <w:p w:rsidR="00933BF4" w:rsidRPr="0008391B" w:rsidRDefault="00D20282" w:rsidP="00933BF4">
            <w:pPr>
              <w:jc w:val="center"/>
              <w:rPr>
                <w:rFonts w:ascii="Calibri" w:hAnsi="Calibri" w:cs="Calibri"/>
                <w:b/>
                <w:szCs w:val="24"/>
              </w:rPr>
            </w:pPr>
            <w:r w:rsidRPr="0008391B">
              <w:rPr>
                <w:rFonts w:ascii="Calibri" w:hAnsi="Calibri" w:cs="Calibri"/>
                <w:b/>
                <w:szCs w:val="24"/>
              </w:rPr>
              <w:t>Explanation</w:t>
            </w:r>
          </w:p>
        </w:tc>
        <w:tc>
          <w:tcPr>
            <w:tcW w:w="3962" w:type="pct"/>
            <w:shd w:val="clear" w:color="auto" w:fill="D9D9D9" w:themeFill="background1" w:themeFillShade="D9"/>
          </w:tcPr>
          <w:p w:rsidR="00933BF4" w:rsidRPr="0008391B" w:rsidRDefault="00D20282" w:rsidP="00933BF4">
            <w:pPr>
              <w:jc w:val="center"/>
              <w:rPr>
                <w:rFonts w:ascii="Calibri" w:hAnsi="Calibri" w:cs="Calibri"/>
                <w:b/>
                <w:szCs w:val="24"/>
              </w:rPr>
            </w:pPr>
            <w:r w:rsidRPr="0008391B">
              <w:rPr>
                <w:rFonts w:ascii="Calibri" w:hAnsi="Calibri" w:cs="Calibri"/>
                <w:b/>
                <w:szCs w:val="24"/>
              </w:rPr>
              <w:t>Examples</w:t>
            </w:r>
          </w:p>
        </w:tc>
      </w:tr>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1</w:t>
            </w:r>
          </w:p>
        </w:tc>
        <w:tc>
          <w:tcPr>
            <w:tcW w:w="736"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Never</w:t>
            </w:r>
          </w:p>
        </w:tc>
        <w:tc>
          <w:tcPr>
            <w:tcW w:w="3962"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Not happened in more than 3 years</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or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The asset is heavily protected from threats, advanced expertise would be needed, and/or exploitation would require excessive effort. Exploitation of weaknesses is almost never seen in this or similar organisations.</w:t>
            </w:r>
          </w:p>
        </w:tc>
      </w:tr>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2</w:t>
            </w:r>
          </w:p>
        </w:tc>
        <w:tc>
          <w:tcPr>
            <w:tcW w:w="736"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Rare</w:t>
            </w:r>
          </w:p>
        </w:tc>
        <w:tc>
          <w:tcPr>
            <w:tcW w:w="3962"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Expected to occur once a year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or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Significant expertise and determination would be required to exploit weaknesses. Exploitation is possible but not likely.</w:t>
            </w:r>
          </w:p>
        </w:tc>
      </w:tr>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3</w:t>
            </w:r>
          </w:p>
        </w:tc>
        <w:tc>
          <w:tcPr>
            <w:tcW w:w="736"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Periodic</w:t>
            </w:r>
          </w:p>
        </w:tc>
        <w:tc>
          <w:tcPr>
            <w:tcW w:w="3962"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Expected to occur once a quarter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or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Moderate knowledge of processes and technology would be sufficient to exploit the asset. Effort required to exploit weaknesses is moderate.</w:t>
            </w:r>
          </w:p>
        </w:tc>
      </w:tr>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4</w:t>
            </w:r>
          </w:p>
        </w:tc>
        <w:tc>
          <w:tcPr>
            <w:tcW w:w="736"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Regular</w:t>
            </w:r>
          </w:p>
        </w:tc>
        <w:tc>
          <w:tcPr>
            <w:tcW w:w="3962"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Expected to occur once a fortnight</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or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Some knowledge of processes and technology would be sufficient to exploit the asset. Effort required to exploit weaknesses is minor.</w:t>
            </w:r>
          </w:p>
        </w:tc>
      </w:tr>
      <w:tr w:rsidR="000366B7" w:rsidTr="00933BF4">
        <w:tc>
          <w:tcPr>
            <w:tcW w:w="302" w:type="pct"/>
            <w:shd w:val="clear" w:color="auto" w:fill="D9D9D9" w:themeFill="background1" w:themeFillShade="D9"/>
          </w:tcPr>
          <w:p w:rsidR="00933BF4" w:rsidRPr="0008391B" w:rsidRDefault="00D20282" w:rsidP="00933BF4">
            <w:pPr>
              <w:jc w:val="center"/>
              <w:rPr>
                <w:rFonts w:ascii="Calibri" w:hAnsi="Calibri" w:cs="Calibri"/>
                <w:b/>
                <w:sz w:val="22"/>
                <w:szCs w:val="22"/>
              </w:rPr>
            </w:pPr>
            <w:r w:rsidRPr="0008391B">
              <w:rPr>
                <w:rFonts w:ascii="Calibri" w:hAnsi="Calibri" w:cs="Calibri"/>
                <w:b/>
                <w:sz w:val="22"/>
                <w:szCs w:val="22"/>
              </w:rPr>
              <w:t>5</w:t>
            </w:r>
          </w:p>
        </w:tc>
        <w:tc>
          <w:tcPr>
            <w:tcW w:w="736"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Frequent</w:t>
            </w:r>
          </w:p>
        </w:tc>
        <w:tc>
          <w:tcPr>
            <w:tcW w:w="3962" w:type="pct"/>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Expected to occur once a week</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or</w:t>
            </w:r>
          </w:p>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No specific knowledge or experience is required to exploit processes and technology. No effort required to exploit weaknesses.</w:t>
            </w:r>
          </w:p>
        </w:tc>
      </w:tr>
    </w:tbl>
    <w:p w:rsidR="00933BF4" w:rsidRPr="00A33043" w:rsidRDefault="00A42A8F" w:rsidP="00933BF4">
      <w:pPr>
        <w:pStyle w:val="ISMSNormal"/>
        <w:rPr>
          <w:b/>
        </w:rPr>
      </w:pPr>
    </w:p>
    <w:p w:rsidR="00933BF4" w:rsidRPr="00A33043" w:rsidRDefault="00A42A8F" w:rsidP="00933BF4">
      <w:pPr>
        <w:pStyle w:val="ISMSNormal"/>
        <w:rPr>
          <w:b/>
        </w:rPr>
        <w:sectPr w:rsidR="00933BF4" w:rsidRPr="00A33043" w:rsidSect="00933BF4">
          <w:headerReference w:type="even" r:id="rId16"/>
          <w:headerReference w:type="default" r:id="rId17"/>
          <w:footerReference w:type="default" r:id="rId18"/>
          <w:headerReference w:type="first" r:id="rId19"/>
          <w:pgSz w:w="16838" w:h="11906" w:orient="landscape"/>
          <w:pgMar w:top="1440" w:right="1440" w:bottom="1440" w:left="1440" w:header="708" w:footer="708" w:gutter="0"/>
          <w:cols w:space="708"/>
          <w:docGrid w:linePitch="360"/>
        </w:sectPr>
      </w:pPr>
    </w:p>
    <w:p w:rsidR="00933BF4" w:rsidRPr="00A33043" w:rsidRDefault="00A42A8F" w:rsidP="00933BF4">
      <w:pPr>
        <w:pStyle w:val="ISMSNormal"/>
        <w:rPr>
          <w:b/>
        </w:rPr>
      </w:pPr>
    </w:p>
    <w:p w:rsidR="00933BF4" w:rsidRPr="00FF23CB" w:rsidRDefault="00D20282" w:rsidP="00933BF4">
      <w:pPr>
        <w:pStyle w:val="ISMSHeading3"/>
      </w:pPr>
      <w:bookmarkStart w:id="150" w:name="_Toc256000144"/>
      <w:bookmarkStart w:id="151" w:name="_Toc256000128"/>
      <w:bookmarkStart w:id="152" w:name="_Toc256000118"/>
      <w:bookmarkStart w:id="153" w:name="_Toc256000102"/>
      <w:bookmarkStart w:id="154" w:name="_Toc256000086"/>
      <w:bookmarkStart w:id="155" w:name="_Toc256000070"/>
      <w:bookmarkStart w:id="156" w:name="_Toc256000054"/>
      <w:bookmarkStart w:id="157" w:name="_Toc256000039"/>
      <w:bookmarkStart w:id="158" w:name="_Toc256000024"/>
      <w:bookmarkStart w:id="159" w:name="_Toc484423639"/>
      <w:bookmarkStart w:id="160" w:name="_Toc486331675"/>
      <w:bookmarkStart w:id="161" w:name="_Toc490561969"/>
      <w:bookmarkStart w:id="162" w:name="_Toc497291374"/>
      <w:bookmarkStart w:id="163" w:name="_Toc524514464"/>
      <w:bookmarkStart w:id="164" w:name="_Toc956734"/>
      <w:r>
        <w:t xml:space="preserve">Risk Score </w:t>
      </w:r>
      <w:r w:rsidRPr="00FF23CB">
        <w:t>Calculation</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933BF4" w:rsidRPr="00FF23CB" w:rsidRDefault="00D20282" w:rsidP="00933BF4">
      <w:pPr>
        <w:pStyle w:val="ISMSNormal"/>
      </w:pPr>
      <w:r>
        <w:t xml:space="preserve">Risk Impact </w:t>
      </w:r>
      <w:r>
        <w:tab/>
        <w:t>= Maximum of Confidentiality, Integrity or Availability</w:t>
      </w:r>
    </w:p>
    <w:p w:rsidR="00933BF4" w:rsidRPr="00FF23CB" w:rsidRDefault="00D20282" w:rsidP="00933BF4">
      <w:pPr>
        <w:pStyle w:val="ISMSNormal"/>
      </w:pPr>
      <w:r>
        <w:t xml:space="preserve">Risk Score </w:t>
      </w:r>
      <w:r>
        <w:tab/>
        <w:t xml:space="preserve">= Risk Impact x Likelihood </w:t>
      </w:r>
    </w:p>
    <w:p w:rsidR="00933BF4" w:rsidRDefault="00A42A8F" w:rsidP="00933BF4">
      <w:pPr>
        <w:pStyle w:val="ISMSNormal"/>
      </w:pPr>
    </w:p>
    <w:p w:rsidR="00933BF4" w:rsidRPr="003E3E76" w:rsidRDefault="00D20282" w:rsidP="00933BF4">
      <w:pPr>
        <w:pStyle w:val="ISMSNormal"/>
      </w:pPr>
      <w:r w:rsidRPr="003E3E76">
        <w:t>Example:</w:t>
      </w:r>
      <w:r w:rsidRPr="00FF23CB">
        <w:rPr>
          <w:b/>
        </w:rPr>
        <w:tab/>
      </w:r>
      <w:r w:rsidRPr="00FF23CB">
        <w:rPr>
          <w:b/>
        </w:rPr>
        <w:tab/>
      </w:r>
      <w:r>
        <w:t>Confidentiality</w:t>
      </w:r>
      <w:r w:rsidRPr="003E3E76">
        <w:tab/>
      </w:r>
      <w:r>
        <w:tab/>
      </w:r>
      <w:r>
        <w:tab/>
      </w:r>
      <w:r w:rsidRPr="003E3E76">
        <w:t>= 3</w:t>
      </w:r>
    </w:p>
    <w:p w:rsidR="00933BF4" w:rsidRPr="003E3E76" w:rsidRDefault="00D20282" w:rsidP="00933BF4">
      <w:pPr>
        <w:pStyle w:val="ISMSNormal"/>
        <w:ind w:left="2160"/>
      </w:pPr>
      <w:r w:rsidRPr="003E3E76">
        <w:t>Int</w:t>
      </w:r>
      <w:r>
        <w:t>egrity</w:t>
      </w:r>
      <w:r w:rsidRPr="003E3E76">
        <w:tab/>
      </w:r>
      <w:r w:rsidRPr="003E3E76">
        <w:tab/>
      </w:r>
      <w:r>
        <w:tab/>
      </w:r>
      <w:r w:rsidRPr="003E3E76">
        <w:t>= 2</w:t>
      </w:r>
    </w:p>
    <w:p w:rsidR="00933BF4" w:rsidRPr="003E3E76" w:rsidRDefault="00D20282" w:rsidP="00933BF4">
      <w:pPr>
        <w:pStyle w:val="ISMSNormal"/>
        <w:ind w:left="2160"/>
      </w:pPr>
      <w:r w:rsidRPr="003E3E76">
        <w:t>Availability</w:t>
      </w:r>
      <w:r w:rsidRPr="003E3E76">
        <w:tab/>
      </w:r>
      <w:r w:rsidRPr="003E3E76">
        <w:tab/>
      </w:r>
      <w:r>
        <w:tab/>
      </w:r>
      <w:r w:rsidRPr="003E3E76">
        <w:t>= 5</w:t>
      </w:r>
    </w:p>
    <w:p w:rsidR="00933BF4" w:rsidRPr="003E3E76" w:rsidRDefault="00D20282" w:rsidP="00933BF4">
      <w:pPr>
        <w:pStyle w:val="ISMSNormal"/>
        <w:ind w:left="2160"/>
      </w:pPr>
      <w:r w:rsidRPr="003E3E76">
        <w:t xml:space="preserve">Likelihood     </w:t>
      </w:r>
      <w:r w:rsidRPr="003E3E76">
        <w:tab/>
      </w:r>
      <w:r w:rsidRPr="003E3E76">
        <w:tab/>
      </w:r>
      <w:r w:rsidRPr="003E3E76">
        <w:tab/>
      </w:r>
      <w:r>
        <w:t>= 4</w:t>
      </w:r>
    </w:p>
    <w:p w:rsidR="00933BF4" w:rsidRDefault="00A42A8F" w:rsidP="00933BF4">
      <w:pPr>
        <w:pStyle w:val="ISMSNormal"/>
      </w:pPr>
    </w:p>
    <w:p w:rsidR="00933BF4" w:rsidRPr="00FF23CB" w:rsidRDefault="00D20282" w:rsidP="00933BF4">
      <w:pPr>
        <w:pStyle w:val="ISMSNormal"/>
      </w:pPr>
      <w:r>
        <w:t>Risk Score = 5 x 4 = 20</w:t>
      </w:r>
    </w:p>
    <w:p w:rsidR="00933BF4" w:rsidRPr="00A33043" w:rsidRDefault="00A42A8F" w:rsidP="00933BF4">
      <w:pPr>
        <w:pStyle w:val="ISMSNormal"/>
        <w:rPr>
          <w:b/>
        </w:rPr>
      </w:pPr>
    </w:p>
    <w:p w:rsidR="00933BF4" w:rsidRPr="00A33043" w:rsidRDefault="00D20282" w:rsidP="00933BF4">
      <w:pPr>
        <w:pStyle w:val="ISMSNormal"/>
        <w:rPr>
          <w:b/>
        </w:rPr>
      </w:pPr>
      <w:r w:rsidRPr="00A33043">
        <w:rPr>
          <w:b/>
        </w:rPr>
        <w:t>Table 3: Risk Level</w:t>
      </w:r>
    </w:p>
    <w:tbl>
      <w:tblPr>
        <w:tblStyle w:val="TableGrid"/>
        <w:tblpPr w:leftFromText="180" w:rightFromText="180" w:vertAnchor="text" w:horzAnchor="page" w:tblpXSpec="center" w:tblpY="1"/>
        <w:tblW w:w="5000" w:type="pct"/>
        <w:tblLook w:val="04A0" w:firstRow="1" w:lastRow="0" w:firstColumn="1" w:lastColumn="0" w:noHBand="0" w:noVBand="1"/>
      </w:tblPr>
      <w:tblGrid>
        <w:gridCol w:w="1627"/>
        <w:gridCol w:w="1520"/>
        <w:gridCol w:w="5869"/>
      </w:tblGrid>
      <w:tr w:rsidR="000366B7" w:rsidTr="00933BF4">
        <w:tc>
          <w:tcPr>
            <w:tcW w:w="902" w:type="pct"/>
            <w:tcBorders>
              <w:bottom w:val="single" w:sz="4" w:space="0" w:color="auto"/>
            </w:tcBorders>
            <w:shd w:val="clear" w:color="auto" w:fill="D9D9D9" w:themeFill="background1" w:themeFillShade="D9"/>
          </w:tcPr>
          <w:p w:rsidR="00933BF4" w:rsidRPr="0008391B" w:rsidRDefault="00D20282" w:rsidP="00933BF4">
            <w:pPr>
              <w:rPr>
                <w:rFonts w:ascii="Calibri" w:hAnsi="Calibri" w:cs="Calibri"/>
                <w:b/>
                <w:sz w:val="22"/>
                <w:szCs w:val="22"/>
              </w:rPr>
            </w:pPr>
            <w:r w:rsidRPr="0008391B">
              <w:rPr>
                <w:rFonts w:ascii="Calibri" w:hAnsi="Calibri" w:cs="Calibri"/>
                <w:b/>
                <w:sz w:val="22"/>
                <w:szCs w:val="22"/>
              </w:rPr>
              <w:t>Score range</w:t>
            </w:r>
          </w:p>
        </w:tc>
        <w:tc>
          <w:tcPr>
            <w:tcW w:w="843" w:type="pct"/>
            <w:tcBorders>
              <w:bottom w:val="single" w:sz="4" w:space="0" w:color="auto"/>
            </w:tcBorders>
            <w:shd w:val="clear" w:color="auto" w:fill="D9D9D9" w:themeFill="background1" w:themeFillShade="D9"/>
          </w:tcPr>
          <w:p w:rsidR="00933BF4" w:rsidRPr="0008391B" w:rsidRDefault="00D20282" w:rsidP="00933BF4">
            <w:pPr>
              <w:rPr>
                <w:rFonts w:ascii="Calibri" w:hAnsi="Calibri" w:cs="Calibri"/>
                <w:b/>
                <w:sz w:val="22"/>
                <w:szCs w:val="22"/>
              </w:rPr>
            </w:pPr>
            <w:r w:rsidRPr="0008391B">
              <w:rPr>
                <w:rFonts w:ascii="Calibri" w:hAnsi="Calibri" w:cs="Calibri"/>
                <w:b/>
                <w:sz w:val="22"/>
                <w:szCs w:val="22"/>
              </w:rPr>
              <w:t>Risk level</w:t>
            </w:r>
          </w:p>
        </w:tc>
        <w:tc>
          <w:tcPr>
            <w:tcW w:w="3254" w:type="pct"/>
            <w:tcBorders>
              <w:bottom w:val="single" w:sz="4" w:space="0" w:color="auto"/>
            </w:tcBorders>
            <w:shd w:val="clear" w:color="auto" w:fill="D9D9D9" w:themeFill="background1" w:themeFillShade="D9"/>
          </w:tcPr>
          <w:p w:rsidR="00933BF4" w:rsidRPr="0008391B" w:rsidRDefault="00D20282" w:rsidP="00933BF4">
            <w:pPr>
              <w:rPr>
                <w:rFonts w:ascii="Calibri" w:hAnsi="Calibri" w:cs="Calibri"/>
                <w:b/>
                <w:sz w:val="22"/>
                <w:szCs w:val="22"/>
              </w:rPr>
            </w:pPr>
            <w:r w:rsidRPr="0008391B">
              <w:rPr>
                <w:rFonts w:ascii="Calibri" w:hAnsi="Calibri" w:cs="Calibri"/>
                <w:b/>
                <w:sz w:val="22"/>
                <w:szCs w:val="22"/>
              </w:rPr>
              <w:t>Treatment Action</w:t>
            </w:r>
          </w:p>
        </w:tc>
      </w:tr>
      <w:tr w:rsidR="000366B7" w:rsidTr="00933BF4">
        <w:trPr>
          <w:trHeight w:val="283"/>
        </w:trPr>
        <w:tc>
          <w:tcPr>
            <w:tcW w:w="902" w:type="pct"/>
            <w:shd w:val="clear" w:color="auto" w:fill="C6EFCE"/>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1-5</w:t>
            </w:r>
          </w:p>
        </w:tc>
        <w:tc>
          <w:tcPr>
            <w:tcW w:w="843" w:type="pct"/>
            <w:shd w:val="clear" w:color="auto" w:fill="C6EFCE"/>
          </w:tcPr>
          <w:p w:rsidR="00933BF4" w:rsidRPr="0008391B" w:rsidRDefault="00D20282" w:rsidP="00933BF4">
            <w:pPr>
              <w:rPr>
                <w:rFonts w:ascii="Calibri" w:hAnsi="Calibri" w:cs="Calibri"/>
                <w:color w:val="006100"/>
                <w:sz w:val="22"/>
                <w:szCs w:val="22"/>
              </w:rPr>
            </w:pPr>
            <w:r w:rsidRPr="0008391B">
              <w:rPr>
                <w:rFonts w:ascii="Calibri" w:hAnsi="Calibri" w:cs="Calibri"/>
                <w:color w:val="006100"/>
                <w:sz w:val="22"/>
                <w:szCs w:val="22"/>
              </w:rPr>
              <w:t>Low</w:t>
            </w:r>
          </w:p>
        </w:tc>
        <w:tc>
          <w:tcPr>
            <w:tcW w:w="3254" w:type="pct"/>
            <w:shd w:val="clear" w:color="auto" w:fill="C6EFCE"/>
            <w:vAlign w:val="center"/>
          </w:tcPr>
          <w:p w:rsidR="00933BF4" w:rsidRPr="0008391B" w:rsidRDefault="00D20282" w:rsidP="00933BF4">
            <w:pPr>
              <w:rPr>
                <w:rFonts w:ascii="Calibri" w:hAnsi="Calibri" w:cs="Calibri"/>
                <w:color w:val="000000"/>
                <w:sz w:val="22"/>
                <w:szCs w:val="22"/>
              </w:rPr>
            </w:pPr>
            <w:r w:rsidRPr="0008391B">
              <w:rPr>
                <w:rFonts w:ascii="Calibri" w:hAnsi="Calibri" w:cs="Calibri"/>
                <w:color w:val="000000"/>
                <w:sz w:val="22"/>
                <w:szCs w:val="22"/>
              </w:rPr>
              <w:t>Accept Risk</w:t>
            </w:r>
          </w:p>
        </w:tc>
      </w:tr>
      <w:tr w:rsidR="000366B7" w:rsidTr="00933BF4">
        <w:trPr>
          <w:trHeight w:val="283"/>
        </w:trPr>
        <w:tc>
          <w:tcPr>
            <w:tcW w:w="902" w:type="pct"/>
            <w:shd w:val="clear" w:color="auto" w:fill="FFFF00"/>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6-12</w:t>
            </w:r>
          </w:p>
        </w:tc>
        <w:tc>
          <w:tcPr>
            <w:tcW w:w="843" w:type="pct"/>
            <w:shd w:val="clear" w:color="auto" w:fill="FFFF00"/>
          </w:tcPr>
          <w:p w:rsidR="00933BF4" w:rsidRPr="0008391B" w:rsidRDefault="00D20282" w:rsidP="00933BF4">
            <w:pPr>
              <w:rPr>
                <w:rFonts w:ascii="Calibri" w:hAnsi="Calibri" w:cs="Calibri"/>
                <w:sz w:val="22"/>
                <w:szCs w:val="22"/>
              </w:rPr>
            </w:pPr>
            <w:r w:rsidRPr="0008391B">
              <w:rPr>
                <w:rFonts w:ascii="Calibri" w:hAnsi="Calibri" w:cs="Calibri"/>
                <w:color w:val="E36C0A" w:themeColor="accent6" w:themeShade="BF"/>
                <w:sz w:val="22"/>
                <w:szCs w:val="22"/>
                <w:highlight w:val="yellow"/>
              </w:rPr>
              <w:t>Medium</w:t>
            </w:r>
          </w:p>
        </w:tc>
        <w:tc>
          <w:tcPr>
            <w:tcW w:w="3254" w:type="pct"/>
            <w:shd w:val="clear" w:color="auto" w:fill="FFFF00"/>
            <w:vAlign w:val="center"/>
          </w:tcPr>
          <w:p w:rsidR="00933BF4" w:rsidRPr="0008391B" w:rsidRDefault="00D20282" w:rsidP="00933BF4">
            <w:pPr>
              <w:rPr>
                <w:rFonts w:ascii="Calibri" w:hAnsi="Calibri" w:cs="Calibri"/>
                <w:color w:val="000000"/>
                <w:sz w:val="22"/>
                <w:szCs w:val="22"/>
              </w:rPr>
            </w:pPr>
            <w:r w:rsidRPr="0008391B">
              <w:rPr>
                <w:rFonts w:ascii="Calibri" w:hAnsi="Calibri" w:cs="Calibri"/>
                <w:color w:val="000000"/>
                <w:sz w:val="22"/>
                <w:szCs w:val="22"/>
              </w:rPr>
              <w:t>Possible action determined by ISM</w:t>
            </w:r>
          </w:p>
        </w:tc>
      </w:tr>
      <w:tr w:rsidR="000366B7" w:rsidTr="00933BF4">
        <w:trPr>
          <w:trHeight w:val="283"/>
        </w:trPr>
        <w:tc>
          <w:tcPr>
            <w:tcW w:w="902" w:type="pct"/>
            <w:shd w:val="clear" w:color="auto" w:fill="FFC000"/>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13-18</w:t>
            </w:r>
          </w:p>
        </w:tc>
        <w:tc>
          <w:tcPr>
            <w:tcW w:w="843" w:type="pct"/>
            <w:shd w:val="clear" w:color="auto" w:fill="FFC000"/>
          </w:tcPr>
          <w:p w:rsidR="00933BF4" w:rsidRPr="0008391B" w:rsidRDefault="00D20282" w:rsidP="00933BF4">
            <w:pPr>
              <w:rPr>
                <w:rFonts w:ascii="Calibri" w:hAnsi="Calibri" w:cs="Calibri"/>
                <w:sz w:val="22"/>
                <w:szCs w:val="22"/>
              </w:rPr>
            </w:pPr>
            <w:r w:rsidRPr="0008391B">
              <w:rPr>
                <w:rFonts w:ascii="Calibri" w:hAnsi="Calibri" w:cs="Calibri"/>
                <w:color w:val="E36C0A" w:themeColor="accent6" w:themeShade="BF"/>
                <w:sz w:val="22"/>
                <w:szCs w:val="22"/>
              </w:rPr>
              <w:t>High</w:t>
            </w:r>
          </w:p>
        </w:tc>
        <w:tc>
          <w:tcPr>
            <w:tcW w:w="3254" w:type="pct"/>
            <w:shd w:val="clear" w:color="auto" w:fill="FFC000"/>
            <w:vAlign w:val="center"/>
          </w:tcPr>
          <w:p w:rsidR="00933BF4" w:rsidRPr="0008391B" w:rsidRDefault="00D20282" w:rsidP="00933BF4">
            <w:pPr>
              <w:rPr>
                <w:rFonts w:ascii="Calibri" w:hAnsi="Calibri" w:cs="Calibri"/>
                <w:color w:val="000000"/>
                <w:sz w:val="22"/>
                <w:szCs w:val="22"/>
              </w:rPr>
            </w:pPr>
            <w:r w:rsidRPr="0008391B">
              <w:rPr>
                <w:rFonts w:ascii="Calibri" w:hAnsi="Calibri" w:cs="Calibri"/>
                <w:color w:val="000000"/>
                <w:sz w:val="22"/>
                <w:szCs w:val="22"/>
              </w:rPr>
              <w:t>Action determined by the ISSG</w:t>
            </w:r>
          </w:p>
        </w:tc>
      </w:tr>
      <w:tr w:rsidR="000366B7" w:rsidTr="00933BF4">
        <w:trPr>
          <w:trHeight w:val="283"/>
        </w:trPr>
        <w:tc>
          <w:tcPr>
            <w:tcW w:w="902" w:type="pct"/>
            <w:shd w:val="clear" w:color="auto" w:fill="FF0000"/>
          </w:tcPr>
          <w:p w:rsidR="00933BF4" w:rsidRPr="0008391B" w:rsidRDefault="00D20282" w:rsidP="00933BF4">
            <w:pPr>
              <w:jc w:val="center"/>
              <w:rPr>
                <w:rFonts w:ascii="Calibri" w:hAnsi="Calibri" w:cs="Calibri"/>
                <w:sz w:val="22"/>
                <w:szCs w:val="22"/>
              </w:rPr>
            </w:pPr>
            <w:r w:rsidRPr="0008391B">
              <w:rPr>
                <w:rFonts w:ascii="Calibri" w:hAnsi="Calibri" w:cs="Calibri"/>
                <w:sz w:val="22"/>
                <w:szCs w:val="22"/>
              </w:rPr>
              <w:t>19-25</w:t>
            </w:r>
          </w:p>
        </w:tc>
        <w:tc>
          <w:tcPr>
            <w:tcW w:w="843" w:type="pct"/>
            <w:shd w:val="clear" w:color="auto" w:fill="FF0000"/>
          </w:tcPr>
          <w:p w:rsidR="00933BF4" w:rsidRPr="0008391B" w:rsidRDefault="00D20282" w:rsidP="00933BF4">
            <w:pPr>
              <w:rPr>
                <w:rFonts w:ascii="Calibri" w:hAnsi="Calibri" w:cs="Calibri"/>
                <w:sz w:val="22"/>
                <w:szCs w:val="22"/>
              </w:rPr>
            </w:pPr>
            <w:r w:rsidRPr="0008391B">
              <w:rPr>
                <w:rFonts w:ascii="Calibri" w:hAnsi="Calibri" w:cs="Calibri"/>
                <w:sz w:val="22"/>
                <w:szCs w:val="22"/>
              </w:rPr>
              <w:t>Very High</w:t>
            </w:r>
          </w:p>
        </w:tc>
        <w:tc>
          <w:tcPr>
            <w:tcW w:w="3254" w:type="pct"/>
            <w:shd w:val="clear" w:color="auto" w:fill="FF0000"/>
            <w:vAlign w:val="center"/>
          </w:tcPr>
          <w:p w:rsidR="00933BF4" w:rsidRPr="0008391B" w:rsidRDefault="00D20282" w:rsidP="00933BF4">
            <w:pPr>
              <w:rPr>
                <w:rFonts w:ascii="Calibri" w:hAnsi="Calibri" w:cs="Calibri"/>
                <w:color w:val="000000"/>
                <w:sz w:val="22"/>
                <w:szCs w:val="22"/>
              </w:rPr>
            </w:pPr>
            <w:r w:rsidRPr="0008391B">
              <w:rPr>
                <w:rFonts w:ascii="Calibri" w:hAnsi="Calibri" w:cs="Calibri"/>
                <w:color w:val="000000"/>
                <w:sz w:val="22"/>
                <w:szCs w:val="22"/>
              </w:rPr>
              <w:t>Priority action determined by Management sponsor</w:t>
            </w:r>
          </w:p>
        </w:tc>
      </w:tr>
    </w:tbl>
    <w:p w:rsidR="00933BF4" w:rsidRPr="00A33043" w:rsidRDefault="00A42A8F" w:rsidP="00933BF4">
      <w:pPr>
        <w:pStyle w:val="ISMSNormal"/>
        <w:rPr>
          <w:b/>
        </w:rPr>
      </w:pPr>
    </w:p>
    <w:p w:rsidR="00933BF4" w:rsidRPr="00BE1914" w:rsidRDefault="00D20282" w:rsidP="00933BF4">
      <w:pPr>
        <w:pStyle w:val="ISMSHeading2"/>
        <w:rPr>
          <w:rFonts w:cs="Arial"/>
        </w:rPr>
      </w:pPr>
      <w:bookmarkStart w:id="165" w:name="_Toc256000145"/>
      <w:bookmarkStart w:id="166" w:name="_Toc256000129"/>
      <w:bookmarkStart w:id="167" w:name="_Toc256000119"/>
      <w:bookmarkStart w:id="168" w:name="_Toc256000103"/>
      <w:bookmarkStart w:id="169" w:name="_Toc256000087"/>
      <w:bookmarkStart w:id="170" w:name="_Toc256000071"/>
      <w:bookmarkStart w:id="171" w:name="_Toc256000055"/>
      <w:bookmarkStart w:id="172" w:name="_Toc256000040"/>
      <w:bookmarkStart w:id="173" w:name="_Toc256000025"/>
      <w:bookmarkStart w:id="174" w:name="_Toc484423640"/>
      <w:bookmarkStart w:id="175" w:name="_Toc486331676"/>
      <w:bookmarkStart w:id="176" w:name="_Toc490561970"/>
      <w:bookmarkStart w:id="177" w:name="_Toc497291375"/>
      <w:bookmarkStart w:id="178" w:name="_Toc524514465"/>
      <w:bookmarkStart w:id="179" w:name="_Toc956735"/>
      <w:r>
        <w:t>Risk Treatment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933BF4" w:rsidRDefault="00D20282" w:rsidP="00933BF4">
      <w:pPr>
        <w:pStyle w:val="ISMSNormal"/>
      </w:pPr>
      <w:r>
        <w:t>Risk treatment is part of the risk management process and is required to modify risks to the organisation using one of the following approaches:</w:t>
      </w:r>
    </w:p>
    <w:p w:rsidR="00933BF4" w:rsidRPr="00A50F0C" w:rsidRDefault="00D20282" w:rsidP="00933BF4">
      <w:pPr>
        <w:pStyle w:val="ListParagraph"/>
        <w:numPr>
          <w:ilvl w:val="0"/>
          <w:numId w:val="15"/>
        </w:numPr>
      </w:pPr>
      <w:r w:rsidRPr="00624533">
        <w:rPr>
          <w:b/>
        </w:rPr>
        <w:t>M</w:t>
      </w:r>
      <w:r>
        <w:rPr>
          <w:b/>
        </w:rPr>
        <w:t xml:space="preserve"> </w:t>
      </w:r>
      <w:r w:rsidRPr="00624533">
        <w:rPr>
          <w:b/>
        </w:rPr>
        <w:t>ITIGATE</w:t>
      </w:r>
      <w:r>
        <w:t xml:space="preserve"> the risk. </w:t>
      </w:r>
      <w:r w:rsidRPr="00A50F0C">
        <w:t>Chang</w:t>
      </w:r>
      <w:r>
        <w:t>e</w:t>
      </w:r>
      <w:r w:rsidRPr="00A50F0C">
        <w:t xml:space="preserve"> the likelihood of the risk occurring or the consequences of the risk </w:t>
      </w:r>
    </w:p>
    <w:p w:rsidR="00933BF4" w:rsidRDefault="00D20282" w:rsidP="00933BF4">
      <w:pPr>
        <w:pStyle w:val="ListParagraph"/>
        <w:numPr>
          <w:ilvl w:val="0"/>
          <w:numId w:val="15"/>
        </w:numPr>
      </w:pPr>
      <w:r w:rsidRPr="00624533">
        <w:rPr>
          <w:b/>
        </w:rPr>
        <w:t>A</w:t>
      </w:r>
      <w:r>
        <w:rPr>
          <w:b/>
        </w:rPr>
        <w:t xml:space="preserve"> </w:t>
      </w:r>
      <w:r w:rsidRPr="00624533">
        <w:rPr>
          <w:b/>
        </w:rPr>
        <w:t>VOID</w:t>
      </w:r>
      <w:r w:rsidRPr="00780D09">
        <w:t xml:space="preserve"> the risk</w:t>
      </w:r>
      <w:r>
        <w:t xml:space="preserve">. Choose </w:t>
      </w:r>
      <w:r w:rsidRPr="00780D09">
        <w:t xml:space="preserve">to </w:t>
      </w:r>
      <w:r>
        <w:t xml:space="preserve">not </w:t>
      </w:r>
      <w:r w:rsidRPr="00780D09">
        <w:t>start or continue a project, procedure or process that brings unacceptable risk to the organisation.</w:t>
      </w:r>
    </w:p>
    <w:p w:rsidR="00933BF4" w:rsidRPr="00A50F0C" w:rsidRDefault="00D20282" w:rsidP="00933BF4">
      <w:pPr>
        <w:pStyle w:val="ListParagraph"/>
        <w:numPr>
          <w:ilvl w:val="0"/>
          <w:numId w:val="15"/>
        </w:numPr>
      </w:pPr>
      <w:r w:rsidRPr="00624533">
        <w:rPr>
          <w:b/>
        </w:rPr>
        <w:t>S</w:t>
      </w:r>
      <w:r>
        <w:rPr>
          <w:b/>
        </w:rPr>
        <w:t xml:space="preserve"> </w:t>
      </w:r>
      <w:r w:rsidRPr="00624533">
        <w:rPr>
          <w:b/>
        </w:rPr>
        <w:t>UBSTITUTE</w:t>
      </w:r>
      <w:r>
        <w:t xml:space="preserve"> the risk. </w:t>
      </w:r>
      <w:r w:rsidRPr="00A50F0C">
        <w:t>Remov</w:t>
      </w:r>
      <w:r>
        <w:t>e</w:t>
      </w:r>
      <w:r w:rsidRPr="00A50F0C">
        <w:t xml:space="preserve"> the risk source and fin</w:t>
      </w:r>
      <w:r>
        <w:t>d</w:t>
      </w:r>
      <w:r w:rsidRPr="00A50F0C">
        <w:t xml:space="preserve"> a less risky alternative</w:t>
      </w:r>
    </w:p>
    <w:p w:rsidR="00933BF4" w:rsidRDefault="00D20282" w:rsidP="00933BF4">
      <w:pPr>
        <w:pStyle w:val="ListParagraph"/>
        <w:numPr>
          <w:ilvl w:val="0"/>
          <w:numId w:val="15"/>
        </w:numPr>
      </w:pPr>
      <w:r w:rsidRPr="00624533">
        <w:rPr>
          <w:b/>
        </w:rPr>
        <w:t>T</w:t>
      </w:r>
      <w:r>
        <w:rPr>
          <w:b/>
        </w:rPr>
        <w:t xml:space="preserve"> </w:t>
      </w:r>
      <w:r w:rsidRPr="00624533">
        <w:rPr>
          <w:b/>
        </w:rPr>
        <w:t>RANSFER</w:t>
      </w:r>
      <w:r>
        <w:t xml:space="preserve"> the risk. </w:t>
      </w:r>
      <w:r w:rsidRPr="00A50F0C">
        <w:t>Shar</w:t>
      </w:r>
      <w:r>
        <w:t>e</w:t>
      </w:r>
      <w:r w:rsidRPr="00A50F0C">
        <w:t xml:space="preserve"> the risk with a 3</w:t>
      </w:r>
      <w:r w:rsidRPr="00A50F0C">
        <w:rPr>
          <w:vertAlign w:val="superscript"/>
        </w:rPr>
        <w:t>rd</w:t>
      </w:r>
      <w:r w:rsidRPr="00A50F0C">
        <w:t xml:space="preserve"> party via contracts, agreements or insurance</w:t>
      </w:r>
    </w:p>
    <w:p w:rsidR="00933BF4" w:rsidRPr="00780D09" w:rsidRDefault="00D20282" w:rsidP="00933BF4">
      <w:pPr>
        <w:pStyle w:val="ListParagraph"/>
        <w:numPr>
          <w:ilvl w:val="0"/>
          <w:numId w:val="15"/>
        </w:numPr>
      </w:pPr>
      <w:r w:rsidRPr="00624533">
        <w:rPr>
          <w:b/>
        </w:rPr>
        <w:t>A</w:t>
      </w:r>
      <w:r>
        <w:rPr>
          <w:b/>
        </w:rPr>
        <w:t xml:space="preserve"> </w:t>
      </w:r>
      <w:r w:rsidRPr="00624533">
        <w:rPr>
          <w:b/>
        </w:rPr>
        <w:t>CCEPT</w:t>
      </w:r>
      <w:r w:rsidRPr="00780D09">
        <w:t xml:space="preserve"> the risk </w:t>
      </w:r>
      <w:r>
        <w:t xml:space="preserve">by informed choice. Choose to accept possible unacceptable levels of risk in order to pursue an opportunity. Note: </w:t>
      </w:r>
      <w:r w:rsidRPr="00780D09">
        <w:t>Mitigation is optional but contingency is mandatory.</w:t>
      </w:r>
    </w:p>
    <w:p w:rsidR="00933BF4" w:rsidRDefault="00A42A8F" w:rsidP="00933BF4">
      <w:pPr>
        <w:pStyle w:val="ISMSNormal"/>
      </w:pPr>
    </w:p>
    <w:p w:rsidR="00933BF4" w:rsidRPr="0066632E" w:rsidRDefault="00D20282" w:rsidP="00933BF4">
      <w:pPr>
        <w:pStyle w:val="ISMSNormal"/>
      </w:pPr>
      <w:r>
        <w:t>Accepting a risk may leave the organisation exposed to unidentified risks, and risk treatment may create or modify existing risks therefore continuous monitoring and risk assessment is necessary.</w:t>
      </w:r>
    </w:p>
    <w:p w:rsidR="00933BF4" w:rsidRDefault="00A42A8F" w:rsidP="00933BF4">
      <w:pPr>
        <w:pStyle w:val="ISMSNormal"/>
      </w:pPr>
    </w:p>
    <w:p w:rsidR="00933BF4" w:rsidRDefault="00D20282" w:rsidP="00933BF4">
      <w:pPr>
        <w:pStyle w:val="ISMSNormal"/>
      </w:pPr>
      <w:r>
        <w:t>Risk treatment may not initially modify the risk to an acceptable level, therefore repeated rounds of assessment, monitoring and treatment may be required to adequately manage the residual risk.</w:t>
      </w:r>
    </w:p>
    <w:p w:rsidR="00933BF4" w:rsidRDefault="00A42A8F" w:rsidP="00933BF4">
      <w:pPr>
        <w:pStyle w:val="ISMSNormal"/>
      </w:pPr>
    </w:p>
    <w:p w:rsidR="00933BF4" w:rsidRPr="004656B7" w:rsidRDefault="00D20282" w:rsidP="00933BF4">
      <w:pPr>
        <w:pStyle w:val="ISMSHeading3"/>
      </w:pPr>
      <w:bookmarkStart w:id="180" w:name="_Toc256000146"/>
      <w:bookmarkStart w:id="181" w:name="_Toc256000130"/>
      <w:bookmarkStart w:id="182" w:name="_Toc256000120"/>
      <w:bookmarkStart w:id="183" w:name="_Toc256000104"/>
      <w:bookmarkStart w:id="184" w:name="_Toc256000088"/>
      <w:bookmarkStart w:id="185" w:name="_Toc256000072"/>
      <w:bookmarkStart w:id="186" w:name="_Toc256000056"/>
      <w:bookmarkStart w:id="187" w:name="_Toc256000041"/>
      <w:bookmarkStart w:id="188" w:name="_Toc256000026"/>
      <w:bookmarkStart w:id="189" w:name="_Toc482782929"/>
      <w:bookmarkStart w:id="190" w:name="_Toc484423641"/>
      <w:bookmarkStart w:id="191" w:name="_Toc486331677"/>
      <w:bookmarkStart w:id="192" w:name="_Toc490561971"/>
      <w:bookmarkStart w:id="193" w:name="_Toc497291376"/>
      <w:bookmarkStart w:id="194" w:name="_Toc524514466"/>
      <w:bookmarkStart w:id="195" w:name="_Toc956736"/>
      <w:r>
        <w:t>Risk T</w:t>
      </w:r>
      <w:r w:rsidRPr="004656B7">
        <w:t xml:space="preserve">reatment </w:t>
      </w:r>
      <w:r>
        <w:t>C</w:t>
      </w:r>
      <w:r w:rsidRPr="004656B7">
        <w:t>onstraints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933BF4" w:rsidRDefault="00D20282" w:rsidP="00933BF4">
      <w:pPr>
        <w:pStyle w:val="ISMSNormal"/>
      </w:pPr>
      <w:r>
        <w:t>In addition to the impact of the risk on the organisation, and the perception of 3</w:t>
      </w:r>
      <w:r w:rsidRPr="00872580">
        <w:rPr>
          <w:vertAlign w:val="superscript"/>
        </w:rPr>
        <w:t>rd</w:t>
      </w:r>
      <w:r>
        <w:t xml:space="preserve"> parties, the risk owner needs to consider various constraints that affect the range of treatment options. The constraints include, but are not limited to:</w:t>
      </w:r>
    </w:p>
    <w:p w:rsidR="00933BF4" w:rsidRDefault="00A42A8F" w:rsidP="00933BF4">
      <w:pPr>
        <w:pStyle w:val="ISMSNormal"/>
      </w:pPr>
    </w:p>
    <w:p w:rsidR="00933BF4" w:rsidRDefault="00D20282" w:rsidP="00933BF4">
      <w:pPr>
        <w:pStyle w:val="ISMSNormal"/>
      </w:pPr>
      <w:r w:rsidRPr="00252790">
        <w:t xml:space="preserve">Constraints </w:t>
      </w:r>
      <w:r>
        <w:t>from pre-existing processes: P</w:t>
      </w:r>
      <w:r w:rsidRPr="00252790">
        <w:t>rojects are not necessarily developed simultaneously. Some de</w:t>
      </w:r>
      <w:r>
        <w:t>pend on pre-existing processes.</w:t>
      </w:r>
    </w:p>
    <w:p w:rsidR="00933BF4" w:rsidRDefault="00D20282" w:rsidP="00933BF4">
      <w:pPr>
        <w:pStyle w:val="ISMSNormal"/>
      </w:pPr>
      <w:r>
        <w:lastRenderedPageBreak/>
        <w:t xml:space="preserve"> </w:t>
      </w:r>
    </w:p>
    <w:p w:rsidR="00933BF4" w:rsidRPr="00252790" w:rsidRDefault="00D20282" w:rsidP="00933BF4">
      <w:pPr>
        <w:pStyle w:val="ISMSNormal"/>
      </w:pPr>
      <w:r w:rsidRPr="00252790">
        <w:t>Technical constraints</w:t>
      </w:r>
      <w:r>
        <w:t xml:space="preserve">: </w:t>
      </w:r>
      <w:r w:rsidRPr="00252790">
        <w:t xml:space="preserve">relating to infrastructure, </w:t>
      </w:r>
      <w:r>
        <w:t xml:space="preserve">hardware and software, and </w:t>
      </w:r>
      <w:r w:rsidRPr="00252790">
        <w:t>rooms or sites housing the processes:</w:t>
      </w:r>
    </w:p>
    <w:p w:rsidR="00933BF4" w:rsidRPr="00A30CED" w:rsidRDefault="00D20282" w:rsidP="00933BF4">
      <w:pPr>
        <w:pStyle w:val="ListParagraph"/>
        <w:numPr>
          <w:ilvl w:val="0"/>
          <w:numId w:val="17"/>
        </w:numPr>
      </w:pPr>
      <w:r w:rsidRPr="00A30CED">
        <w:t>Files (requirements concerning organisation, media management, management of access rules, etc.)</w:t>
      </w:r>
    </w:p>
    <w:p w:rsidR="00933BF4" w:rsidRPr="00A30CED" w:rsidRDefault="00D20282" w:rsidP="00933BF4">
      <w:pPr>
        <w:pStyle w:val="ListParagraph"/>
        <w:numPr>
          <w:ilvl w:val="0"/>
          <w:numId w:val="17"/>
        </w:numPr>
      </w:pPr>
      <w:r w:rsidRPr="00A30CED">
        <w:t>General architecture (requirements concerning topology (centralised, distributed, client-server), physical</w:t>
      </w:r>
      <w:r>
        <w:t xml:space="preserve"> </w:t>
      </w:r>
      <w:r w:rsidRPr="00A30CED">
        <w:t>architecture, etc.)</w:t>
      </w:r>
    </w:p>
    <w:p w:rsidR="00933BF4" w:rsidRPr="00A30CED" w:rsidRDefault="00D20282" w:rsidP="00933BF4">
      <w:pPr>
        <w:pStyle w:val="ListParagraph"/>
        <w:numPr>
          <w:ilvl w:val="0"/>
          <w:numId w:val="17"/>
        </w:numPr>
      </w:pPr>
      <w:r w:rsidRPr="00A30CED">
        <w:t xml:space="preserve">Application software (requirements concerning specific software </w:t>
      </w:r>
      <w:r>
        <w:t>design, standards, etc.)</w:t>
      </w:r>
    </w:p>
    <w:p w:rsidR="00933BF4" w:rsidRPr="00A30CED" w:rsidRDefault="00D20282" w:rsidP="00933BF4">
      <w:pPr>
        <w:pStyle w:val="ListParagraph"/>
        <w:numPr>
          <w:ilvl w:val="0"/>
          <w:numId w:val="17"/>
        </w:numPr>
      </w:pPr>
      <w:r w:rsidRPr="00A30CED">
        <w:t>Package software (level of evaluation, quality, compliance with</w:t>
      </w:r>
      <w:r>
        <w:t xml:space="preserve"> standards</w:t>
      </w:r>
      <w:r w:rsidRPr="00A30CED">
        <w:t>, security, etc.)</w:t>
      </w:r>
    </w:p>
    <w:p w:rsidR="00933BF4" w:rsidRPr="00A30CED" w:rsidRDefault="00D20282" w:rsidP="00933BF4">
      <w:pPr>
        <w:pStyle w:val="ListParagraph"/>
        <w:numPr>
          <w:ilvl w:val="0"/>
          <w:numId w:val="17"/>
        </w:numPr>
      </w:pPr>
      <w:r w:rsidRPr="00A30CED">
        <w:t>Hardware (</w:t>
      </w:r>
      <w:r>
        <w:t xml:space="preserve">build approach, </w:t>
      </w:r>
      <w:r w:rsidRPr="00A30CED">
        <w:t xml:space="preserve">quality, compliance with </w:t>
      </w:r>
      <w:r>
        <w:t>standards</w:t>
      </w:r>
      <w:r w:rsidRPr="00A30CED">
        <w:t>, etc.)</w:t>
      </w:r>
    </w:p>
    <w:p w:rsidR="00933BF4" w:rsidRPr="00A30CED" w:rsidRDefault="00D20282" w:rsidP="00933BF4">
      <w:pPr>
        <w:pStyle w:val="ListParagraph"/>
        <w:numPr>
          <w:ilvl w:val="0"/>
          <w:numId w:val="17"/>
        </w:numPr>
      </w:pPr>
      <w:r w:rsidRPr="00A30CED">
        <w:t>Communication networks (coverage, standards, capacity, reliability, etc.)</w:t>
      </w:r>
    </w:p>
    <w:p w:rsidR="00933BF4" w:rsidRDefault="00D20282" w:rsidP="00933BF4">
      <w:pPr>
        <w:pStyle w:val="ListParagraph"/>
        <w:numPr>
          <w:ilvl w:val="0"/>
          <w:numId w:val="17"/>
        </w:numPr>
      </w:pPr>
      <w:r w:rsidRPr="00A30CED">
        <w:t xml:space="preserve">Building infrastructure (civil engineering, construction, </w:t>
      </w:r>
      <w:r>
        <w:t>power supply</w:t>
      </w:r>
      <w:r w:rsidRPr="00A30CED">
        <w:t>, etc.)</w:t>
      </w:r>
    </w:p>
    <w:p w:rsidR="00933BF4" w:rsidRPr="00A30CED" w:rsidRDefault="00D20282" w:rsidP="00933BF4">
      <w:pPr>
        <w:pStyle w:val="ISMSNormal"/>
      </w:pPr>
      <w:r>
        <w:t>In some cases, it may be appropriate to apply procedural controls rather than physical controls.</w:t>
      </w:r>
    </w:p>
    <w:p w:rsidR="00933BF4" w:rsidRDefault="00A42A8F" w:rsidP="00933BF4">
      <w:pPr>
        <w:pStyle w:val="ISMSNormal"/>
      </w:pPr>
    </w:p>
    <w:p w:rsidR="00933BF4" w:rsidRPr="00252790" w:rsidRDefault="00D20282" w:rsidP="00933BF4">
      <w:pPr>
        <w:pStyle w:val="ISMSNormal"/>
      </w:pPr>
      <w:r w:rsidRPr="004C5985">
        <w:rPr>
          <w:i/>
        </w:rPr>
        <w:t>Financial constraints</w:t>
      </w:r>
      <w:r>
        <w:t>: Available budget may restrict t</w:t>
      </w:r>
      <w:r w:rsidRPr="00252790">
        <w:t>he implementation of security controls.</w:t>
      </w:r>
    </w:p>
    <w:p w:rsidR="00933BF4" w:rsidRDefault="00A42A8F" w:rsidP="00933BF4">
      <w:pPr>
        <w:pStyle w:val="ISMSNormal"/>
      </w:pPr>
    </w:p>
    <w:p w:rsidR="00933BF4" w:rsidRDefault="00D20282" w:rsidP="00933BF4">
      <w:pPr>
        <w:pStyle w:val="ISMSNormal"/>
      </w:pPr>
      <w:r w:rsidRPr="004C5985">
        <w:rPr>
          <w:i/>
        </w:rPr>
        <w:t>Environmental constraints</w:t>
      </w:r>
      <w:r>
        <w:t>: These a</w:t>
      </w:r>
      <w:r w:rsidRPr="00252790">
        <w:t>ris</w:t>
      </w:r>
      <w:r>
        <w:t>e</w:t>
      </w:r>
      <w:r w:rsidRPr="00252790">
        <w:t xml:space="preserve"> from the geographical or economic environ</w:t>
      </w:r>
      <w:r>
        <w:t xml:space="preserve">ment in which the processes are </w:t>
      </w:r>
      <w:r w:rsidRPr="00252790">
        <w:t>implemented</w:t>
      </w:r>
    </w:p>
    <w:p w:rsidR="00933BF4" w:rsidRDefault="00A42A8F" w:rsidP="00933BF4">
      <w:pPr>
        <w:pStyle w:val="ISMSNormal"/>
      </w:pPr>
    </w:p>
    <w:p w:rsidR="00933BF4" w:rsidRPr="00252790" w:rsidRDefault="00D20282" w:rsidP="00933BF4">
      <w:pPr>
        <w:pStyle w:val="ISMSNormal"/>
      </w:pPr>
      <w:r w:rsidRPr="004C5985">
        <w:rPr>
          <w:i/>
        </w:rPr>
        <w:t>Time constraints</w:t>
      </w:r>
      <w:r>
        <w:t xml:space="preserve">: </w:t>
      </w:r>
      <w:r w:rsidRPr="00252790">
        <w:t xml:space="preserve">The time </w:t>
      </w:r>
      <w:r>
        <w:t xml:space="preserve">required </w:t>
      </w:r>
      <w:r w:rsidRPr="00252790">
        <w:t xml:space="preserve">for implementing security controls should be considered in relation to the </w:t>
      </w:r>
      <w:r>
        <w:t xml:space="preserve">time </w:t>
      </w:r>
      <w:r w:rsidRPr="00252790">
        <w:t>to upgrade</w:t>
      </w:r>
      <w:r>
        <w:t xml:space="preserve"> </w:t>
      </w:r>
      <w:r w:rsidRPr="00252790">
        <w:t>the information system; if the implementation time is very long, the risks for which the control was designed</w:t>
      </w:r>
      <w:r>
        <w:t xml:space="preserve"> </w:t>
      </w:r>
      <w:r w:rsidRPr="00252790">
        <w:t xml:space="preserve">may have changed. </w:t>
      </w:r>
    </w:p>
    <w:p w:rsidR="00933BF4" w:rsidRDefault="00A42A8F" w:rsidP="00933BF4">
      <w:pPr>
        <w:pStyle w:val="ISMSNormal"/>
      </w:pPr>
    </w:p>
    <w:p w:rsidR="00933BF4" w:rsidRDefault="00D20282" w:rsidP="00933BF4">
      <w:pPr>
        <w:pStyle w:val="ISMSNormal"/>
      </w:pPr>
      <w:r w:rsidRPr="004C5985">
        <w:rPr>
          <w:i/>
        </w:rPr>
        <w:t>Resource constraints</w:t>
      </w:r>
      <w:r>
        <w:t>: The availability of personnel, skills and resources may affect the treatment options.</w:t>
      </w:r>
    </w:p>
    <w:p w:rsidR="00933BF4" w:rsidRDefault="00A42A8F" w:rsidP="00933BF4">
      <w:pPr>
        <w:pStyle w:val="ISMSNormal"/>
      </w:pPr>
    </w:p>
    <w:p w:rsidR="00933BF4" w:rsidRPr="00252790" w:rsidRDefault="00D20282" w:rsidP="00933BF4">
      <w:pPr>
        <w:pStyle w:val="ISMSNormal"/>
      </w:pPr>
      <w:r w:rsidRPr="004C5985">
        <w:rPr>
          <w:i/>
        </w:rPr>
        <w:t>Constraints related to methods</w:t>
      </w:r>
      <w:r>
        <w:t xml:space="preserve">: </w:t>
      </w:r>
      <w:r w:rsidRPr="00252790">
        <w:t xml:space="preserve">Methods appropriate to the </w:t>
      </w:r>
      <w:r>
        <w:t>organisation</w:t>
      </w:r>
      <w:r w:rsidRPr="00252790">
        <w:t xml:space="preserve">'s know-how </w:t>
      </w:r>
      <w:r>
        <w:t xml:space="preserve">will </w:t>
      </w:r>
      <w:r w:rsidRPr="00252790">
        <w:t>be used for pr</w:t>
      </w:r>
      <w:r>
        <w:t xml:space="preserve">oject planning, specifications, </w:t>
      </w:r>
      <w:r w:rsidRPr="00252790">
        <w:t>development and so on.</w:t>
      </w:r>
    </w:p>
    <w:p w:rsidR="00933BF4" w:rsidRDefault="00A42A8F" w:rsidP="00933BF4">
      <w:pPr>
        <w:pStyle w:val="ISMSNormal"/>
      </w:pPr>
    </w:p>
    <w:p w:rsidR="00933BF4" w:rsidRPr="00252790" w:rsidRDefault="00D20282" w:rsidP="00933BF4">
      <w:pPr>
        <w:pStyle w:val="ISMSNormal"/>
      </w:pPr>
      <w:r w:rsidRPr="004C5985">
        <w:rPr>
          <w:i/>
        </w:rPr>
        <w:t>Organisational constraints</w:t>
      </w:r>
      <w:r>
        <w:t xml:space="preserve">: </w:t>
      </w:r>
      <w:r w:rsidRPr="00252790">
        <w:t xml:space="preserve">Various constraints may follow from </w:t>
      </w:r>
      <w:r>
        <w:t>organisation</w:t>
      </w:r>
      <w:r w:rsidRPr="00252790">
        <w:t>al requirements:</w:t>
      </w:r>
    </w:p>
    <w:p w:rsidR="00933BF4" w:rsidRPr="00A30CED" w:rsidRDefault="00D20282" w:rsidP="00933BF4">
      <w:pPr>
        <w:pStyle w:val="ListParagraph"/>
        <w:numPr>
          <w:ilvl w:val="0"/>
          <w:numId w:val="16"/>
        </w:numPr>
      </w:pPr>
      <w:r w:rsidRPr="00A30CED">
        <w:t>Operation (lead-times, supply of services, surveillance, monitoring, emergency</w:t>
      </w:r>
      <w:r>
        <w:t xml:space="preserve"> </w:t>
      </w:r>
      <w:r w:rsidRPr="00A30CED">
        <w:t>plans, degraded operation, etc.)</w:t>
      </w:r>
    </w:p>
    <w:p w:rsidR="00933BF4" w:rsidRPr="00A30CED" w:rsidRDefault="00D20282" w:rsidP="00933BF4">
      <w:pPr>
        <w:pStyle w:val="ListParagraph"/>
        <w:numPr>
          <w:ilvl w:val="0"/>
          <w:numId w:val="16"/>
        </w:numPr>
      </w:pPr>
      <w:r w:rsidRPr="00A30CED">
        <w:t>Maintenance (incident troubleshooting, preventive actions, rapid correction, etc.)</w:t>
      </w:r>
    </w:p>
    <w:p w:rsidR="00933BF4" w:rsidRPr="00A30CED" w:rsidRDefault="00D20282" w:rsidP="00933BF4">
      <w:pPr>
        <w:pStyle w:val="ListParagraph"/>
        <w:numPr>
          <w:ilvl w:val="0"/>
          <w:numId w:val="16"/>
        </w:numPr>
      </w:pPr>
      <w:r w:rsidRPr="00A30CED">
        <w:t>Human resources management (operator and user training, qualification for</w:t>
      </w:r>
      <w:r>
        <w:t xml:space="preserve"> </w:t>
      </w:r>
      <w:r w:rsidRPr="00A30CED">
        <w:t>posts such as system administrator or data administrator, etc.)</w:t>
      </w:r>
    </w:p>
    <w:p w:rsidR="00933BF4" w:rsidRPr="00A30CED" w:rsidRDefault="00D20282" w:rsidP="00933BF4">
      <w:pPr>
        <w:pStyle w:val="ListParagraph"/>
        <w:numPr>
          <w:ilvl w:val="0"/>
          <w:numId w:val="16"/>
        </w:numPr>
      </w:pPr>
      <w:r w:rsidRPr="00A30CED">
        <w:t>Administrative management (responsibilities, etc.)</w:t>
      </w:r>
    </w:p>
    <w:p w:rsidR="00933BF4" w:rsidRPr="00A30CED" w:rsidRDefault="00D20282" w:rsidP="00933BF4">
      <w:pPr>
        <w:pStyle w:val="ListParagraph"/>
        <w:numPr>
          <w:ilvl w:val="0"/>
          <w:numId w:val="16"/>
        </w:numPr>
      </w:pPr>
      <w:r w:rsidRPr="00A30CED">
        <w:t>Development management (development tools, acceptance plans, organisation to be set up, etc.)</w:t>
      </w:r>
    </w:p>
    <w:p w:rsidR="00933BF4" w:rsidRPr="00A30CED" w:rsidRDefault="00D20282" w:rsidP="00933BF4">
      <w:pPr>
        <w:pStyle w:val="ListParagraph"/>
        <w:numPr>
          <w:ilvl w:val="0"/>
          <w:numId w:val="16"/>
        </w:numPr>
      </w:pPr>
      <w:r w:rsidRPr="00A30CED">
        <w:t>Management of external relations (organisation of third-party relations,</w:t>
      </w:r>
      <w:r>
        <w:t xml:space="preserve"> </w:t>
      </w:r>
      <w:r w:rsidRPr="00A30CED">
        <w:t>contracts, etc.)</w:t>
      </w:r>
    </w:p>
    <w:p w:rsidR="00933BF4" w:rsidRDefault="00A42A8F" w:rsidP="00933BF4">
      <w:pPr>
        <w:pStyle w:val="ISMSNormal"/>
      </w:pPr>
    </w:p>
    <w:p w:rsidR="00933BF4" w:rsidRDefault="00D20282" w:rsidP="00933BF4">
      <w:pPr>
        <w:pStyle w:val="ISMSNormal"/>
      </w:pPr>
      <w:r w:rsidRPr="004C5985">
        <w:rPr>
          <w:i/>
        </w:rPr>
        <w:t>Ease of use of the applied controls</w:t>
      </w:r>
      <w:r>
        <w:t>: the effect of controls on normal operations and personnel should be considered as there is little point applying controls that result in the creation of ‘work-arounds’.</w:t>
      </w:r>
    </w:p>
    <w:p w:rsidR="00933BF4" w:rsidRDefault="00A42A8F" w:rsidP="00933BF4">
      <w:pPr>
        <w:pStyle w:val="ISMSNormal"/>
      </w:pPr>
    </w:p>
    <w:p w:rsidR="00933BF4" w:rsidRDefault="00D20282" w:rsidP="00933BF4">
      <w:pPr>
        <w:pStyle w:val="ISMSNormal"/>
      </w:pPr>
      <w:r w:rsidRPr="004C5985">
        <w:rPr>
          <w:i/>
        </w:rPr>
        <w:t>Ethical and social constraints</w:t>
      </w:r>
      <w:r>
        <w:t>: Relating to social norms, the research being conducted and the organisations involved.</w:t>
      </w:r>
    </w:p>
    <w:p w:rsidR="00933BF4" w:rsidRDefault="00A42A8F" w:rsidP="00933BF4">
      <w:pPr>
        <w:pStyle w:val="ISMSNormal"/>
      </w:pPr>
    </w:p>
    <w:p w:rsidR="00933BF4" w:rsidRDefault="00D20282" w:rsidP="00933BF4">
      <w:pPr>
        <w:pStyle w:val="ISMSNormal"/>
      </w:pPr>
      <w:r w:rsidRPr="004C5985">
        <w:rPr>
          <w:i/>
        </w:rPr>
        <w:lastRenderedPageBreak/>
        <w:t>Legal constraints</w:t>
      </w:r>
      <w:r>
        <w:t>: Government guidance and codes, health and safety, legislative and regulatory compliance may affect the range of treatment options available.</w:t>
      </w:r>
    </w:p>
    <w:p w:rsidR="00933BF4" w:rsidRDefault="00A42A8F" w:rsidP="00933BF4">
      <w:pPr>
        <w:pStyle w:val="ISMSNormal"/>
      </w:pPr>
    </w:p>
    <w:p w:rsidR="00933BF4" w:rsidRPr="008456A5" w:rsidRDefault="00D20282" w:rsidP="00933BF4">
      <w:pPr>
        <w:pStyle w:val="ISMSHeading2"/>
      </w:pPr>
      <w:bookmarkStart w:id="196" w:name="_Toc256000147"/>
      <w:bookmarkStart w:id="197" w:name="_Toc256000131"/>
      <w:bookmarkStart w:id="198" w:name="_Toc256000121"/>
      <w:bookmarkStart w:id="199" w:name="_Toc256000105"/>
      <w:bookmarkStart w:id="200" w:name="_Toc256000089"/>
      <w:bookmarkStart w:id="201" w:name="_Toc256000073"/>
      <w:bookmarkStart w:id="202" w:name="_Toc256000057"/>
      <w:bookmarkStart w:id="203" w:name="_Toc256000042"/>
      <w:bookmarkStart w:id="204" w:name="_Toc256000027"/>
      <w:bookmarkStart w:id="205" w:name="_Toc256000012"/>
      <w:bookmarkStart w:id="206" w:name="_Toc482782930"/>
      <w:bookmarkStart w:id="207" w:name="_Toc484423642"/>
      <w:bookmarkStart w:id="208" w:name="_Toc486331678"/>
      <w:bookmarkStart w:id="209" w:name="_Toc490561972"/>
      <w:bookmarkStart w:id="210" w:name="_Toc497291377"/>
      <w:bookmarkStart w:id="211" w:name="_Toc524514467"/>
      <w:bookmarkStart w:id="212" w:name="_Toc956737"/>
      <w:r w:rsidRPr="008456A5">
        <w:t xml:space="preserve">Risk </w:t>
      </w:r>
      <w:r>
        <w:t>T</w:t>
      </w:r>
      <w:r w:rsidRPr="008456A5">
        <w:t xml:space="preserve">reatment </w:t>
      </w:r>
      <w:r>
        <w:t>P</w:t>
      </w:r>
      <w:r w:rsidRPr="008456A5">
        <w:t>rocess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933BF4" w:rsidRDefault="00D20282" w:rsidP="00933BF4">
      <w:pPr>
        <w:pStyle w:val="ISMSNormal"/>
      </w:pPr>
      <w:r>
        <w:t>Risk treatment follows on from successful and sufficient risk assessment and starts with a ranked set of risks in the Risk Register (ISMS-02-06).</w:t>
      </w:r>
    </w:p>
    <w:p w:rsidR="00933BF4" w:rsidRDefault="00D20282" w:rsidP="00933BF4">
      <w:pPr>
        <w:pStyle w:val="ISMSNormal"/>
      </w:pPr>
      <w:r>
        <w:t>The summary of risk treatment steps are as follows:</w:t>
      </w:r>
    </w:p>
    <w:p w:rsidR="00933BF4" w:rsidRDefault="00D20282" w:rsidP="00933BF4">
      <w:pPr>
        <w:pStyle w:val="ListParagraph"/>
        <w:numPr>
          <w:ilvl w:val="0"/>
          <w:numId w:val="18"/>
        </w:numPr>
      </w:pPr>
      <w:r>
        <w:t>The appropriate manager will review the list of prioritised risks</w:t>
      </w:r>
    </w:p>
    <w:p w:rsidR="00933BF4" w:rsidRDefault="00D20282" w:rsidP="00933BF4">
      <w:pPr>
        <w:pStyle w:val="ListParagraph"/>
        <w:numPr>
          <w:ilvl w:val="0"/>
          <w:numId w:val="18"/>
        </w:numPr>
      </w:pPr>
      <w:r>
        <w:t>Risk treatment activities will then be managed until all actions are responded to and closed</w:t>
      </w:r>
    </w:p>
    <w:p w:rsidR="00933BF4" w:rsidRDefault="00D20282" w:rsidP="00933BF4">
      <w:pPr>
        <w:pStyle w:val="ListParagraph"/>
        <w:numPr>
          <w:ilvl w:val="0"/>
          <w:numId w:val="18"/>
        </w:numPr>
      </w:pPr>
      <w:r>
        <w:t>The appropriate manager (risk owner) will review the treatment and record if the treatment has been successful.</w:t>
      </w:r>
    </w:p>
    <w:p w:rsidR="00933BF4" w:rsidRDefault="00D20282" w:rsidP="00933BF4">
      <w:pPr>
        <w:pStyle w:val="ListParagraph"/>
        <w:numPr>
          <w:ilvl w:val="0"/>
          <w:numId w:val="18"/>
        </w:numPr>
      </w:pPr>
      <w:r>
        <w:t>Treatment will be communicated by the appropriate manager to the relevant stakeholders</w:t>
      </w:r>
    </w:p>
    <w:p w:rsidR="00933BF4" w:rsidRDefault="00D20282" w:rsidP="00933BF4">
      <w:pPr>
        <w:pStyle w:val="ListParagraph"/>
        <w:numPr>
          <w:ilvl w:val="0"/>
          <w:numId w:val="18"/>
        </w:numPr>
      </w:pPr>
      <w:r>
        <w:t>Any amendment to the Risk Register (ISMS-02-06) must only be done in response to a formal change request submitted within the Q-Pulse system. This prevents unauthorised modifications, and provides a clear summary of updates that can be references during periodic risk register reviews</w:t>
      </w:r>
    </w:p>
    <w:p w:rsidR="00933BF4" w:rsidRDefault="00D20282" w:rsidP="00933BF4">
      <w:pPr>
        <w:pStyle w:val="ListParagraph"/>
        <w:numPr>
          <w:ilvl w:val="0"/>
          <w:numId w:val="18"/>
        </w:numPr>
      </w:pPr>
      <w:r>
        <w:t xml:space="preserve">The Risk Register (ISMS-02-06) will be updated and any residual risk will be recorded. </w:t>
      </w:r>
    </w:p>
    <w:p w:rsidR="00933BF4" w:rsidRPr="00BE1914" w:rsidRDefault="00D20282" w:rsidP="00933BF4">
      <w:pPr>
        <w:pStyle w:val="ListParagraph"/>
        <w:numPr>
          <w:ilvl w:val="0"/>
          <w:numId w:val="18"/>
        </w:numPr>
      </w:pPr>
      <w:r w:rsidRPr="00BE1914">
        <w:t xml:space="preserve">Risk treatments and their outcomes will be reviewed at the </w:t>
      </w:r>
      <w:r>
        <w:t>ISMS Review</w:t>
      </w:r>
      <w:r w:rsidRPr="00BE1914">
        <w:t xml:space="preserve"> meeting</w:t>
      </w:r>
      <w:r>
        <w:t>s</w:t>
      </w:r>
      <w:r w:rsidRPr="00BE1914">
        <w:t xml:space="preserve"> (ISMS-04-01).</w:t>
      </w:r>
    </w:p>
    <w:p w:rsidR="00933BF4" w:rsidRDefault="00A42A8F" w:rsidP="00933BF4">
      <w:pPr>
        <w:pStyle w:val="ISMSNormal"/>
      </w:pPr>
    </w:p>
    <w:p w:rsidR="00933BF4" w:rsidRDefault="00D20282" w:rsidP="00933BF4">
      <w:pPr>
        <w:pStyle w:val="ISMSNormal"/>
      </w:pPr>
      <w:r>
        <w:t>Risk treatment follows on from the risk assessment stage of the risk management process and is one stage in the continuous Plan-Do-Check-Act cycle. The diagram below details the high-level steps in the risk management process:</w:t>
      </w:r>
    </w:p>
    <w:p w:rsidR="00933BF4" w:rsidRDefault="00A42A8F" w:rsidP="00933BF4">
      <w:pPr>
        <w:pStyle w:val="ISMSNormal"/>
      </w:pPr>
    </w:p>
    <w:p w:rsidR="00933BF4" w:rsidRDefault="00A42A8F" w:rsidP="00933BF4">
      <w:pPr>
        <w:pStyle w:val="ISMSNormal"/>
        <w:jc w:val="center"/>
      </w:pPr>
      <w:r>
        <w:rPr>
          <w:noProof/>
        </w:rPr>
        <w:object w:dxaOrig="4890" w:dyaOrig="10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75pt;height:533.25pt;mso-width-percent:0;mso-height-percent:0;mso-width-percent:0;mso-height-percent:0" o:ole="">
            <v:imagedata r:id="rId20" o:title=""/>
          </v:shape>
          <o:OLEObject Type="Embed" ProgID="Visio.Drawing.11" ShapeID="_x0000_i1025" DrawAspect="Content" ObjectID="_1648385221" r:id="rId21"/>
        </w:object>
      </w:r>
    </w:p>
    <w:p w:rsidR="00933BF4" w:rsidRPr="00FF23CB" w:rsidRDefault="00A42A8F" w:rsidP="00933BF4">
      <w:pPr>
        <w:pStyle w:val="ISMSNormal"/>
      </w:pPr>
    </w:p>
    <w:p w:rsidR="00933BF4" w:rsidRDefault="00D20282" w:rsidP="00933BF4">
      <w:pPr>
        <w:pStyle w:val="ISMSHeading1"/>
      </w:pPr>
      <w:bookmarkStart w:id="213" w:name="_Toc256000148"/>
      <w:bookmarkStart w:id="214" w:name="_Toc256000132"/>
      <w:bookmarkStart w:id="215" w:name="_Toc256000122"/>
      <w:bookmarkStart w:id="216" w:name="_Toc256000106"/>
      <w:bookmarkStart w:id="217" w:name="_Toc256000090"/>
      <w:bookmarkStart w:id="218" w:name="_Toc256000074"/>
      <w:bookmarkStart w:id="219" w:name="_Toc256000058"/>
      <w:bookmarkStart w:id="220" w:name="_Toc256000043"/>
      <w:bookmarkStart w:id="221" w:name="_Toc256000028"/>
      <w:bookmarkStart w:id="222" w:name="_Toc256000013"/>
      <w:bookmarkStart w:id="223" w:name="_Toc484423643"/>
      <w:bookmarkStart w:id="224" w:name="_Toc486331679"/>
      <w:bookmarkStart w:id="225" w:name="_Toc490561973"/>
      <w:bookmarkStart w:id="226" w:name="_Toc497291378"/>
      <w:bookmarkStart w:id="227" w:name="_Toc524514468"/>
      <w:bookmarkStart w:id="228" w:name="_Toc956738"/>
      <w:r>
        <w:t>Cross-r</w:t>
      </w:r>
      <w:r w:rsidRPr="00FF23CB">
        <w:t xml:space="preserve">eferenced </w:t>
      </w:r>
      <w:r>
        <w:t xml:space="preserve">ISMS </w:t>
      </w:r>
      <w:r w:rsidRPr="00FF23CB">
        <w:t>Documents</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sdt>
      <w:sdtPr>
        <w:tag w:val="QPulse_DocRelatedDocuments"/>
        <w:id w:val="-1642719952"/>
        <w:lock w:val="contentLocked"/>
      </w:sdtPr>
      <w:sdtEndPr/>
      <w:sdtContent>
        <w:p w:rsidR="00933BF4" w:rsidRDefault="00A42A8F" w:rsidP="00933BF4"/>
        <w:tbl>
          <w:tblPr>
            <w:tblStyle w:val="TableProfessional"/>
            <w:tblW w:w="0" w:type="auto"/>
            <w:tblLayout w:type="fixed"/>
            <w:tblLook w:val="04A0" w:firstRow="1" w:lastRow="0" w:firstColumn="1" w:lastColumn="0" w:noHBand="0" w:noVBand="1"/>
          </w:tblPr>
          <w:tblGrid>
            <w:gridCol w:w="3080"/>
            <w:gridCol w:w="3081"/>
            <w:gridCol w:w="3081"/>
          </w:tblGrid>
          <w:tr w:rsidR="000366B7" w:rsidTr="000366B7">
            <w:trPr>
              <w:cnfStyle w:val="100000000000" w:firstRow="1" w:lastRow="0" w:firstColumn="0" w:lastColumn="0" w:oddVBand="0" w:evenVBand="0" w:oddHBand="0" w:evenHBand="0" w:firstRowFirstColumn="0" w:firstRowLastColumn="0" w:lastRowFirstColumn="0" w:lastRowLastColumn="0"/>
            </w:trPr>
            <w:tc>
              <w:tcPr>
                <w:tcW w:w="3080" w:type="dxa"/>
              </w:tcPr>
              <w:p w:rsidR="00933BF4" w:rsidRPr="006C798D" w:rsidRDefault="00D20282" w:rsidP="00933BF4">
                <w:r>
                  <w:t>Number</w:t>
                </w:r>
              </w:p>
            </w:tc>
            <w:tc>
              <w:tcPr>
                <w:tcW w:w="3081" w:type="dxa"/>
              </w:tcPr>
              <w:p w:rsidR="00933BF4" w:rsidRPr="006C798D" w:rsidRDefault="00D20282" w:rsidP="00933BF4">
                <w:r>
                  <w:t>Type</w:t>
                </w:r>
              </w:p>
            </w:tc>
            <w:tc>
              <w:tcPr>
                <w:tcW w:w="3081" w:type="dxa"/>
              </w:tcPr>
              <w:p w:rsidR="00933BF4" w:rsidRPr="006C798D" w:rsidRDefault="00D20282" w:rsidP="00933BF4">
                <w:r>
                  <w:t>Title</w:t>
                </w:r>
              </w:p>
            </w:tc>
          </w:tr>
          <w:tr w:rsidR="000366B7" w:rsidTr="000366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366B7" w:rsidRDefault="00D20282">
                <w:r>
                  <w:t>ISMS-02-06</w:t>
                </w:r>
              </w:p>
            </w:tc>
            <w:tc>
              <w:tcPr>
                <w:tcW w:w="360" w:type="dxa"/>
              </w:tcPr>
              <w:p w:rsidR="000366B7" w:rsidRDefault="00D20282">
                <w:r>
                  <w:t>ISMS\Policy &amp; Guidance\ISMS Management - policy &amp; guidance</w:t>
                </w:r>
              </w:p>
            </w:tc>
            <w:tc>
              <w:tcPr>
                <w:tcW w:w="360" w:type="dxa"/>
              </w:tcPr>
              <w:p w:rsidR="000366B7" w:rsidRDefault="00D20282">
                <w:r>
                  <w:t>Information Security Risk Register</w:t>
                </w:r>
              </w:p>
            </w:tc>
          </w:tr>
          <w:tr w:rsidR="000366B7" w:rsidTr="000366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366B7" w:rsidRDefault="00D20282">
                <w:r>
                  <w:t>ISMS-04-01</w:t>
                </w:r>
              </w:p>
            </w:tc>
            <w:tc>
              <w:tcPr>
                <w:tcW w:w="360" w:type="dxa"/>
              </w:tcPr>
              <w:p w:rsidR="000366B7" w:rsidRDefault="00D20282">
                <w:r>
                  <w:t>ISMS\Policy &amp; Guidance\ISMS Improvement - policy &amp; guidance</w:t>
                </w:r>
              </w:p>
            </w:tc>
            <w:tc>
              <w:tcPr>
                <w:tcW w:w="360" w:type="dxa"/>
              </w:tcPr>
              <w:p w:rsidR="000366B7" w:rsidRDefault="00D20282">
                <w:r>
                  <w:t>ISMS Management Review</w:t>
                </w:r>
              </w:p>
            </w:tc>
          </w:tr>
          <w:tr w:rsidR="000366B7" w:rsidTr="000366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366B7" w:rsidRDefault="00D20282">
                <w:r>
                  <w:lastRenderedPageBreak/>
                  <w:t>SOP-03-08</w:t>
                </w:r>
              </w:p>
            </w:tc>
            <w:tc>
              <w:tcPr>
                <w:tcW w:w="360" w:type="dxa"/>
              </w:tcPr>
              <w:p w:rsidR="000366B7" w:rsidRDefault="00D20282">
                <w:r>
                  <w:t>ISMS\SOP\TRE Operations - SOP</w:t>
                </w:r>
              </w:p>
            </w:tc>
            <w:tc>
              <w:tcPr>
                <w:tcW w:w="360" w:type="dxa"/>
              </w:tcPr>
              <w:p w:rsidR="000366B7" w:rsidRDefault="00D20282">
                <w:r>
                  <w:t>TRE Change Control</w:t>
                </w:r>
              </w:p>
            </w:tc>
          </w:tr>
        </w:tbl>
        <w:p w:rsidR="00933BF4" w:rsidRPr="00A33043" w:rsidRDefault="00A42A8F" w:rsidP="00933BF4">
          <w:pPr>
            <w:rPr>
              <w:rFonts w:eastAsia="Times New Roman"/>
              <w:lang w:val="en-US"/>
            </w:rPr>
          </w:pPr>
        </w:p>
      </w:sdtContent>
    </w:sdt>
    <w:p w:rsidR="00933BF4" w:rsidRPr="00A33043" w:rsidRDefault="00A42A8F" w:rsidP="00933BF4">
      <w:pPr>
        <w:pStyle w:val="ISMSNormal"/>
        <w:rPr>
          <w:b/>
        </w:rPr>
      </w:pPr>
    </w:p>
    <w:p w:rsidR="00933BF4" w:rsidRDefault="00D20282" w:rsidP="00933BF4">
      <w:pPr>
        <w:pStyle w:val="ISMSHeading1"/>
      </w:pPr>
      <w:bookmarkStart w:id="229" w:name="_Toc256000149"/>
      <w:bookmarkStart w:id="230" w:name="_Toc256000133"/>
      <w:bookmarkStart w:id="231" w:name="_Toc256000123"/>
      <w:bookmarkStart w:id="232" w:name="_Toc256000107"/>
      <w:bookmarkStart w:id="233" w:name="_Toc256000091"/>
      <w:bookmarkStart w:id="234" w:name="_Toc256000075"/>
      <w:bookmarkStart w:id="235" w:name="_Toc256000059"/>
      <w:bookmarkStart w:id="236" w:name="_Toc256000044"/>
      <w:bookmarkStart w:id="237" w:name="_Toc256000029"/>
      <w:bookmarkStart w:id="238" w:name="_Toc256000014"/>
      <w:bookmarkStart w:id="239" w:name="_Toc484423644"/>
      <w:bookmarkStart w:id="240" w:name="_Toc486331680"/>
      <w:bookmarkStart w:id="241" w:name="_Toc490561974"/>
      <w:bookmarkStart w:id="242" w:name="_Toc497291379"/>
      <w:bookmarkStart w:id="243" w:name="_Toc524514469"/>
      <w:bookmarkStart w:id="244" w:name="_Toc956739"/>
      <w:r w:rsidRPr="00FF23CB">
        <w:t>Appendices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933BF4" w:rsidRDefault="00D20282" w:rsidP="00933BF4">
      <w:pPr>
        <w:pStyle w:val="ISMSNormal"/>
      </w:pPr>
      <w:r>
        <w:t>None</w:t>
      </w:r>
    </w:p>
    <w:sectPr w:rsidR="00933BF4" w:rsidSect="00933BF4">
      <w:headerReference w:type="even" r:id="rId22"/>
      <w:headerReference w:type="default" r:id="rId23"/>
      <w:footerReference w:type="even" r:id="rId24"/>
      <w:footerReference w:type="default" r:id="rId25"/>
      <w:headerReference w:type="first" r:id="rId26"/>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2A8F" w:rsidRDefault="00A42A8F">
      <w:r>
        <w:separator/>
      </w:r>
    </w:p>
  </w:endnote>
  <w:endnote w:type="continuationSeparator" w:id="0">
    <w:p w:rsidR="00A42A8F" w:rsidRDefault="00A4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rsidP="00933BF4">
    <w:pPr>
      <w:pBdr>
        <w:bottom w:val="single" w:sz="6" w:space="1" w:color="auto"/>
      </w:pBdr>
      <w:spacing w:before="60"/>
      <w:rPr>
        <w:rFonts w:asciiTheme="minorHAnsi" w:hAnsiTheme="minorHAnsi" w:cstheme="minorHAnsi"/>
      </w:rPr>
    </w:pPr>
  </w:p>
  <w:p w:rsidR="008A1989" w:rsidRPr="002E4D92" w:rsidRDefault="00D20282" w:rsidP="00933BF4">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ISMS-02-05</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Risk Management Process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3.5</w:t>
    </w:r>
    <w:r w:rsidRPr="002E4D92">
      <w:rPr>
        <w:rFonts w:cstheme="minorHAnsi"/>
      </w:rPr>
      <w:fldChar w:fldCharType="end"/>
    </w:r>
    <w:r w:rsidRPr="002E4D92">
      <w:rPr>
        <w:rStyle w:val="PageNumber"/>
        <w:rFonts w:cstheme="minorHAnsi"/>
      </w:rPr>
      <w:t xml:space="preserve"> </w:t>
    </w:r>
  </w:p>
  <w:p w:rsidR="008A1989" w:rsidRPr="00114E39" w:rsidRDefault="00D20282" w:rsidP="00933BF4">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25 Sep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14</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rsidP="00933BF4">
    <w:pPr>
      <w:pBdr>
        <w:bottom w:val="single" w:sz="6" w:space="1" w:color="auto"/>
      </w:pBdr>
      <w:spacing w:before="60"/>
      <w:rPr>
        <w:rFonts w:asciiTheme="minorHAnsi" w:hAnsiTheme="minorHAnsi" w:cstheme="minorHAnsi"/>
      </w:rPr>
    </w:pPr>
  </w:p>
  <w:p w:rsidR="008A1989" w:rsidRPr="002E4D92" w:rsidRDefault="00D20282" w:rsidP="00933BF4">
    <w:pPr>
      <w:tabs>
        <w:tab w:val="right" w:pos="13948"/>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ISMS-02-05</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Risk Management Process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3.5</w:t>
    </w:r>
    <w:r w:rsidRPr="002E4D92">
      <w:rPr>
        <w:rFonts w:cstheme="minorHAnsi"/>
      </w:rPr>
      <w:fldChar w:fldCharType="end"/>
    </w:r>
    <w:r w:rsidRPr="002E4D92">
      <w:rPr>
        <w:rStyle w:val="PageNumber"/>
        <w:rFonts w:cstheme="minorHAnsi"/>
      </w:rPr>
      <w:t xml:space="preserve"> </w:t>
    </w:r>
  </w:p>
  <w:p w:rsidR="008A1989" w:rsidRPr="00114E39" w:rsidRDefault="00D20282" w:rsidP="00933BF4">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25 Sep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9</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14</w:t>
    </w:r>
    <w:r w:rsidRPr="002E4D92">
      <w:rPr>
        <w:rStyle w:val="PageNumber"/>
        <w:rFonts w:cstheme="minorHAns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rsidP="00933BF4">
    <w:pPr>
      <w:pBdr>
        <w:bottom w:val="single" w:sz="6" w:space="1" w:color="auto"/>
      </w:pBdr>
      <w:spacing w:before="60"/>
      <w:rPr>
        <w:rFonts w:asciiTheme="minorHAnsi" w:hAnsiTheme="minorHAnsi" w:cstheme="minorHAnsi"/>
      </w:rPr>
    </w:pPr>
  </w:p>
  <w:p w:rsidR="008A1989" w:rsidRPr="002E4D92" w:rsidRDefault="00D20282" w:rsidP="00933BF4">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ISMS-02-05</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Risk Management Process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3.5</w:t>
    </w:r>
    <w:r w:rsidRPr="002E4D92">
      <w:rPr>
        <w:rFonts w:cstheme="minorHAnsi"/>
      </w:rPr>
      <w:fldChar w:fldCharType="end"/>
    </w:r>
    <w:r w:rsidRPr="002E4D92">
      <w:rPr>
        <w:rStyle w:val="PageNumber"/>
        <w:rFonts w:cstheme="minorHAnsi"/>
      </w:rPr>
      <w:t xml:space="preserve"> </w:t>
    </w:r>
  </w:p>
  <w:p w:rsidR="008A1989" w:rsidRPr="002E4D92" w:rsidRDefault="00D20282" w:rsidP="00933BF4">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25 Sep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10</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14</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2A8F" w:rsidRDefault="00A42A8F">
      <w:r>
        <w:separator/>
      </w:r>
    </w:p>
  </w:footnote>
  <w:footnote w:type="continuationSeparator" w:id="0">
    <w:p w:rsidR="00A42A8F" w:rsidRDefault="00A4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26" o:spid="_x0000_s2057" type="#_x0000_t136" alt="" style="position:absolute;margin-left:0;margin-top:0;width:587.2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r w:rsidR="00D20282">
      <w:rPr>
        <w:noProof/>
        <w:lang w:eastAsia="en-GB"/>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6419850" cy="523875"/>
              <wp:effectExtent l="0" t="2095500" r="0" b="2047875"/>
              <wp:wrapNone/>
              <wp:docPr id="7"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19850"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A1989" w:rsidRDefault="00D20282" w:rsidP="00933BF4">
                          <w:pPr>
                            <w:pStyle w:val="NormalWeb"/>
                            <w:spacing w:before="0" w:beforeAutospacing="0" w:after="0" w:afterAutospacing="0"/>
                            <w:jc w:val="center"/>
                          </w:pPr>
                          <w:r>
                            <w:rPr>
                              <w:rFonts w:ascii="Arial" w:hAnsi="Arial" w:cs="Arial"/>
                              <w:color w:val="D8D8D8"/>
                              <w:sz w:val="72"/>
                              <w:szCs w:val="72"/>
                            </w:rPr>
                            <w:t>UNCONTROLLED IF PRINTED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25" o:spid="_x0000_s1026" type="#_x0000_t202" style="position:absolute;margin-left:0;margin-top:0;width:505.5pt;height:41.2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SANBwIAAPIDAAAOAAAAZHJzL2Uyb0RvYy54bWysU8Fu2zAMvQ/YPwi6L7azpU2NOEXWrrt0&#13;&#10;W4Gm6FmR5NibJWqUEjt/P0pxk2K7FfNBsCjq8b1HanE9mI7tNfoWbMWLSc6ZthJUa7cVf1rffZhz&#13;&#10;5oOwSnRgdcUP2vPr5ft3i96VegoNdEojIxDry95VvAnBlVnmZaON8BNw2tJhDWhEoC1uM4WiJ3TT&#13;&#10;ZdM8v8h6QOUQpPaeorfHQ75M+HWtZfhR114H1lWcuIW0Ylo3cc2WC1FuUbimlSMN8QYWRrSWip6g&#13;&#10;bkUQbIftP1CmlQge6jCRYDKo61bqpIHUFPlfah4b4XTSQuZ4d7LJ/z9Y+X3/gKxVFb/kzApDLXom&#13;&#10;R1cYWJFPZ9Gf3vmS0h4dJYbhMwzU56TVu3uQvzyzcNMIu9UrROgbLRTxKwhtDCcV64Mj6BRd6yF8&#13;&#10;US21oojw2Sv8YzEfK236b6DoitgFSNWGGg1DiNfmV3n8UpgsZMSIens49ZMKMEnBi0/F1XxGR5LO&#13;&#10;ZtOP88skKBNlBIvtcujDVw2GxZ+KI81LQhX7ex8iuXPKyDSSO9IMw2ZIziUZUcUG1IGo9zROFfe/&#13;&#10;dwI12bAzN0DTR9prBDO6G/cvBNbDs0A3UghE/qF7GafEI82VGrsj1E8CMh1N6V50bJaMODIdk0fO&#13;&#10;R9R417sVmXjXJkFnnqMgGqykc3wEcXJf71PW+aku/wAAAP//AwBQSwMEFAAGAAgAAAAhAN45udrd&#13;&#10;AAAACgEAAA8AAABkcnMvZG93bnJldi54bWxMj8FOwzAQRO9I/IO1SNyokyJQlcapKiIOPbZFnN14&#13;&#10;m4Ta6xA7TcrXs+VCLyONRjs7L19Nzooz9qH1pCCdJSCQKm9aqhV87N+fFiBC1GS09YQKLhhgVdzf&#13;&#10;5TozfqQtnnexFlxCIdMKmhi7TMpQNeh0mPkOibOj752ObPtaml6PXO6snCfJq3S6Jf7Q6A7fGqxO&#13;&#10;u8EpMD/HS/c8jvvNZlsO37YtS/z8UurxYSqXLOsliIhT/L+AKwPvh4KHHfxAJgirgGnin16zJE3Z&#13;&#10;HxQs5i8gi1zeIhS/AAAA//8DAFBLAQItABQABgAIAAAAIQC2gziS/gAAAOEBAAATAAAAAAAAAAAA&#13;&#10;AAAAAAAAAABbQ29udGVudF9UeXBlc10ueG1sUEsBAi0AFAAGAAgAAAAhADj9If/WAAAAlAEAAAsA&#13;&#10;AAAAAAAAAAAAAAAALwEAAF9yZWxzLy5yZWxzUEsBAi0AFAAGAAgAAAAhAIuRIA0HAgAA8gMAAA4A&#13;&#10;AAAAAAAAAAAAAAAALgIAAGRycy9lMm9Eb2MueG1sUEsBAi0AFAAGAAgAAAAhAN45udrdAAAACgEA&#13;&#10;AA8AAAAAAAAAAAAAAAAAYQQAAGRycy9kb3ducmV2LnhtbFBLBQYAAAAABAAEAPMAAABrBQAAAAA=&#13;&#10;" o:allowincell="f" filled="f" stroked="f">
              <v:stroke joinstyle="round"/>
              <o:lock v:ext="edit" shapetype="t"/>
              <v:textbox style="mso-fit-shape-to-text:t">
                <w:txbxContent>
                  <w:p w:rsidR="008A1989" w:rsidRDefault="00D20282" w:rsidP="00933BF4">
                    <w:pPr>
                      <w:pStyle w:val="NormalWeb"/>
                      <w:spacing w:before="0" w:beforeAutospacing="0" w:after="0" w:afterAutospacing="0"/>
                      <w:jc w:val="center"/>
                    </w:pPr>
                    <w:r>
                      <w:rPr>
                        <w:rFonts w:ascii="Arial" w:hAnsi="Arial" w:cs="Arial"/>
                        <w:color w:val="D8D8D8"/>
                        <w:sz w:val="72"/>
                        <w:szCs w:val="72"/>
                      </w:rPr>
                      <w:t>UNCONTROLLED IF PRINTED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27" o:spid="_x0000_s2056" type="#_x0000_t136" alt="" style="position:absolute;margin-left:0;margin-top:0;width:587.2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25" o:spid="_x0000_s2055"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29" o:spid="_x0000_s2054" type="#_x0000_t136" alt="" style="position:absolute;margin-left:0;margin-top:0;width:587.25pt;height:48.9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rsidP="00933B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30" o:spid="_x0000_s2053" type="#_x0000_t136" alt="" style="position:absolute;margin-left:0;margin-top:0;width:587.25pt;height:48.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28" o:spid="_x0000_s2052" type="#_x0000_t136" alt="" style="position:absolute;margin-left:0;margin-top:0;width:587.2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32" o:spid="_x0000_s2051" type="#_x0000_t136" alt="" style="position:absolute;margin-left:0;margin-top:0;width:587.25pt;height:48.9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33" o:spid="_x0000_s2050" type="#_x0000_t136" alt="" style="position:absolute;margin-left:0;margin-top:0;width:587.25pt;height:48.9pt;rotation:315;z-index:-25164800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1989" w:rsidRDefault="00A42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850631" o:spid="_x0000_s2049" type="#_x0000_t136" alt="" style="position:absolute;margin-left:0;margin-top:0;width:587.25pt;height:48.9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06702"/>
    <w:multiLevelType w:val="hybridMultilevel"/>
    <w:tmpl w:val="211ED012"/>
    <w:lvl w:ilvl="0" w:tplc="4F6E96A8">
      <w:start w:val="3"/>
      <w:numFmt w:val="bullet"/>
      <w:lvlText w:val="-"/>
      <w:lvlJc w:val="left"/>
      <w:pPr>
        <w:ind w:left="720" w:hanging="360"/>
      </w:pPr>
      <w:rPr>
        <w:rFonts w:ascii="Arial" w:eastAsia="Times New Roman" w:hAnsi="Arial" w:cs="Arial" w:hint="default"/>
      </w:rPr>
    </w:lvl>
    <w:lvl w:ilvl="1" w:tplc="38520A64" w:tentative="1">
      <w:start w:val="1"/>
      <w:numFmt w:val="bullet"/>
      <w:lvlText w:val="o"/>
      <w:lvlJc w:val="left"/>
      <w:pPr>
        <w:ind w:left="1440" w:hanging="360"/>
      </w:pPr>
      <w:rPr>
        <w:rFonts w:ascii="Courier New" w:hAnsi="Courier New" w:hint="default"/>
      </w:rPr>
    </w:lvl>
    <w:lvl w:ilvl="2" w:tplc="DD905C30" w:tentative="1">
      <w:start w:val="1"/>
      <w:numFmt w:val="bullet"/>
      <w:lvlText w:val=""/>
      <w:lvlJc w:val="left"/>
      <w:pPr>
        <w:ind w:left="2160" w:hanging="360"/>
      </w:pPr>
      <w:rPr>
        <w:rFonts w:ascii="Wingdings" w:hAnsi="Wingdings" w:hint="default"/>
      </w:rPr>
    </w:lvl>
    <w:lvl w:ilvl="3" w:tplc="0FEE8BD4" w:tentative="1">
      <w:start w:val="1"/>
      <w:numFmt w:val="bullet"/>
      <w:lvlText w:val=""/>
      <w:lvlJc w:val="left"/>
      <w:pPr>
        <w:ind w:left="2880" w:hanging="360"/>
      </w:pPr>
      <w:rPr>
        <w:rFonts w:ascii="Symbol" w:hAnsi="Symbol" w:hint="default"/>
      </w:rPr>
    </w:lvl>
    <w:lvl w:ilvl="4" w:tplc="E5C42234" w:tentative="1">
      <w:start w:val="1"/>
      <w:numFmt w:val="bullet"/>
      <w:lvlText w:val="o"/>
      <w:lvlJc w:val="left"/>
      <w:pPr>
        <w:ind w:left="3600" w:hanging="360"/>
      </w:pPr>
      <w:rPr>
        <w:rFonts w:ascii="Courier New" w:hAnsi="Courier New" w:hint="default"/>
      </w:rPr>
    </w:lvl>
    <w:lvl w:ilvl="5" w:tplc="98D469E2" w:tentative="1">
      <w:start w:val="1"/>
      <w:numFmt w:val="bullet"/>
      <w:lvlText w:val=""/>
      <w:lvlJc w:val="left"/>
      <w:pPr>
        <w:ind w:left="4320" w:hanging="360"/>
      </w:pPr>
      <w:rPr>
        <w:rFonts w:ascii="Wingdings" w:hAnsi="Wingdings" w:hint="default"/>
      </w:rPr>
    </w:lvl>
    <w:lvl w:ilvl="6" w:tplc="6960DEBA" w:tentative="1">
      <w:start w:val="1"/>
      <w:numFmt w:val="bullet"/>
      <w:lvlText w:val=""/>
      <w:lvlJc w:val="left"/>
      <w:pPr>
        <w:ind w:left="5040" w:hanging="360"/>
      </w:pPr>
      <w:rPr>
        <w:rFonts w:ascii="Symbol" w:hAnsi="Symbol" w:hint="default"/>
      </w:rPr>
    </w:lvl>
    <w:lvl w:ilvl="7" w:tplc="396896E6" w:tentative="1">
      <w:start w:val="1"/>
      <w:numFmt w:val="bullet"/>
      <w:lvlText w:val="o"/>
      <w:lvlJc w:val="left"/>
      <w:pPr>
        <w:ind w:left="5760" w:hanging="360"/>
      </w:pPr>
      <w:rPr>
        <w:rFonts w:ascii="Courier New" w:hAnsi="Courier New" w:hint="default"/>
      </w:rPr>
    </w:lvl>
    <w:lvl w:ilvl="8" w:tplc="747AD1F8"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0D2535"/>
    <w:multiLevelType w:val="hybridMultilevel"/>
    <w:tmpl w:val="43B02AB4"/>
    <w:lvl w:ilvl="0" w:tplc="C29A2888">
      <w:start w:val="1"/>
      <w:numFmt w:val="decimal"/>
      <w:lvlText w:val="%1."/>
      <w:lvlJc w:val="left"/>
      <w:pPr>
        <w:ind w:left="720" w:hanging="360"/>
      </w:pPr>
      <w:rPr>
        <w:rFonts w:hint="default"/>
      </w:rPr>
    </w:lvl>
    <w:lvl w:ilvl="1" w:tplc="34F2B49C">
      <w:start w:val="1"/>
      <w:numFmt w:val="bullet"/>
      <w:lvlText w:val="o"/>
      <w:lvlJc w:val="left"/>
      <w:pPr>
        <w:ind w:left="1440" w:hanging="360"/>
      </w:pPr>
      <w:rPr>
        <w:rFonts w:ascii="Courier New" w:hAnsi="Courier New" w:cs="Courier New" w:hint="default"/>
      </w:rPr>
    </w:lvl>
    <w:lvl w:ilvl="2" w:tplc="407C3A24" w:tentative="1">
      <w:start w:val="1"/>
      <w:numFmt w:val="bullet"/>
      <w:lvlText w:val=""/>
      <w:lvlJc w:val="left"/>
      <w:pPr>
        <w:ind w:left="2160" w:hanging="360"/>
      </w:pPr>
      <w:rPr>
        <w:rFonts w:ascii="Wingdings" w:hAnsi="Wingdings" w:hint="default"/>
      </w:rPr>
    </w:lvl>
    <w:lvl w:ilvl="3" w:tplc="DD1611EE" w:tentative="1">
      <w:start w:val="1"/>
      <w:numFmt w:val="bullet"/>
      <w:lvlText w:val=""/>
      <w:lvlJc w:val="left"/>
      <w:pPr>
        <w:ind w:left="2880" w:hanging="360"/>
      </w:pPr>
      <w:rPr>
        <w:rFonts w:ascii="Symbol" w:hAnsi="Symbol" w:hint="default"/>
      </w:rPr>
    </w:lvl>
    <w:lvl w:ilvl="4" w:tplc="148CB6A8" w:tentative="1">
      <w:start w:val="1"/>
      <w:numFmt w:val="bullet"/>
      <w:lvlText w:val="o"/>
      <w:lvlJc w:val="left"/>
      <w:pPr>
        <w:ind w:left="3600" w:hanging="360"/>
      </w:pPr>
      <w:rPr>
        <w:rFonts w:ascii="Courier New" w:hAnsi="Courier New" w:cs="Courier New" w:hint="default"/>
      </w:rPr>
    </w:lvl>
    <w:lvl w:ilvl="5" w:tplc="FB80E740" w:tentative="1">
      <w:start w:val="1"/>
      <w:numFmt w:val="bullet"/>
      <w:lvlText w:val=""/>
      <w:lvlJc w:val="left"/>
      <w:pPr>
        <w:ind w:left="4320" w:hanging="360"/>
      </w:pPr>
      <w:rPr>
        <w:rFonts w:ascii="Wingdings" w:hAnsi="Wingdings" w:hint="default"/>
      </w:rPr>
    </w:lvl>
    <w:lvl w:ilvl="6" w:tplc="3C084B8C" w:tentative="1">
      <w:start w:val="1"/>
      <w:numFmt w:val="bullet"/>
      <w:lvlText w:val=""/>
      <w:lvlJc w:val="left"/>
      <w:pPr>
        <w:ind w:left="5040" w:hanging="360"/>
      </w:pPr>
      <w:rPr>
        <w:rFonts w:ascii="Symbol" w:hAnsi="Symbol" w:hint="default"/>
      </w:rPr>
    </w:lvl>
    <w:lvl w:ilvl="7" w:tplc="92DEC480" w:tentative="1">
      <w:start w:val="1"/>
      <w:numFmt w:val="bullet"/>
      <w:lvlText w:val="o"/>
      <w:lvlJc w:val="left"/>
      <w:pPr>
        <w:ind w:left="5760" w:hanging="360"/>
      </w:pPr>
      <w:rPr>
        <w:rFonts w:ascii="Courier New" w:hAnsi="Courier New" w:cs="Courier New" w:hint="default"/>
      </w:rPr>
    </w:lvl>
    <w:lvl w:ilvl="8" w:tplc="1004F076"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9E886494">
      <w:start w:val="5"/>
      <w:numFmt w:val="bullet"/>
      <w:lvlText w:val="-"/>
      <w:lvlJc w:val="left"/>
      <w:pPr>
        <w:ind w:left="720" w:hanging="360"/>
      </w:pPr>
      <w:rPr>
        <w:rFonts w:ascii="Arial" w:eastAsia="Times New Roman" w:hAnsi="Arial" w:cs="Arial" w:hint="default"/>
      </w:rPr>
    </w:lvl>
    <w:lvl w:ilvl="1" w:tplc="F942F588" w:tentative="1">
      <w:start w:val="1"/>
      <w:numFmt w:val="bullet"/>
      <w:lvlText w:val="o"/>
      <w:lvlJc w:val="left"/>
      <w:pPr>
        <w:ind w:left="1440" w:hanging="360"/>
      </w:pPr>
      <w:rPr>
        <w:rFonts w:ascii="Courier New" w:hAnsi="Courier New" w:cs="Courier New" w:hint="default"/>
      </w:rPr>
    </w:lvl>
    <w:lvl w:ilvl="2" w:tplc="136EA436" w:tentative="1">
      <w:start w:val="1"/>
      <w:numFmt w:val="bullet"/>
      <w:lvlText w:val=""/>
      <w:lvlJc w:val="left"/>
      <w:pPr>
        <w:ind w:left="2160" w:hanging="360"/>
      </w:pPr>
      <w:rPr>
        <w:rFonts w:ascii="Wingdings" w:hAnsi="Wingdings" w:hint="default"/>
      </w:rPr>
    </w:lvl>
    <w:lvl w:ilvl="3" w:tplc="326CCCDC" w:tentative="1">
      <w:start w:val="1"/>
      <w:numFmt w:val="bullet"/>
      <w:lvlText w:val=""/>
      <w:lvlJc w:val="left"/>
      <w:pPr>
        <w:ind w:left="2880" w:hanging="360"/>
      </w:pPr>
      <w:rPr>
        <w:rFonts w:ascii="Symbol" w:hAnsi="Symbol" w:hint="default"/>
      </w:rPr>
    </w:lvl>
    <w:lvl w:ilvl="4" w:tplc="AF746DD4" w:tentative="1">
      <w:start w:val="1"/>
      <w:numFmt w:val="bullet"/>
      <w:lvlText w:val="o"/>
      <w:lvlJc w:val="left"/>
      <w:pPr>
        <w:ind w:left="3600" w:hanging="360"/>
      </w:pPr>
      <w:rPr>
        <w:rFonts w:ascii="Courier New" w:hAnsi="Courier New" w:cs="Courier New" w:hint="default"/>
      </w:rPr>
    </w:lvl>
    <w:lvl w:ilvl="5" w:tplc="D89A082E" w:tentative="1">
      <w:start w:val="1"/>
      <w:numFmt w:val="bullet"/>
      <w:lvlText w:val=""/>
      <w:lvlJc w:val="left"/>
      <w:pPr>
        <w:ind w:left="4320" w:hanging="360"/>
      </w:pPr>
      <w:rPr>
        <w:rFonts w:ascii="Wingdings" w:hAnsi="Wingdings" w:hint="default"/>
      </w:rPr>
    </w:lvl>
    <w:lvl w:ilvl="6" w:tplc="095A1AC8" w:tentative="1">
      <w:start w:val="1"/>
      <w:numFmt w:val="bullet"/>
      <w:lvlText w:val=""/>
      <w:lvlJc w:val="left"/>
      <w:pPr>
        <w:ind w:left="5040" w:hanging="360"/>
      </w:pPr>
      <w:rPr>
        <w:rFonts w:ascii="Symbol" w:hAnsi="Symbol" w:hint="default"/>
      </w:rPr>
    </w:lvl>
    <w:lvl w:ilvl="7" w:tplc="E7288AD0" w:tentative="1">
      <w:start w:val="1"/>
      <w:numFmt w:val="bullet"/>
      <w:lvlText w:val="o"/>
      <w:lvlJc w:val="left"/>
      <w:pPr>
        <w:ind w:left="5760" w:hanging="360"/>
      </w:pPr>
      <w:rPr>
        <w:rFonts w:ascii="Courier New" w:hAnsi="Courier New" w:cs="Courier New" w:hint="default"/>
      </w:rPr>
    </w:lvl>
    <w:lvl w:ilvl="8" w:tplc="BDCE3110" w:tentative="1">
      <w:start w:val="1"/>
      <w:numFmt w:val="bullet"/>
      <w:lvlText w:val=""/>
      <w:lvlJc w:val="left"/>
      <w:pPr>
        <w:ind w:left="6480" w:hanging="360"/>
      </w:pPr>
      <w:rPr>
        <w:rFonts w:ascii="Wingdings" w:hAnsi="Wingdings" w:hint="default"/>
      </w:rPr>
    </w:lvl>
  </w:abstractNum>
  <w:abstractNum w:abstractNumId="4" w15:restartNumberingAfterBreak="0">
    <w:nsid w:val="3DD01C90"/>
    <w:multiLevelType w:val="hybridMultilevel"/>
    <w:tmpl w:val="124A0C48"/>
    <w:lvl w:ilvl="0" w:tplc="04EE5E7E">
      <w:start w:val="1"/>
      <w:numFmt w:val="decimal"/>
      <w:lvlText w:val="%1."/>
      <w:lvlJc w:val="left"/>
      <w:pPr>
        <w:ind w:left="720" w:hanging="360"/>
      </w:pPr>
    </w:lvl>
    <w:lvl w:ilvl="1" w:tplc="88361B68" w:tentative="1">
      <w:start w:val="1"/>
      <w:numFmt w:val="lowerLetter"/>
      <w:lvlText w:val="%2."/>
      <w:lvlJc w:val="left"/>
      <w:pPr>
        <w:ind w:left="1440" w:hanging="360"/>
      </w:pPr>
    </w:lvl>
    <w:lvl w:ilvl="2" w:tplc="D9C4C200" w:tentative="1">
      <w:start w:val="1"/>
      <w:numFmt w:val="lowerRoman"/>
      <w:lvlText w:val="%3."/>
      <w:lvlJc w:val="right"/>
      <w:pPr>
        <w:ind w:left="2160" w:hanging="180"/>
      </w:pPr>
    </w:lvl>
    <w:lvl w:ilvl="3" w:tplc="0E5E8466" w:tentative="1">
      <w:start w:val="1"/>
      <w:numFmt w:val="decimal"/>
      <w:lvlText w:val="%4."/>
      <w:lvlJc w:val="left"/>
      <w:pPr>
        <w:ind w:left="2880" w:hanging="360"/>
      </w:pPr>
    </w:lvl>
    <w:lvl w:ilvl="4" w:tplc="AB8CBAE0" w:tentative="1">
      <w:start w:val="1"/>
      <w:numFmt w:val="lowerLetter"/>
      <w:lvlText w:val="%5."/>
      <w:lvlJc w:val="left"/>
      <w:pPr>
        <w:ind w:left="3600" w:hanging="360"/>
      </w:pPr>
    </w:lvl>
    <w:lvl w:ilvl="5" w:tplc="CA84A8DC" w:tentative="1">
      <w:start w:val="1"/>
      <w:numFmt w:val="lowerRoman"/>
      <w:lvlText w:val="%6."/>
      <w:lvlJc w:val="right"/>
      <w:pPr>
        <w:ind w:left="4320" w:hanging="180"/>
      </w:pPr>
    </w:lvl>
    <w:lvl w:ilvl="6" w:tplc="734ED850" w:tentative="1">
      <w:start w:val="1"/>
      <w:numFmt w:val="decimal"/>
      <w:lvlText w:val="%7."/>
      <w:lvlJc w:val="left"/>
      <w:pPr>
        <w:ind w:left="5040" w:hanging="360"/>
      </w:pPr>
    </w:lvl>
    <w:lvl w:ilvl="7" w:tplc="F35A617C" w:tentative="1">
      <w:start w:val="1"/>
      <w:numFmt w:val="lowerLetter"/>
      <w:lvlText w:val="%8."/>
      <w:lvlJc w:val="left"/>
      <w:pPr>
        <w:ind w:left="5760" w:hanging="360"/>
      </w:pPr>
    </w:lvl>
    <w:lvl w:ilvl="8" w:tplc="481E2ACE" w:tentative="1">
      <w:start w:val="1"/>
      <w:numFmt w:val="lowerRoman"/>
      <w:lvlText w:val="%9."/>
      <w:lvlJc w:val="right"/>
      <w:pPr>
        <w:ind w:left="6480" w:hanging="180"/>
      </w:pPr>
    </w:lvl>
  </w:abstractNum>
  <w:abstractNum w:abstractNumId="5" w15:restartNumberingAfterBreak="0">
    <w:nsid w:val="42527614"/>
    <w:multiLevelType w:val="hybridMultilevel"/>
    <w:tmpl w:val="74D0C46E"/>
    <w:lvl w:ilvl="0" w:tplc="EDB82FE8">
      <w:start w:val="1"/>
      <w:numFmt w:val="decimal"/>
      <w:pStyle w:val="Heading2"/>
      <w:lvlText w:val="%1."/>
      <w:lvlJc w:val="left"/>
      <w:pPr>
        <w:ind w:left="5760" w:hanging="360"/>
      </w:pPr>
    </w:lvl>
    <w:lvl w:ilvl="1" w:tplc="40B00618" w:tentative="1">
      <w:start w:val="1"/>
      <w:numFmt w:val="lowerLetter"/>
      <w:lvlText w:val="%2."/>
      <w:lvlJc w:val="left"/>
      <w:pPr>
        <w:ind w:left="6480" w:hanging="360"/>
      </w:pPr>
    </w:lvl>
    <w:lvl w:ilvl="2" w:tplc="4370A67E" w:tentative="1">
      <w:start w:val="1"/>
      <w:numFmt w:val="lowerRoman"/>
      <w:lvlText w:val="%3."/>
      <w:lvlJc w:val="right"/>
      <w:pPr>
        <w:ind w:left="7200" w:hanging="180"/>
      </w:pPr>
    </w:lvl>
    <w:lvl w:ilvl="3" w:tplc="C7BC148E" w:tentative="1">
      <w:start w:val="1"/>
      <w:numFmt w:val="decimal"/>
      <w:lvlText w:val="%4."/>
      <w:lvlJc w:val="left"/>
      <w:pPr>
        <w:ind w:left="7920" w:hanging="360"/>
      </w:pPr>
    </w:lvl>
    <w:lvl w:ilvl="4" w:tplc="EFB48B76" w:tentative="1">
      <w:start w:val="1"/>
      <w:numFmt w:val="lowerLetter"/>
      <w:lvlText w:val="%5."/>
      <w:lvlJc w:val="left"/>
      <w:pPr>
        <w:ind w:left="8640" w:hanging="360"/>
      </w:pPr>
    </w:lvl>
    <w:lvl w:ilvl="5" w:tplc="C74076B2" w:tentative="1">
      <w:start w:val="1"/>
      <w:numFmt w:val="lowerRoman"/>
      <w:lvlText w:val="%6."/>
      <w:lvlJc w:val="right"/>
      <w:pPr>
        <w:ind w:left="9360" w:hanging="180"/>
      </w:pPr>
    </w:lvl>
    <w:lvl w:ilvl="6" w:tplc="10B43E68" w:tentative="1">
      <w:start w:val="1"/>
      <w:numFmt w:val="decimal"/>
      <w:lvlText w:val="%7."/>
      <w:lvlJc w:val="left"/>
      <w:pPr>
        <w:ind w:left="10080" w:hanging="360"/>
      </w:pPr>
    </w:lvl>
    <w:lvl w:ilvl="7" w:tplc="A37678FA" w:tentative="1">
      <w:start w:val="1"/>
      <w:numFmt w:val="lowerLetter"/>
      <w:lvlText w:val="%8."/>
      <w:lvlJc w:val="left"/>
      <w:pPr>
        <w:ind w:left="10800" w:hanging="360"/>
      </w:pPr>
    </w:lvl>
    <w:lvl w:ilvl="8" w:tplc="78E44CE4" w:tentative="1">
      <w:start w:val="1"/>
      <w:numFmt w:val="lowerRoman"/>
      <w:lvlText w:val="%9."/>
      <w:lvlJc w:val="right"/>
      <w:pPr>
        <w:ind w:left="11520" w:hanging="180"/>
      </w:pPr>
    </w:lvl>
  </w:abstractNum>
  <w:abstractNum w:abstractNumId="6" w15:restartNumberingAfterBreak="0">
    <w:nsid w:val="45575D3D"/>
    <w:multiLevelType w:val="hybridMultilevel"/>
    <w:tmpl w:val="7BEC9DAA"/>
    <w:lvl w:ilvl="0" w:tplc="F124BC1E">
      <w:start w:val="1"/>
      <w:numFmt w:val="bullet"/>
      <w:lvlText w:val=""/>
      <w:lvlJc w:val="left"/>
      <w:pPr>
        <w:ind w:left="720" w:hanging="360"/>
      </w:pPr>
      <w:rPr>
        <w:rFonts w:ascii="Symbol" w:hAnsi="Symbol" w:hint="default"/>
      </w:rPr>
    </w:lvl>
    <w:lvl w:ilvl="1" w:tplc="463E13AC" w:tentative="1">
      <w:start w:val="1"/>
      <w:numFmt w:val="bullet"/>
      <w:lvlText w:val="o"/>
      <w:lvlJc w:val="left"/>
      <w:pPr>
        <w:ind w:left="1440" w:hanging="360"/>
      </w:pPr>
      <w:rPr>
        <w:rFonts w:ascii="Courier New" w:hAnsi="Courier New" w:cs="Courier New" w:hint="default"/>
      </w:rPr>
    </w:lvl>
    <w:lvl w:ilvl="2" w:tplc="F94A14D2" w:tentative="1">
      <w:start w:val="1"/>
      <w:numFmt w:val="bullet"/>
      <w:lvlText w:val=""/>
      <w:lvlJc w:val="left"/>
      <w:pPr>
        <w:ind w:left="2160" w:hanging="360"/>
      </w:pPr>
      <w:rPr>
        <w:rFonts w:ascii="Wingdings" w:hAnsi="Wingdings" w:hint="default"/>
      </w:rPr>
    </w:lvl>
    <w:lvl w:ilvl="3" w:tplc="26E481AA" w:tentative="1">
      <w:start w:val="1"/>
      <w:numFmt w:val="bullet"/>
      <w:lvlText w:val=""/>
      <w:lvlJc w:val="left"/>
      <w:pPr>
        <w:ind w:left="2880" w:hanging="360"/>
      </w:pPr>
      <w:rPr>
        <w:rFonts w:ascii="Symbol" w:hAnsi="Symbol" w:hint="default"/>
      </w:rPr>
    </w:lvl>
    <w:lvl w:ilvl="4" w:tplc="B80E9864" w:tentative="1">
      <w:start w:val="1"/>
      <w:numFmt w:val="bullet"/>
      <w:lvlText w:val="o"/>
      <w:lvlJc w:val="left"/>
      <w:pPr>
        <w:ind w:left="3600" w:hanging="360"/>
      </w:pPr>
      <w:rPr>
        <w:rFonts w:ascii="Courier New" w:hAnsi="Courier New" w:cs="Courier New" w:hint="default"/>
      </w:rPr>
    </w:lvl>
    <w:lvl w:ilvl="5" w:tplc="CD3E73D2" w:tentative="1">
      <w:start w:val="1"/>
      <w:numFmt w:val="bullet"/>
      <w:lvlText w:val=""/>
      <w:lvlJc w:val="left"/>
      <w:pPr>
        <w:ind w:left="4320" w:hanging="360"/>
      </w:pPr>
      <w:rPr>
        <w:rFonts w:ascii="Wingdings" w:hAnsi="Wingdings" w:hint="default"/>
      </w:rPr>
    </w:lvl>
    <w:lvl w:ilvl="6" w:tplc="99D87FE0" w:tentative="1">
      <w:start w:val="1"/>
      <w:numFmt w:val="bullet"/>
      <w:lvlText w:val=""/>
      <w:lvlJc w:val="left"/>
      <w:pPr>
        <w:ind w:left="5040" w:hanging="360"/>
      </w:pPr>
      <w:rPr>
        <w:rFonts w:ascii="Symbol" w:hAnsi="Symbol" w:hint="default"/>
      </w:rPr>
    </w:lvl>
    <w:lvl w:ilvl="7" w:tplc="319C7C1E" w:tentative="1">
      <w:start w:val="1"/>
      <w:numFmt w:val="bullet"/>
      <w:lvlText w:val="o"/>
      <w:lvlJc w:val="left"/>
      <w:pPr>
        <w:ind w:left="5760" w:hanging="360"/>
      </w:pPr>
      <w:rPr>
        <w:rFonts w:ascii="Courier New" w:hAnsi="Courier New" w:cs="Courier New" w:hint="default"/>
      </w:rPr>
    </w:lvl>
    <w:lvl w:ilvl="8" w:tplc="2AB27DA8" w:tentative="1">
      <w:start w:val="1"/>
      <w:numFmt w:val="bullet"/>
      <w:lvlText w:val=""/>
      <w:lvlJc w:val="left"/>
      <w:pPr>
        <w:ind w:left="6480" w:hanging="360"/>
      </w:pPr>
      <w:rPr>
        <w:rFonts w:ascii="Wingdings" w:hAnsi="Wingdings" w:hint="default"/>
      </w:rPr>
    </w:lvl>
  </w:abstractNum>
  <w:abstractNum w:abstractNumId="7" w15:restartNumberingAfterBreak="0">
    <w:nsid w:val="457B3BF4"/>
    <w:multiLevelType w:val="hybridMultilevel"/>
    <w:tmpl w:val="8E04D8FE"/>
    <w:lvl w:ilvl="0" w:tplc="6810B01A">
      <w:start w:val="1"/>
      <w:numFmt w:val="bullet"/>
      <w:lvlText w:val=""/>
      <w:lvlJc w:val="left"/>
      <w:pPr>
        <w:ind w:left="360" w:hanging="360"/>
      </w:pPr>
      <w:rPr>
        <w:rFonts w:ascii="Symbol" w:hAnsi="Symbol" w:hint="default"/>
      </w:rPr>
    </w:lvl>
    <w:lvl w:ilvl="1" w:tplc="420071D0" w:tentative="1">
      <w:start w:val="1"/>
      <w:numFmt w:val="bullet"/>
      <w:lvlText w:val="o"/>
      <w:lvlJc w:val="left"/>
      <w:pPr>
        <w:ind w:left="1080" w:hanging="360"/>
      </w:pPr>
      <w:rPr>
        <w:rFonts w:ascii="Courier New" w:hAnsi="Courier New" w:cs="Courier New" w:hint="default"/>
      </w:rPr>
    </w:lvl>
    <w:lvl w:ilvl="2" w:tplc="90FA2C70" w:tentative="1">
      <w:start w:val="1"/>
      <w:numFmt w:val="bullet"/>
      <w:lvlText w:val=""/>
      <w:lvlJc w:val="left"/>
      <w:pPr>
        <w:ind w:left="1800" w:hanging="360"/>
      </w:pPr>
      <w:rPr>
        <w:rFonts w:ascii="Wingdings" w:hAnsi="Wingdings" w:hint="default"/>
      </w:rPr>
    </w:lvl>
    <w:lvl w:ilvl="3" w:tplc="0BDC5B12" w:tentative="1">
      <w:start w:val="1"/>
      <w:numFmt w:val="bullet"/>
      <w:lvlText w:val=""/>
      <w:lvlJc w:val="left"/>
      <w:pPr>
        <w:ind w:left="2520" w:hanging="360"/>
      </w:pPr>
      <w:rPr>
        <w:rFonts w:ascii="Symbol" w:hAnsi="Symbol" w:hint="default"/>
      </w:rPr>
    </w:lvl>
    <w:lvl w:ilvl="4" w:tplc="599E868C" w:tentative="1">
      <w:start w:val="1"/>
      <w:numFmt w:val="bullet"/>
      <w:lvlText w:val="o"/>
      <w:lvlJc w:val="left"/>
      <w:pPr>
        <w:ind w:left="3240" w:hanging="360"/>
      </w:pPr>
      <w:rPr>
        <w:rFonts w:ascii="Courier New" w:hAnsi="Courier New" w:cs="Courier New" w:hint="default"/>
      </w:rPr>
    </w:lvl>
    <w:lvl w:ilvl="5" w:tplc="23FE3646" w:tentative="1">
      <w:start w:val="1"/>
      <w:numFmt w:val="bullet"/>
      <w:lvlText w:val=""/>
      <w:lvlJc w:val="left"/>
      <w:pPr>
        <w:ind w:left="3960" w:hanging="360"/>
      </w:pPr>
      <w:rPr>
        <w:rFonts w:ascii="Wingdings" w:hAnsi="Wingdings" w:hint="default"/>
      </w:rPr>
    </w:lvl>
    <w:lvl w:ilvl="6" w:tplc="99827BA0" w:tentative="1">
      <w:start w:val="1"/>
      <w:numFmt w:val="bullet"/>
      <w:lvlText w:val=""/>
      <w:lvlJc w:val="left"/>
      <w:pPr>
        <w:ind w:left="4680" w:hanging="360"/>
      </w:pPr>
      <w:rPr>
        <w:rFonts w:ascii="Symbol" w:hAnsi="Symbol" w:hint="default"/>
      </w:rPr>
    </w:lvl>
    <w:lvl w:ilvl="7" w:tplc="313C462C" w:tentative="1">
      <w:start w:val="1"/>
      <w:numFmt w:val="bullet"/>
      <w:lvlText w:val="o"/>
      <w:lvlJc w:val="left"/>
      <w:pPr>
        <w:ind w:left="5400" w:hanging="360"/>
      </w:pPr>
      <w:rPr>
        <w:rFonts w:ascii="Courier New" w:hAnsi="Courier New" w:cs="Courier New" w:hint="default"/>
      </w:rPr>
    </w:lvl>
    <w:lvl w:ilvl="8" w:tplc="51B26AB6" w:tentative="1">
      <w:start w:val="1"/>
      <w:numFmt w:val="bullet"/>
      <w:lvlText w:val=""/>
      <w:lvlJc w:val="left"/>
      <w:pPr>
        <w:ind w:left="6120" w:hanging="360"/>
      </w:pPr>
      <w:rPr>
        <w:rFonts w:ascii="Wingdings" w:hAnsi="Wingdings" w:hint="default"/>
      </w:rPr>
    </w:lvl>
  </w:abstractNum>
  <w:abstractNum w:abstractNumId="8" w15:restartNumberingAfterBreak="0">
    <w:nsid w:val="465572C6"/>
    <w:multiLevelType w:val="hybridMultilevel"/>
    <w:tmpl w:val="E66A2990"/>
    <w:lvl w:ilvl="0" w:tplc="82BCCF98">
      <w:start w:val="1"/>
      <w:numFmt w:val="bullet"/>
      <w:lvlText w:val=""/>
      <w:lvlJc w:val="left"/>
      <w:pPr>
        <w:ind w:left="720" w:hanging="360"/>
      </w:pPr>
      <w:rPr>
        <w:rFonts w:ascii="Symbol" w:hAnsi="Symbol" w:hint="default"/>
      </w:rPr>
    </w:lvl>
    <w:lvl w:ilvl="1" w:tplc="A7BA2894" w:tentative="1">
      <w:start w:val="1"/>
      <w:numFmt w:val="bullet"/>
      <w:lvlText w:val="o"/>
      <w:lvlJc w:val="left"/>
      <w:pPr>
        <w:ind w:left="1440" w:hanging="360"/>
      </w:pPr>
      <w:rPr>
        <w:rFonts w:ascii="Courier New" w:hAnsi="Courier New" w:hint="default"/>
      </w:rPr>
    </w:lvl>
    <w:lvl w:ilvl="2" w:tplc="F85EC1C0" w:tentative="1">
      <w:start w:val="1"/>
      <w:numFmt w:val="bullet"/>
      <w:lvlText w:val=""/>
      <w:lvlJc w:val="left"/>
      <w:pPr>
        <w:ind w:left="2160" w:hanging="360"/>
      </w:pPr>
      <w:rPr>
        <w:rFonts w:ascii="Wingdings" w:hAnsi="Wingdings" w:hint="default"/>
      </w:rPr>
    </w:lvl>
    <w:lvl w:ilvl="3" w:tplc="98BAB902" w:tentative="1">
      <w:start w:val="1"/>
      <w:numFmt w:val="bullet"/>
      <w:lvlText w:val=""/>
      <w:lvlJc w:val="left"/>
      <w:pPr>
        <w:ind w:left="2880" w:hanging="360"/>
      </w:pPr>
      <w:rPr>
        <w:rFonts w:ascii="Symbol" w:hAnsi="Symbol" w:hint="default"/>
      </w:rPr>
    </w:lvl>
    <w:lvl w:ilvl="4" w:tplc="331ACA0E" w:tentative="1">
      <w:start w:val="1"/>
      <w:numFmt w:val="bullet"/>
      <w:lvlText w:val="o"/>
      <w:lvlJc w:val="left"/>
      <w:pPr>
        <w:ind w:left="3600" w:hanging="360"/>
      </w:pPr>
      <w:rPr>
        <w:rFonts w:ascii="Courier New" w:hAnsi="Courier New" w:hint="default"/>
      </w:rPr>
    </w:lvl>
    <w:lvl w:ilvl="5" w:tplc="23CCA980" w:tentative="1">
      <w:start w:val="1"/>
      <w:numFmt w:val="bullet"/>
      <w:lvlText w:val=""/>
      <w:lvlJc w:val="left"/>
      <w:pPr>
        <w:ind w:left="4320" w:hanging="360"/>
      </w:pPr>
      <w:rPr>
        <w:rFonts w:ascii="Wingdings" w:hAnsi="Wingdings" w:hint="default"/>
      </w:rPr>
    </w:lvl>
    <w:lvl w:ilvl="6" w:tplc="2E1C7794" w:tentative="1">
      <w:start w:val="1"/>
      <w:numFmt w:val="bullet"/>
      <w:lvlText w:val=""/>
      <w:lvlJc w:val="left"/>
      <w:pPr>
        <w:ind w:left="5040" w:hanging="360"/>
      </w:pPr>
      <w:rPr>
        <w:rFonts w:ascii="Symbol" w:hAnsi="Symbol" w:hint="default"/>
      </w:rPr>
    </w:lvl>
    <w:lvl w:ilvl="7" w:tplc="0C1E44FE" w:tentative="1">
      <w:start w:val="1"/>
      <w:numFmt w:val="bullet"/>
      <w:lvlText w:val="o"/>
      <w:lvlJc w:val="left"/>
      <w:pPr>
        <w:ind w:left="5760" w:hanging="360"/>
      </w:pPr>
      <w:rPr>
        <w:rFonts w:ascii="Courier New" w:hAnsi="Courier New" w:hint="default"/>
      </w:rPr>
    </w:lvl>
    <w:lvl w:ilvl="8" w:tplc="2A4C34C6" w:tentative="1">
      <w:start w:val="1"/>
      <w:numFmt w:val="bullet"/>
      <w:lvlText w:val=""/>
      <w:lvlJc w:val="left"/>
      <w:pPr>
        <w:ind w:left="6480" w:hanging="360"/>
      </w:pPr>
      <w:rPr>
        <w:rFonts w:ascii="Wingdings" w:hAnsi="Wingdings" w:hint="default"/>
      </w:rPr>
    </w:lvl>
  </w:abstractNum>
  <w:abstractNum w:abstractNumId="9" w15:restartNumberingAfterBreak="0">
    <w:nsid w:val="488C5EA8"/>
    <w:multiLevelType w:val="hybridMultilevel"/>
    <w:tmpl w:val="C2F6EC74"/>
    <w:lvl w:ilvl="0" w:tplc="25463BB6">
      <w:start w:val="3"/>
      <w:numFmt w:val="bullet"/>
      <w:lvlText w:val="-"/>
      <w:lvlJc w:val="left"/>
      <w:pPr>
        <w:ind w:left="720" w:hanging="360"/>
      </w:pPr>
      <w:rPr>
        <w:rFonts w:ascii="Arial" w:eastAsia="Times New Roman" w:hAnsi="Arial" w:cs="Arial" w:hint="default"/>
      </w:rPr>
    </w:lvl>
    <w:lvl w:ilvl="1" w:tplc="471EB148" w:tentative="1">
      <w:start w:val="1"/>
      <w:numFmt w:val="bullet"/>
      <w:lvlText w:val="o"/>
      <w:lvlJc w:val="left"/>
      <w:pPr>
        <w:ind w:left="1440" w:hanging="360"/>
      </w:pPr>
      <w:rPr>
        <w:rFonts w:ascii="Courier New" w:hAnsi="Courier New" w:cs="Courier New" w:hint="default"/>
      </w:rPr>
    </w:lvl>
    <w:lvl w:ilvl="2" w:tplc="90188AAA" w:tentative="1">
      <w:start w:val="1"/>
      <w:numFmt w:val="bullet"/>
      <w:lvlText w:val=""/>
      <w:lvlJc w:val="left"/>
      <w:pPr>
        <w:ind w:left="2160" w:hanging="360"/>
      </w:pPr>
      <w:rPr>
        <w:rFonts w:ascii="Wingdings" w:hAnsi="Wingdings" w:hint="default"/>
      </w:rPr>
    </w:lvl>
    <w:lvl w:ilvl="3" w:tplc="355A0F72" w:tentative="1">
      <w:start w:val="1"/>
      <w:numFmt w:val="bullet"/>
      <w:lvlText w:val=""/>
      <w:lvlJc w:val="left"/>
      <w:pPr>
        <w:ind w:left="2880" w:hanging="360"/>
      </w:pPr>
      <w:rPr>
        <w:rFonts w:ascii="Symbol" w:hAnsi="Symbol" w:hint="default"/>
      </w:rPr>
    </w:lvl>
    <w:lvl w:ilvl="4" w:tplc="CD20E330" w:tentative="1">
      <w:start w:val="1"/>
      <w:numFmt w:val="bullet"/>
      <w:lvlText w:val="o"/>
      <w:lvlJc w:val="left"/>
      <w:pPr>
        <w:ind w:left="3600" w:hanging="360"/>
      </w:pPr>
      <w:rPr>
        <w:rFonts w:ascii="Courier New" w:hAnsi="Courier New" w:cs="Courier New" w:hint="default"/>
      </w:rPr>
    </w:lvl>
    <w:lvl w:ilvl="5" w:tplc="36E422C0" w:tentative="1">
      <w:start w:val="1"/>
      <w:numFmt w:val="bullet"/>
      <w:lvlText w:val=""/>
      <w:lvlJc w:val="left"/>
      <w:pPr>
        <w:ind w:left="4320" w:hanging="360"/>
      </w:pPr>
      <w:rPr>
        <w:rFonts w:ascii="Wingdings" w:hAnsi="Wingdings" w:hint="default"/>
      </w:rPr>
    </w:lvl>
    <w:lvl w:ilvl="6" w:tplc="9166928C" w:tentative="1">
      <w:start w:val="1"/>
      <w:numFmt w:val="bullet"/>
      <w:lvlText w:val=""/>
      <w:lvlJc w:val="left"/>
      <w:pPr>
        <w:ind w:left="5040" w:hanging="360"/>
      </w:pPr>
      <w:rPr>
        <w:rFonts w:ascii="Symbol" w:hAnsi="Symbol" w:hint="default"/>
      </w:rPr>
    </w:lvl>
    <w:lvl w:ilvl="7" w:tplc="930A7B9E" w:tentative="1">
      <w:start w:val="1"/>
      <w:numFmt w:val="bullet"/>
      <w:lvlText w:val="o"/>
      <w:lvlJc w:val="left"/>
      <w:pPr>
        <w:ind w:left="5760" w:hanging="360"/>
      </w:pPr>
      <w:rPr>
        <w:rFonts w:ascii="Courier New" w:hAnsi="Courier New" w:cs="Courier New" w:hint="default"/>
      </w:rPr>
    </w:lvl>
    <w:lvl w:ilvl="8" w:tplc="CAAA7C34" w:tentative="1">
      <w:start w:val="1"/>
      <w:numFmt w:val="bullet"/>
      <w:lvlText w:val=""/>
      <w:lvlJc w:val="left"/>
      <w:pPr>
        <w:ind w:left="6480" w:hanging="360"/>
      </w:pPr>
      <w:rPr>
        <w:rFonts w:ascii="Wingdings" w:hAnsi="Wingdings" w:hint="default"/>
      </w:rPr>
    </w:lvl>
  </w:abstractNum>
  <w:abstractNum w:abstractNumId="10" w15:restartNumberingAfterBreak="0">
    <w:nsid w:val="4A0267FA"/>
    <w:multiLevelType w:val="hybridMultilevel"/>
    <w:tmpl w:val="D2F472FA"/>
    <w:lvl w:ilvl="0" w:tplc="57028288">
      <w:start w:val="3"/>
      <w:numFmt w:val="bullet"/>
      <w:pStyle w:val="ListParagraph"/>
      <w:lvlText w:val="-"/>
      <w:lvlJc w:val="left"/>
      <w:pPr>
        <w:ind w:left="720" w:hanging="360"/>
      </w:pPr>
      <w:rPr>
        <w:rFonts w:ascii="Arial" w:eastAsia="Times New Roman" w:hAnsi="Arial" w:cs="Arial" w:hint="default"/>
      </w:rPr>
    </w:lvl>
    <w:lvl w:ilvl="1" w:tplc="1E503098" w:tentative="1">
      <w:start w:val="1"/>
      <w:numFmt w:val="bullet"/>
      <w:lvlText w:val="o"/>
      <w:lvlJc w:val="left"/>
      <w:pPr>
        <w:ind w:left="1440" w:hanging="360"/>
      </w:pPr>
      <w:rPr>
        <w:rFonts w:ascii="Courier New" w:hAnsi="Courier New" w:cs="Courier New" w:hint="default"/>
      </w:rPr>
    </w:lvl>
    <w:lvl w:ilvl="2" w:tplc="B64281E2" w:tentative="1">
      <w:start w:val="1"/>
      <w:numFmt w:val="bullet"/>
      <w:lvlText w:val=""/>
      <w:lvlJc w:val="left"/>
      <w:pPr>
        <w:ind w:left="2160" w:hanging="360"/>
      </w:pPr>
      <w:rPr>
        <w:rFonts w:ascii="Wingdings" w:hAnsi="Wingdings" w:hint="default"/>
      </w:rPr>
    </w:lvl>
    <w:lvl w:ilvl="3" w:tplc="38F446B6" w:tentative="1">
      <w:start w:val="1"/>
      <w:numFmt w:val="bullet"/>
      <w:lvlText w:val=""/>
      <w:lvlJc w:val="left"/>
      <w:pPr>
        <w:ind w:left="2880" w:hanging="360"/>
      </w:pPr>
      <w:rPr>
        <w:rFonts w:ascii="Symbol" w:hAnsi="Symbol" w:hint="default"/>
      </w:rPr>
    </w:lvl>
    <w:lvl w:ilvl="4" w:tplc="276A8088" w:tentative="1">
      <w:start w:val="1"/>
      <w:numFmt w:val="bullet"/>
      <w:lvlText w:val="o"/>
      <w:lvlJc w:val="left"/>
      <w:pPr>
        <w:ind w:left="3600" w:hanging="360"/>
      </w:pPr>
      <w:rPr>
        <w:rFonts w:ascii="Courier New" w:hAnsi="Courier New" w:cs="Courier New" w:hint="default"/>
      </w:rPr>
    </w:lvl>
    <w:lvl w:ilvl="5" w:tplc="5C3E4CE8" w:tentative="1">
      <w:start w:val="1"/>
      <w:numFmt w:val="bullet"/>
      <w:lvlText w:val=""/>
      <w:lvlJc w:val="left"/>
      <w:pPr>
        <w:ind w:left="4320" w:hanging="360"/>
      </w:pPr>
      <w:rPr>
        <w:rFonts w:ascii="Wingdings" w:hAnsi="Wingdings" w:hint="default"/>
      </w:rPr>
    </w:lvl>
    <w:lvl w:ilvl="6" w:tplc="F76EE128" w:tentative="1">
      <w:start w:val="1"/>
      <w:numFmt w:val="bullet"/>
      <w:lvlText w:val=""/>
      <w:lvlJc w:val="left"/>
      <w:pPr>
        <w:ind w:left="5040" w:hanging="360"/>
      </w:pPr>
      <w:rPr>
        <w:rFonts w:ascii="Symbol" w:hAnsi="Symbol" w:hint="default"/>
      </w:rPr>
    </w:lvl>
    <w:lvl w:ilvl="7" w:tplc="697E6CEE" w:tentative="1">
      <w:start w:val="1"/>
      <w:numFmt w:val="bullet"/>
      <w:lvlText w:val="o"/>
      <w:lvlJc w:val="left"/>
      <w:pPr>
        <w:ind w:left="5760" w:hanging="360"/>
      </w:pPr>
      <w:rPr>
        <w:rFonts w:ascii="Courier New" w:hAnsi="Courier New" w:cs="Courier New" w:hint="default"/>
      </w:rPr>
    </w:lvl>
    <w:lvl w:ilvl="8" w:tplc="5ADAC26E" w:tentative="1">
      <w:start w:val="1"/>
      <w:numFmt w:val="bullet"/>
      <w:lvlText w:val=""/>
      <w:lvlJc w:val="left"/>
      <w:pPr>
        <w:ind w:left="6480" w:hanging="360"/>
      </w:pPr>
      <w:rPr>
        <w:rFonts w:ascii="Wingdings" w:hAnsi="Wingdings" w:hint="default"/>
      </w:rPr>
    </w:lvl>
  </w:abstractNum>
  <w:abstractNum w:abstractNumId="11" w15:restartNumberingAfterBreak="0">
    <w:nsid w:val="53773F75"/>
    <w:multiLevelType w:val="hybridMultilevel"/>
    <w:tmpl w:val="49A6DF9C"/>
    <w:lvl w:ilvl="0" w:tplc="F68ACF2E">
      <w:start w:val="1"/>
      <w:numFmt w:val="bullet"/>
      <w:lvlText w:val=""/>
      <w:lvlJc w:val="left"/>
      <w:pPr>
        <w:ind w:left="720" w:hanging="360"/>
      </w:pPr>
      <w:rPr>
        <w:rFonts w:ascii="Symbol" w:hAnsi="Symbol" w:hint="default"/>
      </w:rPr>
    </w:lvl>
    <w:lvl w:ilvl="1" w:tplc="CBA629DC" w:tentative="1">
      <w:start w:val="1"/>
      <w:numFmt w:val="bullet"/>
      <w:lvlText w:val="o"/>
      <w:lvlJc w:val="left"/>
      <w:pPr>
        <w:ind w:left="1440" w:hanging="360"/>
      </w:pPr>
      <w:rPr>
        <w:rFonts w:ascii="Courier New" w:hAnsi="Courier New" w:cs="Courier New" w:hint="default"/>
      </w:rPr>
    </w:lvl>
    <w:lvl w:ilvl="2" w:tplc="418C0246" w:tentative="1">
      <w:start w:val="1"/>
      <w:numFmt w:val="bullet"/>
      <w:lvlText w:val=""/>
      <w:lvlJc w:val="left"/>
      <w:pPr>
        <w:ind w:left="2160" w:hanging="360"/>
      </w:pPr>
      <w:rPr>
        <w:rFonts w:ascii="Wingdings" w:hAnsi="Wingdings" w:hint="default"/>
      </w:rPr>
    </w:lvl>
    <w:lvl w:ilvl="3" w:tplc="8AFC46A8" w:tentative="1">
      <w:start w:val="1"/>
      <w:numFmt w:val="bullet"/>
      <w:lvlText w:val=""/>
      <w:lvlJc w:val="left"/>
      <w:pPr>
        <w:ind w:left="2880" w:hanging="360"/>
      </w:pPr>
      <w:rPr>
        <w:rFonts w:ascii="Symbol" w:hAnsi="Symbol" w:hint="default"/>
      </w:rPr>
    </w:lvl>
    <w:lvl w:ilvl="4" w:tplc="0276CA98" w:tentative="1">
      <w:start w:val="1"/>
      <w:numFmt w:val="bullet"/>
      <w:lvlText w:val="o"/>
      <w:lvlJc w:val="left"/>
      <w:pPr>
        <w:ind w:left="3600" w:hanging="360"/>
      </w:pPr>
      <w:rPr>
        <w:rFonts w:ascii="Courier New" w:hAnsi="Courier New" w:cs="Courier New" w:hint="default"/>
      </w:rPr>
    </w:lvl>
    <w:lvl w:ilvl="5" w:tplc="C4BCEC98" w:tentative="1">
      <w:start w:val="1"/>
      <w:numFmt w:val="bullet"/>
      <w:lvlText w:val=""/>
      <w:lvlJc w:val="left"/>
      <w:pPr>
        <w:ind w:left="4320" w:hanging="360"/>
      </w:pPr>
      <w:rPr>
        <w:rFonts w:ascii="Wingdings" w:hAnsi="Wingdings" w:hint="default"/>
      </w:rPr>
    </w:lvl>
    <w:lvl w:ilvl="6" w:tplc="0214117E" w:tentative="1">
      <w:start w:val="1"/>
      <w:numFmt w:val="bullet"/>
      <w:lvlText w:val=""/>
      <w:lvlJc w:val="left"/>
      <w:pPr>
        <w:ind w:left="5040" w:hanging="360"/>
      </w:pPr>
      <w:rPr>
        <w:rFonts w:ascii="Symbol" w:hAnsi="Symbol" w:hint="default"/>
      </w:rPr>
    </w:lvl>
    <w:lvl w:ilvl="7" w:tplc="50765162" w:tentative="1">
      <w:start w:val="1"/>
      <w:numFmt w:val="bullet"/>
      <w:lvlText w:val="o"/>
      <w:lvlJc w:val="left"/>
      <w:pPr>
        <w:ind w:left="5760" w:hanging="360"/>
      </w:pPr>
      <w:rPr>
        <w:rFonts w:ascii="Courier New" w:hAnsi="Courier New" w:cs="Courier New" w:hint="default"/>
      </w:rPr>
    </w:lvl>
    <w:lvl w:ilvl="8" w:tplc="7D1C1810" w:tentative="1">
      <w:start w:val="1"/>
      <w:numFmt w:val="bullet"/>
      <w:lvlText w:val=""/>
      <w:lvlJc w:val="left"/>
      <w:pPr>
        <w:ind w:left="6480" w:hanging="360"/>
      </w:pPr>
      <w:rPr>
        <w:rFonts w:ascii="Wingdings" w:hAnsi="Wingdings" w:hint="default"/>
      </w:rPr>
    </w:lvl>
  </w:abstractNum>
  <w:abstractNum w:abstractNumId="12" w15:restartNumberingAfterBreak="0">
    <w:nsid w:val="58934277"/>
    <w:multiLevelType w:val="hybridMultilevel"/>
    <w:tmpl w:val="2842F73A"/>
    <w:lvl w:ilvl="0" w:tplc="6026E790">
      <w:start w:val="1"/>
      <w:numFmt w:val="bullet"/>
      <w:lvlText w:val=""/>
      <w:lvlJc w:val="left"/>
      <w:pPr>
        <w:ind w:left="720" w:hanging="360"/>
      </w:pPr>
      <w:rPr>
        <w:rFonts w:ascii="Symbol" w:hAnsi="Symbol" w:hint="default"/>
      </w:rPr>
    </w:lvl>
    <w:lvl w:ilvl="1" w:tplc="29561338" w:tentative="1">
      <w:start w:val="1"/>
      <w:numFmt w:val="bullet"/>
      <w:lvlText w:val="o"/>
      <w:lvlJc w:val="left"/>
      <w:pPr>
        <w:ind w:left="1440" w:hanging="360"/>
      </w:pPr>
      <w:rPr>
        <w:rFonts w:ascii="Courier New" w:hAnsi="Courier New" w:cs="Courier New" w:hint="default"/>
      </w:rPr>
    </w:lvl>
    <w:lvl w:ilvl="2" w:tplc="A3FCA1E6" w:tentative="1">
      <w:start w:val="1"/>
      <w:numFmt w:val="bullet"/>
      <w:lvlText w:val=""/>
      <w:lvlJc w:val="left"/>
      <w:pPr>
        <w:ind w:left="2160" w:hanging="360"/>
      </w:pPr>
      <w:rPr>
        <w:rFonts w:ascii="Wingdings" w:hAnsi="Wingdings" w:hint="default"/>
      </w:rPr>
    </w:lvl>
    <w:lvl w:ilvl="3" w:tplc="A2B46080" w:tentative="1">
      <w:start w:val="1"/>
      <w:numFmt w:val="bullet"/>
      <w:lvlText w:val=""/>
      <w:lvlJc w:val="left"/>
      <w:pPr>
        <w:ind w:left="2880" w:hanging="360"/>
      </w:pPr>
      <w:rPr>
        <w:rFonts w:ascii="Symbol" w:hAnsi="Symbol" w:hint="default"/>
      </w:rPr>
    </w:lvl>
    <w:lvl w:ilvl="4" w:tplc="889C326A" w:tentative="1">
      <w:start w:val="1"/>
      <w:numFmt w:val="bullet"/>
      <w:lvlText w:val="o"/>
      <w:lvlJc w:val="left"/>
      <w:pPr>
        <w:ind w:left="3600" w:hanging="360"/>
      </w:pPr>
      <w:rPr>
        <w:rFonts w:ascii="Courier New" w:hAnsi="Courier New" w:cs="Courier New" w:hint="default"/>
      </w:rPr>
    </w:lvl>
    <w:lvl w:ilvl="5" w:tplc="589E2B2E" w:tentative="1">
      <w:start w:val="1"/>
      <w:numFmt w:val="bullet"/>
      <w:lvlText w:val=""/>
      <w:lvlJc w:val="left"/>
      <w:pPr>
        <w:ind w:left="4320" w:hanging="360"/>
      </w:pPr>
      <w:rPr>
        <w:rFonts w:ascii="Wingdings" w:hAnsi="Wingdings" w:hint="default"/>
      </w:rPr>
    </w:lvl>
    <w:lvl w:ilvl="6" w:tplc="0BA2BCDA" w:tentative="1">
      <w:start w:val="1"/>
      <w:numFmt w:val="bullet"/>
      <w:lvlText w:val=""/>
      <w:lvlJc w:val="left"/>
      <w:pPr>
        <w:ind w:left="5040" w:hanging="360"/>
      </w:pPr>
      <w:rPr>
        <w:rFonts w:ascii="Symbol" w:hAnsi="Symbol" w:hint="default"/>
      </w:rPr>
    </w:lvl>
    <w:lvl w:ilvl="7" w:tplc="748E0E60" w:tentative="1">
      <w:start w:val="1"/>
      <w:numFmt w:val="bullet"/>
      <w:lvlText w:val="o"/>
      <w:lvlJc w:val="left"/>
      <w:pPr>
        <w:ind w:left="5760" w:hanging="360"/>
      </w:pPr>
      <w:rPr>
        <w:rFonts w:ascii="Courier New" w:hAnsi="Courier New" w:cs="Courier New" w:hint="default"/>
      </w:rPr>
    </w:lvl>
    <w:lvl w:ilvl="8" w:tplc="C15A2838" w:tentative="1">
      <w:start w:val="1"/>
      <w:numFmt w:val="bullet"/>
      <w:lvlText w:val=""/>
      <w:lvlJc w:val="left"/>
      <w:pPr>
        <w:ind w:left="6480" w:hanging="360"/>
      </w:pPr>
      <w:rPr>
        <w:rFonts w:ascii="Wingdings" w:hAnsi="Wingdings" w:hint="default"/>
      </w:rPr>
    </w:lvl>
  </w:abstractNum>
  <w:abstractNum w:abstractNumId="13" w15:restartNumberingAfterBreak="0">
    <w:nsid w:val="59A13016"/>
    <w:multiLevelType w:val="hybridMultilevel"/>
    <w:tmpl w:val="01E624AE"/>
    <w:lvl w:ilvl="0" w:tplc="7B70F9D6">
      <w:start w:val="1"/>
      <w:numFmt w:val="bullet"/>
      <w:lvlText w:val=""/>
      <w:lvlJc w:val="left"/>
      <w:pPr>
        <w:ind w:left="720" w:hanging="360"/>
      </w:pPr>
      <w:rPr>
        <w:rFonts w:ascii="Symbol" w:hAnsi="Symbol" w:hint="default"/>
      </w:rPr>
    </w:lvl>
    <w:lvl w:ilvl="1" w:tplc="07DE1F96" w:tentative="1">
      <w:start w:val="1"/>
      <w:numFmt w:val="bullet"/>
      <w:lvlText w:val="o"/>
      <w:lvlJc w:val="left"/>
      <w:pPr>
        <w:ind w:left="1440" w:hanging="360"/>
      </w:pPr>
      <w:rPr>
        <w:rFonts w:ascii="Courier New" w:hAnsi="Courier New" w:cs="Courier New" w:hint="default"/>
      </w:rPr>
    </w:lvl>
    <w:lvl w:ilvl="2" w:tplc="00EA6960" w:tentative="1">
      <w:start w:val="1"/>
      <w:numFmt w:val="bullet"/>
      <w:lvlText w:val=""/>
      <w:lvlJc w:val="left"/>
      <w:pPr>
        <w:ind w:left="2160" w:hanging="360"/>
      </w:pPr>
      <w:rPr>
        <w:rFonts w:ascii="Wingdings" w:hAnsi="Wingdings" w:hint="default"/>
      </w:rPr>
    </w:lvl>
    <w:lvl w:ilvl="3" w:tplc="EF74BA96" w:tentative="1">
      <w:start w:val="1"/>
      <w:numFmt w:val="bullet"/>
      <w:lvlText w:val=""/>
      <w:lvlJc w:val="left"/>
      <w:pPr>
        <w:ind w:left="2880" w:hanging="360"/>
      </w:pPr>
      <w:rPr>
        <w:rFonts w:ascii="Symbol" w:hAnsi="Symbol" w:hint="default"/>
      </w:rPr>
    </w:lvl>
    <w:lvl w:ilvl="4" w:tplc="B7282A02" w:tentative="1">
      <w:start w:val="1"/>
      <w:numFmt w:val="bullet"/>
      <w:lvlText w:val="o"/>
      <w:lvlJc w:val="left"/>
      <w:pPr>
        <w:ind w:left="3600" w:hanging="360"/>
      </w:pPr>
      <w:rPr>
        <w:rFonts w:ascii="Courier New" w:hAnsi="Courier New" w:cs="Courier New" w:hint="default"/>
      </w:rPr>
    </w:lvl>
    <w:lvl w:ilvl="5" w:tplc="EBEECED4" w:tentative="1">
      <w:start w:val="1"/>
      <w:numFmt w:val="bullet"/>
      <w:lvlText w:val=""/>
      <w:lvlJc w:val="left"/>
      <w:pPr>
        <w:ind w:left="4320" w:hanging="360"/>
      </w:pPr>
      <w:rPr>
        <w:rFonts w:ascii="Wingdings" w:hAnsi="Wingdings" w:hint="default"/>
      </w:rPr>
    </w:lvl>
    <w:lvl w:ilvl="6" w:tplc="20663E04" w:tentative="1">
      <w:start w:val="1"/>
      <w:numFmt w:val="bullet"/>
      <w:lvlText w:val=""/>
      <w:lvlJc w:val="left"/>
      <w:pPr>
        <w:ind w:left="5040" w:hanging="360"/>
      </w:pPr>
      <w:rPr>
        <w:rFonts w:ascii="Symbol" w:hAnsi="Symbol" w:hint="default"/>
      </w:rPr>
    </w:lvl>
    <w:lvl w:ilvl="7" w:tplc="7D4E823A" w:tentative="1">
      <w:start w:val="1"/>
      <w:numFmt w:val="bullet"/>
      <w:lvlText w:val="o"/>
      <w:lvlJc w:val="left"/>
      <w:pPr>
        <w:ind w:left="5760" w:hanging="360"/>
      </w:pPr>
      <w:rPr>
        <w:rFonts w:ascii="Courier New" w:hAnsi="Courier New" w:cs="Courier New" w:hint="default"/>
      </w:rPr>
    </w:lvl>
    <w:lvl w:ilvl="8" w:tplc="89340F08" w:tentative="1">
      <w:start w:val="1"/>
      <w:numFmt w:val="bullet"/>
      <w:lvlText w:val=""/>
      <w:lvlJc w:val="left"/>
      <w:pPr>
        <w:ind w:left="6480" w:hanging="360"/>
      </w:pPr>
      <w:rPr>
        <w:rFonts w:ascii="Wingdings" w:hAnsi="Wingdings" w:hint="default"/>
      </w:rPr>
    </w:lvl>
  </w:abstractNum>
  <w:abstractNum w:abstractNumId="14" w15:restartNumberingAfterBreak="0">
    <w:nsid w:val="6C2358CC"/>
    <w:multiLevelType w:val="hybridMultilevel"/>
    <w:tmpl w:val="F5E88B60"/>
    <w:lvl w:ilvl="0" w:tplc="5BC61C44">
      <w:start w:val="1"/>
      <w:numFmt w:val="bullet"/>
      <w:lvlText w:val=""/>
      <w:lvlJc w:val="left"/>
      <w:pPr>
        <w:ind w:left="360" w:hanging="360"/>
      </w:pPr>
      <w:rPr>
        <w:rFonts w:ascii="Symbol" w:hAnsi="Symbol" w:hint="default"/>
      </w:rPr>
    </w:lvl>
    <w:lvl w:ilvl="1" w:tplc="DF94F4FC">
      <w:start w:val="1"/>
      <w:numFmt w:val="bullet"/>
      <w:lvlText w:val="o"/>
      <w:lvlJc w:val="left"/>
      <w:pPr>
        <w:ind w:left="1080" w:hanging="360"/>
      </w:pPr>
      <w:rPr>
        <w:rFonts w:ascii="Courier New" w:hAnsi="Courier New" w:cs="Courier New" w:hint="default"/>
      </w:rPr>
    </w:lvl>
    <w:lvl w:ilvl="2" w:tplc="287EB5A2" w:tentative="1">
      <w:start w:val="1"/>
      <w:numFmt w:val="bullet"/>
      <w:lvlText w:val=""/>
      <w:lvlJc w:val="left"/>
      <w:pPr>
        <w:ind w:left="1800" w:hanging="360"/>
      </w:pPr>
      <w:rPr>
        <w:rFonts w:ascii="Wingdings" w:hAnsi="Wingdings" w:hint="default"/>
      </w:rPr>
    </w:lvl>
    <w:lvl w:ilvl="3" w:tplc="9CAE6EE6" w:tentative="1">
      <w:start w:val="1"/>
      <w:numFmt w:val="bullet"/>
      <w:lvlText w:val=""/>
      <w:lvlJc w:val="left"/>
      <w:pPr>
        <w:ind w:left="2520" w:hanging="360"/>
      </w:pPr>
      <w:rPr>
        <w:rFonts w:ascii="Symbol" w:hAnsi="Symbol" w:hint="default"/>
      </w:rPr>
    </w:lvl>
    <w:lvl w:ilvl="4" w:tplc="E1C01CA6" w:tentative="1">
      <w:start w:val="1"/>
      <w:numFmt w:val="bullet"/>
      <w:lvlText w:val="o"/>
      <w:lvlJc w:val="left"/>
      <w:pPr>
        <w:ind w:left="3240" w:hanging="360"/>
      </w:pPr>
      <w:rPr>
        <w:rFonts w:ascii="Courier New" w:hAnsi="Courier New" w:cs="Courier New" w:hint="default"/>
      </w:rPr>
    </w:lvl>
    <w:lvl w:ilvl="5" w:tplc="6B38DF88" w:tentative="1">
      <w:start w:val="1"/>
      <w:numFmt w:val="bullet"/>
      <w:lvlText w:val=""/>
      <w:lvlJc w:val="left"/>
      <w:pPr>
        <w:ind w:left="3960" w:hanging="360"/>
      </w:pPr>
      <w:rPr>
        <w:rFonts w:ascii="Wingdings" w:hAnsi="Wingdings" w:hint="default"/>
      </w:rPr>
    </w:lvl>
    <w:lvl w:ilvl="6" w:tplc="1E3668FA" w:tentative="1">
      <w:start w:val="1"/>
      <w:numFmt w:val="bullet"/>
      <w:lvlText w:val=""/>
      <w:lvlJc w:val="left"/>
      <w:pPr>
        <w:ind w:left="4680" w:hanging="360"/>
      </w:pPr>
      <w:rPr>
        <w:rFonts w:ascii="Symbol" w:hAnsi="Symbol" w:hint="default"/>
      </w:rPr>
    </w:lvl>
    <w:lvl w:ilvl="7" w:tplc="DB68C9E8" w:tentative="1">
      <w:start w:val="1"/>
      <w:numFmt w:val="bullet"/>
      <w:lvlText w:val="o"/>
      <w:lvlJc w:val="left"/>
      <w:pPr>
        <w:ind w:left="5400" w:hanging="360"/>
      </w:pPr>
      <w:rPr>
        <w:rFonts w:ascii="Courier New" w:hAnsi="Courier New" w:cs="Courier New" w:hint="default"/>
      </w:rPr>
    </w:lvl>
    <w:lvl w:ilvl="8" w:tplc="69881158" w:tentative="1">
      <w:start w:val="1"/>
      <w:numFmt w:val="bullet"/>
      <w:lvlText w:val=""/>
      <w:lvlJc w:val="left"/>
      <w:pPr>
        <w:ind w:left="6120" w:hanging="360"/>
      </w:pPr>
      <w:rPr>
        <w:rFonts w:ascii="Wingdings" w:hAnsi="Wingdings" w:hint="default"/>
      </w:rPr>
    </w:lvl>
  </w:abstractNum>
  <w:abstractNum w:abstractNumId="15" w15:restartNumberingAfterBreak="0">
    <w:nsid w:val="77281956"/>
    <w:multiLevelType w:val="hybridMultilevel"/>
    <w:tmpl w:val="477A9678"/>
    <w:lvl w:ilvl="0" w:tplc="F6D023FA">
      <w:start w:val="3"/>
      <w:numFmt w:val="bullet"/>
      <w:lvlText w:val="-"/>
      <w:lvlJc w:val="left"/>
      <w:pPr>
        <w:ind w:left="720" w:hanging="360"/>
      </w:pPr>
      <w:rPr>
        <w:rFonts w:ascii="Arial" w:eastAsia="Times New Roman" w:hAnsi="Arial" w:cs="Arial" w:hint="default"/>
      </w:rPr>
    </w:lvl>
    <w:lvl w:ilvl="1" w:tplc="AD3E97B2" w:tentative="1">
      <w:start w:val="1"/>
      <w:numFmt w:val="bullet"/>
      <w:lvlText w:val="o"/>
      <w:lvlJc w:val="left"/>
      <w:pPr>
        <w:ind w:left="1440" w:hanging="360"/>
      </w:pPr>
      <w:rPr>
        <w:rFonts w:ascii="Courier New" w:hAnsi="Courier New" w:hint="default"/>
      </w:rPr>
    </w:lvl>
    <w:lvl w:ilvl="2" w:tplc="1DB295BA" w:tentative="1">
      <w:start w:val="1"/>
      <w:numFmt w:val="bullet"/>
      <w:lvlText w:val=""/>
      <w:lvlJc w:val="left"/>
      <w:pPr>
        <w:ind w:left="2160" w:hanging="360"/>
      </w:pPr>
      <w:rPr>
        <w:rFonts w:ascii="Wingdings" w:hAnsi="Wingdings" w:hint="default"/>
      </w:rPr>
    </w:lvl>
    <w:lvl w:ilvl="3" w:tplc="A3CAE920" w:tentative="1">
      <w:start w:val="1"/>
      <w:numFmt w:val="bullet"/>
      <w:lvlText w:val=""/>
      <w:lvlJc w:val="left"/>
      <w:pPr>
        <w:ind w:left="2880" w:hanging="360"/>
      </w:pPr>
      <w:rPr>
        <w:rFonts w:ascii="Symbol" w:hAnsi="Symbol" w:hint="default"/>
      </w:rPr>
    </w:lvl>
    <w:lvl w:ilvl="4" w:tplc="12AC95CC" w:tentative="1">
      <w:start w:val="1"/>
      <w:numFmt w:val="bullet"/>
      <w:lvlText w:val="o"/>
      <w:lvlJc w:val="left"/>
      <w:pPr>
        <w:ind w:left="3600" w:hanging="360"/>
      </w:pPr>
      <w:rPr>
        <w:rFonts w:ascii="Courier New" w:hAnsi="Courier New" w:hint="default"/>
      </w:rPr>
    </w:lvl>
    <w:lvl w:ilvl="5" w:tplc="319A4E64" w:tentative="1">
      <w:start w:val="1"/>
      <w:numFmt w:val="bullet"/>
      <w:lvlText w:val=""/>
      <w:lvlJc w:val="left"/>
      <w:pPr>
        <w:ind w:left="4320" w:hanging="360"/>
      </w:pPr>
      <w:rPr>
        <w:rFonts w:ascii="Wingdings" w:hAnsi="Wingdings" w:hint="default"/>
      </w:rPr>
    </w:lvl>
    <w:lvl w:ilvl="6" w:tplc="E2324C48" w:tentative="1">
      <w:start w:val="1"/>
      <w:numFmt w:val="bullet"/>
      <w:lvlText w:val=""/>
      <w:lvlJc w:val="left"/>
      <w:pPr>
        <w:ind w:left="5040" w:hanging="360"/>
      </w:pPr>
      <w:rPr>
        <w:rFonts w:ascii="Symbol" w:hAnsi="Symbol" w:hint="default"/>
      </w:rPr>
    </w:lvl>
    <w:lvl w:ilvl="7" w:tplc="D33EB360" w:tentative="1">
      <w:start w:val="1"/>
      <w:numFmt w:val="bullet"/>
      <w:lvlText w:val="o"/>
      <w:lvlJc w:val="left"/>
      <w:pPr>
        <w:ind w:left="5760" w:hanging="360"/>
      </w:pPr>
      <w:rPr>
        <w:rFonts w:ascii="Courier New" w:hAnsi="Courier New" w:hint="default"/>
      </w:rPr>
    </w:lvl>
    <w:lvl w:ilvl="8" w:tplc="F9446BA4" w:tentative="1">
      <w:start w:val="1"/>
      <w:numFmt w:val="bullet"/>
      <w:lvlText w:val=""/>
      <w:lvlJc w:val="left"/>
      <w:pPr>
        <w:ind w:left="6480" w:hanging="360"/>
      </w:pPr>
      <w:rPr>
        <w:rFonts w:ascii="Wingdings" w:hAnsi="Wingdings" w:hint="default"/>
      </w:rPr>
    </w:lvl>
  </w:abstractNum>
  <w:abstractNum w:abstractNumId="16" w15:restartNumberingAfterBreak="0">
    <w:nsid w:val="787E41E8"/>
    <w:multiLevelType w:val="hybridMultilevel"/>
    <w:tmpl w:val="5BBEDE86"/>
    <w:lvl w:ilvl="0" w:tplc="26CA7094">
      <w:start w:val="1"/>
      <w:numFmt w:val="decimal"/>
      <w:lvlText w:val="%1."/>
      <w:lvlJc w:val="left"/>
      <w:pPr>
        <w:ind w:left="4680" w:hanging="360"/>
      </w:pPr>
    </w:lvl>
    <w:lvl w:ilvl="1" w:tplc="6AB07A2C" w:tentative="1">
      <w:start w:val="1"/>
      <w:numFmt w:val="lowerLetter"/>
      <w:lvlText w:val="%2."/>
      <w:lvlJc w:val="left"/>
      <w:pPr>
        <w:ind w:left="5400" w:hanging="360"/>
      </w:pPr>
    </w:lvl>
    <w:lvl w:ilvl="2" w:tplc="49D84EFC" w:tentative="1">
      <w:start w:val="1"/>
      <w:numFmt w:val="lowerRoman"/>
      <w:lvlText w:val="%3."/>
      <w:lvlJc w:val="right"/>
      <w:pPr>
        <w:ind w:left="6120" w:hanging="180"/>
      </w:pPr>
    </w:lvl>
    <w:lvl w:ilvl="3" w:tplc="902EE044" w:tentative="1">
      <w:start w:val="1"/>
      <w:numFmt w:val="decimal"/>
      <w:lvlText w:val="%4."/>
      <w:lvlJc w:val="left"/>
      <w:pPr>
        <w:ind w:left="6840" w:hanging="360"/>
      </w:pPr>
    </w:lvl>
    <w:lvl w:ilvl="4" w:tplc="569862CC" w:tentative="1">
      <w:start w:val="1"/>
      <w:numFmt w:val="lowerLetter"/>
      <w:lvlText w:val="%5."/>
      <w:lvlJc w:val="left"/>
      <w:pPr>
        <w:ind w:left="7560" w:hanging="360"/>
      </w:pPr>
    </w:lvl>
    <w:lvl w:ilvl="5" w:tplc="BAE225D6" w:tentative="1">
      <w:start w:val="1"/>
      <w:numFmt w:val="lowerRoman"/>
      <w:lvlText w:val="%6."/>
      <w:lvlJc w:val="right"/>
      <w:pPr>
        <w:ind w:left="8280" w:hanging="180"/>
      </w:pPr>
    </w:lvl>
    <w:lvl w:ilvl="6" w:tplc="F7BA5F92" w:tentative="1">
      <w:start w:val="1"/>
      <w:numFmt w:val="decimal"/>
      <w:lvlText w:val="%7."/>
      <w:lvlJc w:val="left"/>
      <w:pPr>
        <w:ind w:left="9000" w:hanging="360"/>
      </w:pPr>
    </w:lvl>
    <w:lvl w:ilvl="7" w:tplc="D2AC9FA8" w:tentative="1">
      <w:start w:val="1"/>
      <w:numFmt w:val="lowerLetter"/>
      <w:lvlText w:val="%8."/>
      <w:lvlJc w:val="left"/>
      <w:pPr>
        <w:ind w:left="9720" w:hanging="360"/>
      </w:pPr>
    </w:lvl>
    <w:lvl w:ilvl="8" w:tplc="640A6B5C" w:tentative="1">
      <w:start w:val="1"/>
      <w:numFmt w:val="lowerRoman"/>
      <w:lvlText w:val="%9."/>
      <w:lvlJc w:val="right"/>
      <w:pPr>
        <w:ind w:left="10440" w:hanging="180"/>
      </w:pPr>
    </w:lvl>
  </w:abstractNum>
  <w:abstractNum w:abstractNumId="17" w15:restartNumberingAfterBreak="0">
    <w:nsid w:val="791748E5"/>
    <w:multiLevelType w:val="hybridMultilevel"/>
    <w:tmpl w:val="B112803E"/>
    <w:lvl w:ilvl="0" w:tplc="B2F02242">
      <w:start w:val="1"/>
      <w:numFmt w:val="decimal"/>
      <w:lvlText w:val="%1."/>
      <w:lvlJc w:val="left"/>
      <w:pPr>
        <w:ind w:left="1800" w:hanging="360"/>
      </w:pPr>
    </w:lvl>
    <w:lvl w:ilvl="1" w:tplc="854AE6D4" w:tentative="1">
      <w:start w:val="1"/>
      <w:numFmt w:val="lowerLetter"/>
      <w:lvlText w:val="%2."/>
      <w:lvlJc w:val="left"/>
      <w:pPr>
        <w:ind w:left="2520" w:hanging="360"/>
      </w:pPr>
    </w:lvl>
    <w:lvl w:ilvl="2" w:tplc="DDFE0DD0" w:tentative="1">
      <w:start w:val="1"/>
      <w:numFmt w:val="lowerRoman"/>
      <w:lvlText w:val="%3."/>
      <w:lvlJc w:val="right"/>
      <w:pPr>
        <w:ind w:left="3240" w:hanging="180"/>
      </w:pPr>
    </w:lvl>
    <w:lvl w:ilvl="3" w:tplc="587A9A0C" w:tentative="1">
      <w:start w:val="1"/>
      <w:numFmt w:val="decimal"/>
      <w:lvlText w:val="%4."/>
      <w:lvlJc w:val="left"/>
      <w:pPr>
        <w:ind w:left="3960" w:hanging="360"/>
      </w:pPr>
    </w:lvl>
    <w:lvl w:ilvl="4" w:tplc="4022EE1A" w:tentative="1">
      <w:start w:val="1"/>
      <w:numFmt w:val="lowerLetter"/>
      <w:lvlText w:val="%5."/>
      <w:lvlJc w:val="left"/>
      <w:pPr>
        <w:ind w:left="4680" w:hanging="360"/>
      </w:pPr>
    </w:lvl>
    <w:lvl w:ilvl="5" w:tplc="025CD38E" w:tentative="1">
      <w:start w:val="1"/>
      <w:numFmt w:val="lowerRoman"/>
      <w:lvlText w:val="%6."/>
      <w:lvlJc w:val="right"/>
      <w:pPr>
        <w:ind w:left="5400" w:hanging="180"/>
      </w:pPr>
    </w:lvl>
    <w:lvl w:ilvl="6" w:tplc="907A3B7C" w:tentative="1">
      <w:start w:val="1"/>
      <w:numFmt w:val="decimal"/>
      <w:lvlText w:val="%7."/>
      <w:lvlJc w:val="left"/>
      <w:pPr>
        <w:ind w:left="6120" w:hanging="360"/>
      </w:pPr>
    </w:lvl>
    <w:lvl w:ilvl="7" w:tplc="622EE9F2" w:tentative="1">
      <w:start w:val="1"/>
      <w:numFmt w:val="lowerLetter"/>
      <w:lvlText w:val="%8."/>
      <w:lvlJc w:val="left"/>
      <w:pPr>
        <w:ind w:left="6840" w:hanging="360"/>
      </w:pPr>
    </w:lvl>
    <w:lvl w:ilvl="8" w:tplc="8BC22B1C" w:tentative="1">
      <w:start w:val="1"/>
      <w:numFmt w:val="lowerRoman"/>
      <w:lvlText w:val="%9."/>
      <w:lvlJc w:val="right"/>
      <w:pPr>
        <w:ind w:left="7560" w:hanging="180"/>
      </w:pPr>
    </w:lvl>
  </w:abstractNum>
  <w:abstractNum w:abstractNumId="18" w15:restartNumberingAfterBreak="0">
    <w:nsid w:val="7A4A2D1D"/>
    <w:multiLevelType w:val="hybridMultilevel"/>
    <w:tmpl w:val="A2CCE04C"/>
    <w:lvl w:ilvl="0" w:tplc="7DC8C9A4">
      <w:start w:val="3"/>
      <w:numFmt w:val="bullet"/>
      <w:lvlText w:val="-"/>
      <w:lvlJc w:val="left"/>
      <w:pPr>
        <w:ind w:left="720" w:hanging="360"/>
      </w:pPr>
      <w:rPr>
        <w:rFonts w:ascii="Arial" w:eastAsia="Times New Roman" w:hAnsi="Arial" w:cs="Arial" w:hint="default"/>
      </w:rPr>
    </w:lvl>
    <w:lvl w:ilvl="1" w:tplc="12D8395E" w:tentative="1">
      <w:start w:val="1"/>
      <w:numFmt w:val="bullet"/>
      <w:lvlText w:val="o"/>
      <w:lvlJc w:val="left"/>
      <w:pPr>
        <w:ind w:left="1440" w:hanging="360"/>
      </w:pPr>
      <w:rPr>
        <w:rFonts w:ascii="Courier New" w:hAnsi="Courier New" w:cs="Courier New" w:hint="default"/>
      </w:rPr>
    </w:lvl>
    <w:lvl w:ilvl="2" w:tplc="53C8A98C" w:tentative="1">
      <w:start w:val="1"/>
      <w:numFmt w:val="bullet"/>
      <w:lvlText w:val=""/>
      <w:lvlJc w:val="left"/>
      <w:pPr>
        <w:ind w:left="2160" w:hanging="360"/>
      </w:pPr>
      <w:rPr>
        <w:rFonts w:ascii="Wingdings" w:hAnsi="Wingdings" w:hint="default"/>
      </w:rPr>
    </w:lvl>
    <w:lvl w:ilvl="3" w:tplc="0450AD58" w:tentative="1">
      <w:start w:val="1"/>
      <w:numFmt w:val="bullet"/>
      <w:lvlText w:val=""/>
      <w:lvlJc w:val="left"/>
      <w:pPr>
        <w:ind w:left="2880" w:hanging="360"/>
      </w:pPr>
      <w:rPr>
        <w:rFonts w:ascii="Symbol" w:hAnsi="Symbol" w:hint="default"/>
      </w:rPr>
    </w:lvl>
    <w:lvl w:ilvl="4" w:tplc="BECAF2D2" w:tentative="1">
      <w:start w:val="1"/>
      <w:numFmt w:val="bullet"/>
      <w:lvlText w:val="o"/>
      <w:lvlJc w:val="left"/>
      <w:pPr>
        <w:ind w:left="3600" w:hanging="360"/>
      </w:pPr>
      <w:rPr>
        <w:rFonts w:ascii="Courier New" w:hAnsi="Courier New" w:cs="Courier New" w:hint="default"/>
      </w:rPr>
    </w:lvl>
    <w:lvl w:ilvl="5" w:tplc="F4F4FBD8" w:tentative="1">
      <w:start w:val="1"/>
      <w:numFmt w:val="bullet"/>
      <w:lvlText w:val=""/>
      <w:lvlJc w:val="left"/>
      <w:pPr>
        <w:ind w:left="4320" w:hanging="360"/>
      </w:pPr>
      <w:rPr>
        <w:rFonts w:ascii="Wingdings" w:hAnsi="Wingdings" w:hint="default"/>
      </w:rPr>
    </w:lvl>
    <w:lvl w:ilvl="6" w:tplc="23F6F368" w:tentative="1">
      <w:start w:val="1"/>
      <w:numFmt w:val="bullet"/>
      <w:lvlText w:val=""/>
      <w:lvlJc w:val="left"/>
      <w:pPr>
        <w:ind w:left="5040" w:hanging="360"/>
      </w:pPr>
      <w:rPr>
        <w:rFonts w:ascii="Symbol" w:hAnsi="Symbol" w:hint="default"/>
      </w:rPr>
    </w:lvl>
    <w:lvl w:ilvl="7" w:tplc="A1B8A0CA" w:tentative="1">
      <w:start w:val="1"/>
      <w:numFmt w:val="bullet"/>
      <w:lvlText w:val="o"/>
      <w:lvlJc w:val="left"/>
      <w:pPr>
        <w:ind w:left="5760" w:hanging="360"/>
      </w:pPr>
      <w:rPr>
        <w:rFonts w:ascii="Courier New" w:hAnsi="Courier New" w:cs="Courier New" w:hint="default"/>
      </w:rPr>
    </w:lvl>
    <w:lvl w:ilvl="8" w:tplc="DA92D4C4" w:tentative="1">
      <w:start w:val="1"/>
      <w:numFmt w:val="bullet"/>
      <w:lvlText w:val=""/>
      <w:lvlJc w:val="left"/>
      <w:pPr>
        <w:ind w:left="6480" w:hanging="360"/>
      </w:pPr>
      <w:rPr>
        <w:rFonts w:ascii="Wingdings" w:hAnsi="Wingdings" w:hint="default"/>
      </w:rPr>
    </w:lvl>
  </w:abstractNum>
  <w:abstractNum w:abstractNumId="19" w15:restartNumberingAfterBreak="0">
    <w:nsid w:val="7AA13385"/>
    <w:multiLevelType w:val="hybridMultilevel"/>
    <w:tmpl w:val="5F56DD26"/>
    <w:lvl w:ilvl="0" w:tplc="E05251EC">
      <w:start w:val="1"/>
      <w:numFmt w:val="bullet"/>
      <w:lvlText w:val=""/>
      <w:lvlJc w:val="left"/>
      <w:pPr>
        <w:ind w:left="360" w:hanging="360"/>
      </w:pPr>
      <w:rPr>
        <w:rFonts w:ascii="Symbol" w:hAnsi="Symbol" w:hint="default"/>
      </w:rPr>
    </w:lvl>
    <w:lvl w:ilvl="1" w:tplc="61488576" w:tentative="1">
      <w:start w:val="1"/>
      <w:numFmt w:val="bullet"/>
      <w:lvlText w:val="o"/>
      <w:lvlJc w:val="left"/>
      <w:pPr>
        <w:ind w:left="1080" w:hanging="360"/>
      </w:pPr>
      <w:rPr>
        <w:rFonts w:ascii="Courier New" w:hAnsi="Courier New" w:cs="Courier New" w:hint="default"/>
      </w:rPr>
    </w:lvl>
    <w:lvl w:ilvl="2" w:tplc="62302F24" w:tentative="1">
      <w:start w:val="1"/>
      <w:numFmt w:val="bullet"/>
      <w:lvlText w:val=""/>
      <w:lvlJc w:val="left"/>
      <w:pPr>
        <w:ind w:left="1800" w:hanging="360"/>
      </w:pPr>
      <w:rPr>
        <w:rFonts w:ascii="Wingdings" w:hAnsi="Wingdings" w:hint="default"/>
      </w:rPr>
    </w:lvl>
    <w:lvl w:ilvl="3" w:tplc="BDCA715A" w:tentative="1">
      <w:start w:val="1"/>
      <w:numFmt w:val="bullet"/>
      <w:lvlText w:val=""/>
      <w:lvlJc w:val="left"/>
      <w:pPr>
        <w:ind w:left="2520" w:hanging="360"/>
      </w:pPr>
      <w:rPr>
        <w:rFonts w:ascii="Symbol" w:hAnsi="Symbol" w:hint="default"/>
      </w:rPr>
    </w:lvl>
    <w:lvl w:ilvl="4" w:tplc="00A04074" w:tentative="1">
      <w:start w:val="1"/>
      <w:numFmt w:val="bullet"/>
      <w:lvlText w:val="o"/>
      <w:lvlJc w:val="left"/>
      <w:pPr>
        <w:ind w:left="3240" w:hanging="360"/>
      </w:pPr>
      <w:rPr>
        <w:rFonts w:ascii="Courier New" w:hAnsi="Courier New" w:cs="Courier New" w:hint="default"/>
      </w:rPr>
    </w:lvl>
    <w:lvl w:ilvl="5" w:tplc="336E62D0" w:tentative="1">
      <w:start w:val="1"/>
      <w:numFmt w:val="bullet"/>
      <w:lvlText w:val=""/>
      <w:lvlJc w:val="left"/>
      <w:pPr>
        <w:ind w:left="3960" w:hanging="360"/>
      </w:pPr>
      <w:rPr>
        <w:rFonts w:ascii="Wingdings" w:hAnsi="Wingdings" w:hint="default"/>
      </w:rPr>
    </w:lvl>
    <w:lvl w:ilvl="6" w:tplc="41AA954A" w:tentative="1">
      <w:start w:val="1"/>
      <w:numFmt w:val="bullet"/>
      <w:lvlText w:val=""/>
      <w:lvlJc w:val="left"/>
      <w:pPr>
        <w:ind w:left="4680" w:hanging="360"/>
      </w:pPr>
      <w:rPr>
        <w:rFonts w:ascii="Symbol" w:hAnsi="Symbol" w:hint="default"/>
      </w:rPr>
    </w:lvl>
    <w:lvl w:ilvl="7" w:tplc="AC8AA396" w:tentative="1">
      <w:start w:val="1"/>
      <w:numFmt w:val="bullet"/>
      <w:lvlText w:val="o"/>
      <w:lvlJc w:val="left"/>
      <w:pPr>
        <w:ind w:left="5400" w:hanging="360"/>
      </w:pPr>
      <w:rPr>
        <w:rFonts w:ascii="Courier New" w:hAnsi="Courier New" w:cs="Courier New" w:hint="default"/>
      </w:rPr>
    </w:lvl>
    <w:lvl w:ilvl="8" w:tplc="5EBE352A" w:tentative="1">
      <w:start w:val="1"/>
      <w:numFmt w:val="bullet"/>
      <w:lvlText w:val=""/>
      <w:lvlJc w:val="left"/>
      <w:pPr>
        <w:ind w:left="6120" w:hanging="360"/>
      </w:pPr>
      <w:rPr>
        <w:rFonts w:ascii="Wingdings" w:hAnsi="Wingdings" w:hint="default"/>
      </w:rPr>
    </w:lvl>
  </w:abstractNum>
  <w:abstractNum w:abstractNumId="20" w15:restartNumberingAfterBreak="0">
    <w:nsid w:val="7C494886"/>
    <w:multiLevelType w:val="hybridMultilevel"/>
    <w:tmpl w:val="214AA09C"/>
    <w:lvl w:ilvl="0" w:tplc="C70838F8">
      <w:start w:val="1"/>
      <w:numFmt w:val="bullet"/>
      <w:lvlText w:val=""/>
      <w:lvlJc w:val="left"/>
      <w:pPr>
        <w:ind w:left="720" w:hanging="360"/>
      </w:pPr>
      <w:rPr>
        <w:rFonts w:ascii="Symbol" w:hAnsi="Symbol" w:hint="default"/>
      </w:rPr>
    </w:lvl>
    <w:lvl w:ilvl="1" w:tplc="F746E008" w:tentative="1">
      <w:start w:val="1"/>
      <w:numFmt w:val="bullet"/>
      <w:lvlText w:val="o"/>
      <w:lvlJc w:val="left"/>
      <w:pPr>
        <w:ind w:left="1440" w:hanging="360"/>
      </w:pPr>
      <w:rPr>
        <w:rFonts w:ascii="Courier New" w:hAnsi="Courier New" w:cs="Courier New" w:hint="default"/>
      </w:rPr>
    </w:lvl>
    <w:lvl w:ilvl="2" w:tplc="159A0836" w:tentative="1">
      <w:start w:val="1"/>
      <w:numFmt w:val="bullet"/>
      <w:lvlText w:val=""/>
      <w:lvlJc w:val="left"/>
      <w:pPr>
        <w:ind w:left="2160" w:hanging="360"/>
      </w:pPr>
      <w:rPr>
        <w:rFonts w:ascii="Wingdings" w:hAnsi="Wingdings" w:hint="default"/>
      </w:rPr>
    </w:lvl>
    <w:lvl w:ilvl="3" w:tplc="5FD4DFEC" w:tentative="1">
      <w:start w:val="1"/>
      <w:numFmt w:val="bullet"/>
      <w:lvlText w:val=""/>
      <w:lvlJc w:val="left"/>
      <w:pPr>
        <w:ind w:left="2880" w:hanging="360"/>
      </w:pPr>
      <w:rPr>
        <w:rFonts w:ascii="Symbol" w:hAnsi="Symbol" w:hint="default"/>
      </w:rPr>
    </w:lvl>
    <w:lvl w:ilvl="4" w:tplc="172C4EB6" w:tentative="1">
      <w:start w:val="1"/>
      <w:numFmt w:val="bullet"/>
      <w:lvlText w:val="o"/>
      <w:lvlJc w:val="left"/>
      <w:pPr>
        <w:ind w:left="3600" w:hanging="360"/>
      </w:pPr>
      <w:rPr>
        <w:rFonts w:ascii="Courier New" w:hAnsi="Courier New" w:cs="Courier New" w:hint="default"/>
      </w:rPr>
    </w:lvl>
    <w:lvl w:ilvl="5" w:tplc="1C66D566" w:tentative="1">
      <w:start w:val="1"/>
      <w:numFmt w:val="bullet"/>
      <w:lvlText w:val=""/>
      <w:lvlJc w:val="left"/>
      <w:pPr>
        <w:ind w:left="4320" w:hanging="360"/>
      </w:pPr>
      <w:rPr>
        <w:rFonts w:ascii="Wingdings" w:hAnsi="Wingdings" w:hint="default"/>
      </w:rPr>
    </w:lvl>
    <w:lvl w:ilvl="6" w:tplc="29F60B56" w:tentative="1">
      <w:start w:val="1"/>
      <w:numFmt w:val="bullet"/>
      <w:lvlText w:val=""/>
      <w:lvlJc w:val="left"/>
      <w:pPr>
        <w:ind w:left="5040" w:hanging="360"/>
      </w:pPr>
      <w:rPr>
        <w:rFonts w:ascii="Symbol" w:hAnsi="Symbol" w:hint="default"/>
      </w:rPr>
    </w:lvl>
    <w:lvl w:ilvl="7" w:tplc="1EEA61C2" w:tentative="1">
      <w:start w:val="1"/>
      <w:numFmt w:val="bullet"/>
      <w:lvlText w:val="o"/>
      <w:lvlJc w:val="left"/>
      <w:pPr>
        <w:ind w:left="5760" w:hanging="360"/>
      </w:pPr>
      <w:rPr>
        <w:rFonts w:ascii="Courier New" w:hAnsi="Courier New" w:cs="Courier New" w:hint="default"/>
      </w:rPr>
    </w:lvl>
    <w:lvl w:ilvl="8" w:tplc="D1A09D50" w:tentative="1">
      <w:start w:val="1"/>
      <w:numFmt w:val="bullet"/>
      <w:lvlText w:val=""/>
      <w:lvlJc w:val="left"/>
      <w:pPr>
        <w:ind w:left="6480" w:hanging="360"/>
      </w:pPr>
      <w:rPr>
        <w:rFonts w:ascii="Wingdings" w:hAnsi="Wingdings" w:hint="default"/>
      </w:rPr>
    </w:lvl>
  </w:abstractNum>
  <w:abstractNum w:abstractNumId="21" w15:restartNumberingAfterBreak="0">
    <w:nsid w:val="7D796406"/>
    <w:multiLevelType w:val="hybridMultilevel"/>
    <w:tmpl w:val="11983EBE"/>
    <w:lvl w:ilvl="0" w:tplc="38929D4C">
      <w:start w:val="3"/>
      <w:numFmt w:val="bullet"/>
      <w:lvlText w:val="-"/>
      <w:lvlJc w:val="left"/>
      <w:pPr>
        <w:ind w:left="720" w:hanging="360"/>
      </w:pPr>
      <w:rPr>
        <w:rFonts w:ascii="Arial" w:eastAsia="Times New Roman" w:hAnsi="Arial" w:cs="Arial" w:hint="default"/>
      </w:rPr>
    </w:lvl>
    <w:lvl w:ilvl="1" w:tplc="1E6670AC" w:tentative="1">
      <w:start w:val="1"/>
      <w:numFmt w:val="bullet"/>
      <w:lvlText w:val="o"/>
      <w:lvlJc w:val="left"/>
      <w:pPr>
        <w:ind w:left="1440" w:hanging="360"/>
      </w:pPr>
      <w:rPr>
        <w:rFonts w:ascii="Courier New" w:hAnsi="Courier New" w:cs="Courier New" w:hint="default"/>
      </w:rPr>
    </w:lvl>
    <w:lvl w:ilvl="2" w:tplc="D48C75EC" w:tentative="1">
      <w:start w:val="1"/>
      <w:numFmt w:val="bullet"/>
      <w:lvlText w:val=""/>
      <w:lvlJc w:val="left"/>
      <w:pPr>
        <w:ind w:left="2160" w:hanging="360"/>
      </w:pPr>
      <w:rPr>
        <w:rFonts w:ascii="Wingdings" w:hAnsi="Wingdings" w:hint="default"/>
      </w:rPr>
    </w:lvl>
    <w:lvl w:ilvl="3" w:tplc="3FD42A6C" w:tentative="1">
      <w:start w:val="1"/>
      <w:numFmt w:val="bullet"/>
      <w:lvlText w:val=""/>
      <w:lvlJc w:val="left"/>
      <w:pPr>
        <w:ind w:left="2880" w:hanging="360"/>
      </w:pPr>
      <w:rPr>
        <w:rFonts w:ascii="Symbol" w:hAnsi="Symbol" w:hint="default"/>
      </w:rPr>
    </w:lvl>
    <w:lvl w:ilvl="4" w:tplc="C3A634BA" w:tentative="1">
      <w:start w:val="1"/>
      <w:numFmt w:val="bullet"/>
      <w:lvlText w:val="o"/>
      <w:lvlJc w:val="left"/>
      <w:pPr>
        <w:ind w:left="3600" w:hanging="360"/>
      </w:pPr>
      <w:rPr>
        <w:rFonts w:ascii="Courier New" w:hAnsi="Courier New" w:cs="Courier New" w:hint="default"/>
      </w:rPr>
    </w:lvl>
    <w:lvl w:ilvl="5" w:tplc="168C7052" w:tentative="1">
      <w:start w:val="1"/>
      <w:numFmt w:val="bullet"/>
      <w:lvlText w:val=""/>
      <w:lvlJc w:val="left"/>
      <w:pPr>
        <w:ind w:left="4320" w:hanging="360"/>
      </w:pPr>
      <w:rPr>
        <w:rFonts w:ascii="Wingdings" w:hAnsi="Wingdings" w:hint="default"/>
      </w:rPr>
    </w:lvl>
    <w:lvl w:ilvl="6" w:tplc="7BBECFA2" w:tentative="1">
      <w:start w:val="1"/>
      <w:numFmt w:val="bullet"/>
      <w:lvlText w:val=""/>
      <w:lvlJc w:val="left"/>
      <w:pPr>
        <w:ind w:left="5040" w:hanging="360"/>
      </w:pPr>
      <w:rPr>
        <w:rFonts w:ascii="Symbol" w:hAnsi="Symbol" w:hint="default"/>
      </w:rPr>
    </w:lvl>
    <w:lvl w:ilvl="7" w:tplc="0F882F16" w:tentative="1">
      <w:start w:val="1"/>
      <w:numFmt w:val="bullet"/>
      <w:lvlText w:val="o"/>
      <w:lvlJc w:val="left"/>
      <w:pPr>
        <w:ind w:left="5760" w:hanging="360"/>
      </w:pPr>
      <w:rPr>
        <w:rFonts w:ascii="Courier New" w:hAnsi="Courier New" w:cs="Courier New" w:hint="default"/>
      </w:rPr>
    </w:lvl>
    <w:lvl w:ilvl="8" w:tplc="C2387364"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8"/>
  </w:num>
  <w:num w:numId="5">
    <w:abstractNumId w:val="9"/>
  </w:num>
  <w:num w:numId="6">
    <w:abstractNumId w:val="3"/>
  </w:num>
  <w:num w:numId="7">
    <w:abstractNumId w:val="10"/>
  </w:num>
  <w:num w:numId="8">
    <w:abstractNumId w:val="17"/>
  </w:num>
  <w:num w:numId="9">
    <w:abstractNumId w:val="0"/>
  </w:num>
  <w:num w:numId="10">
    <w:abstractNumId w:val="21"/>
  </w:num>
  <w:num w:numId="11">
    <w:abstractNumId w:val="15"/>
  </w:num>
  <w:num w:numId="12">
    <w:abstractNumId w:val="4"/>
  </w:num>
  <w:num w:numId="13">
    <w:abstractNumId w:val="14"/>
  </w:num>
  <w:num w:numId="14">
    <w:abstractNumId w:val="12"/>
  </w:num>
  <w:num w:numId="15">
    <w:abstractNumId w:val="18"/>
  </w:num>
  <w:num w:numId="16">
    <w:abstractNumId w:val="20"/>
  </w:num>
  <w:num w:numId="17">
    <w:abstractNumId w:val="11"/>
  </w:num>
  <w:num w:numId="18">
    <w:abstractNumId w:val="2"/>
  </w:num>
  <w:num w:numId="19">
    <w:abstractNumId w:val="13"/>
  </w:num>
  <w:num w:numId="20">
    <w:abstractNumId w:val="19"/>
  </w:num>
  <w:num w:numId="21">
    <w:abstractNumId w:val="7"/>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grammar="clean"/>
  <w:trackRevision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37"/>
    <w:docVar w:name="InternalQPulse_CurrentUserName" w:val="Document Management Process Owner,  "/>
    <w:docVar w:name="InternalQPulse_DatabaseAlias" w:val="Default"/>
    <w:docVar w:name="InternalQPulse_DocActiveDate" w:val="25/09/2019"/>
    <w:docVar w:name="InternalQPulse_DocAuthor" w:val="Information Security Manager,  "/>
    <w:docVar w:name="InternalQPulse_DocChangeDetails" w:val="Update to availability measures."/>
    <w:docVar w:name="InternalQPulse_DocNumber" w:val="ISMS-02-05"/>
    <w:docVar w:name="InternalQPulse_DocOwner" w:val="Risk Management Process Owner,  "/>
    <w:docVar w:name="InternalQPulse_DocReviewDate" w:val="25/09/2021"/>
    <w:docVar w:name="InternalQPulse_DocRevisionNumber" w:val="3.5"/>
    <w:docVar w:name="InternalQPulse_DocStatus" w:val="Active"/>
    <w:docVar w:name="InternalQPulse_DocTitle" w:val="Risk Management Process"/>
    <w:docVar w:name="InternalQPulse_DocType" w:val="ISMS\Policy &amp; Guidance\ISMS Management - policy &amp; guidance"/>
    <w:docVar w:name="InternalQPulse_LanguageID" w:val="0"/>
    <w:docVar w:name="QPulse_CurrentDateTime" w:val="19/03/2020 17:53:37"/>
    <w:docVar w:name="QPulse_CurrentUserName" w:val="Document Management Process Owner,  "/>
    <w:docVar w:name="QPulse_DatabaseAlias" w:val="Default"/>
    <w:docVar w:name="QPulse_DocActiveDate" w:val="25/09/2019"/>
    <w:docVar w:name="QPulse_DocAuthor" w:val="Information Security Manager,  "/>
    <w:docVar w:name="QPulse_DocChangeDetails" w:val="Update to availability measures."/>
    <w:docVar w:name="QPulse_DocLastReviewDate" w:val="25/09/2019"/>
    <w:docVar w:name="QPulse_DocLastReviewDetails" w:val="Changes to availability scoring incorporated._x000d__x000a__x000d__x000a_No other changes required to the process._x000d__x000a_"/>
    <w:docVar w:name="QPulse_DocLastReviewOwner" w:val="Risk Management Process Owner,  "/>
    <w:docVar w:name="QPulse_DocNumber" w:val="ISMS-02-05"/>
    <w:docVar w:name="QPulse_DocOwner" w:val="Risk Management Process Owner,  "/>
    <w:docVar w:name="QPulse_DocReviewDate" w:val="25/09/2021"/>
    <w:docVar w:name="QPulse_DocRevisionNumber" w:val="3.5"/>
    <w:docVar w:name="QPulse_DocStatus" w:val="Active"/>
    <w:docVar w:name="QPulse_DocTitle" w:val="Risk Management Process"/>
    <w:docVar w:name="QPulse_DocType" w:val="ISMS\Policy &amp; Guidance\ISMS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197ba30-17ec-4678-aa22-5e2466e5d3b0"/>
  </w:docVars>
  <w:rsids>
    <w:rsidRoot w:val="000366B7"/>
    <w:rsid w:val="000366B7"/>
    <w:rsid w:val="006F50BC"/>
    <w:rsid w:val="007904EA"/>
    <w:rsid w:val="00A42A8F"/>
    <w:rsid w:val="00D202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95723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723D"/>
    <w:pPr>
      <w:spacing w:before="100" w:beforeAutospacing="1" w:after="100" w:afterAutospacing="1"/>
    </w:pPr>
    <w:rPr>
      <w:rFonts w:ascii="Times New Roman" w:eastAsiaTheme="minorEastAsia" w:hAnsi="Times New Roman" w:cs="Times New Roman"/>
      <w:sz w:val="24"/>
      <w:lang w:eastAsia="en-GB"/>
    </w:rPr>
  </w:style>
  <w:style w:type="character" w:styleId="CommentReference">
    <w:name w:val="annotation reference"/>
    <w:basedOn w:val="DefaultParagraphFont"/>
    <w:uiPriority w:val="99"/>
    <w:semiHidden/>
    <w:unhideWhenUsed/>
    <w:rsid w:val="008A1989"/>
    <w:rPr>
      <w:sz w:val="16"/>
      <w:szCs w:val="16"/>
    </w:rPr>
  </w:style>
  <w:style w:type="paragraph" w:styleId="CommentText">
    <w:name w:val="annotation text"/>
    <w:basedOn w:val="Normal"/>
    <w:link w:val="CommentTextChar"/>
    <w:uiPriority w:val="99"/>
    <w:semiHidden/>
    <w:unhideWhenUsed/>
    <w:rsid w:val="008A1989"/>
    <w:rPr>
      <w:sz w:val="20"/>
      <w:szCs w:val="20"/>
    </w:rPr>
  </w:style>
  <w:style w:type="character" w:customStyle="1" w:styleId="CommentTextChar">
    <w:name w:val="Comment Text Char"/>
    <w:basedOn w:val="DefaultParagraphFont"/>
    <w:link w:val="CommentText"/>
    <w:uiPriority w:val="99"/>
    <w:semiHidden/>
    <w:rsid w:val="008A1989"/>
    <w:rPr>
      <w:sz w:val="20"/>
      <w:szCs w:val="20"/>
    </w:rPr>
  </w:style>
  <w:style w:type="paragraph" w:styleId="CommentSubject">
    <w:name w:val="annotation subject"/>
    <w:basedOn w:val="CommentText"/>
    <w:next w:val="CommentText"/>
    <w:link w:val="CommentSubjectChar"/>
    <w:uiPriority w:val="99"/>
    <w:semiHidden/>
    <w:unhideWhenUsed/>
    <w:rsid w:val="008A1989"/>
    <w:rPr>
      <w:b/>
      <w:bCs/>
    </w:rPr>
  </w:style>
  <w:style w:type="character" w:customStyle="1" w:styleId="CommentSubjectChar">
    <w:name w:val="Comment Subject Char"/>
    <w:basedOn w:val="CommentTextChar"/>
    <w:link w:val="CommentSubject"/>
    <w:uiPriority w:val="99"/>
    <w:semiHidden/>
    <w:rsid w:val="008A19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CFF47-33DA-2E4C-99FC-6C850597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3435</Words>
  <Characters>18893</Characters>
  <Application>Microsoft Office Word</Application>
  <DocSecurity>0</DocSecurity>
  <Lines>590</Lines>
  <Paragraphs>405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2020-04-14T15:00:00Z</dcterms:modified>
</cp:coreProperties>
</file>