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Default="00C23890" w:rsidP="00A35784">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E41AC5" w:rsidRPr="009D002B" w:rsidRDefault="00214328" w:rsidP="00A35784"/>
    <w:p w:rsidR="00F64866" w:rsidRPr="005B6D5E" w:rsidRDefault="00C23890" w:rsidP="005B6D5E">
      <w:pPr>
        <w:pStyle w:val="ISMSNormal"/>
        <w:jc w:val="center"/>
        <w:rPr>
          <w:b/>
        </w:rPr>
      </w:pPr>
      <w:r>
        <w:rPr>
          <w:b/>
        </w:rPr>
        <w:t>POLICY AND GUIDANCE</w:t>
      </w:r>
    </w:p>
    <w:p w:rsidR="00F64866" w:rsidRPr="005B6D5E" w:rsidRDefault="00C23890" w:rsidP="005B6D5E">
      <w:pPr>
        <w:pStyle w:val="ISMSNormal"/>
        <w:jc w:val="center"/>
        <w:rPr>
          <w:b/>
        </w:rPr>
      </w:pPr>
      <w:r w:rsidRPr="005B6D5E">
        <w:rPr>
          <w:b/>
        </w:rPr>
        <w:t>Do not Photocopy</w:t>
      </w:r>
    </w:p>
    <w:p w:rsidR="00F64866" w:rsidRPr="005B6D5E" w:rsidRDefault="00214328" w:rsidP="005B6D5E">
      <w:pPr>
        <w:pStyle w:val="ISMSNormal"/>
        <w:jc w:val="center"/>
        <w:rPr>
          <w:b/>
        </w:rPr>
      </w:pPr>
    </w:p>
    <w:p w:rsidR="000154F2" w:rsidRPr="00F06990" w:rsidRDefault="00C23890" w:rsidP="000154F2">
      <w:pPr>
        <w:pStyle w:val="ISMSNormal"/>
        <w:jc w:val="center"/>
        <w:rPr>
          <w:b/>
        </w:rPr>
      </w:pPr>
      <w:r>
        <w:rPr>
          <w:b/>
        </w:rPr>
        <w:t xml:space="preserve">Document Information Classification: </w:t>
      </w:r>
      <w:r w:rsidRPr="00AE1A55">
        <w:rPr>
          <w:b/>
        </w:rPr>
        <w:t>Unrestricted</w:t>
      </w:r>
    </w:p>
    <w:p w:rsidR="00F64866" w:rsidRPr="00A214A6" w:rsidRDefault="00214328"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2518FD" w:rsidTr="00727201">
        <w:trPr>
          <w:jc w:val="center"/>
        </w:trPr>
        <w:tc>
          <w:tcPr>
            <w:tcW w:w="1912" w:type="pct"/>
            <w:tcBorders>
              <w:top w:val="single" w:sz="8" w:space="0" w:color="auto"/>
            </w:tcBorders>
          </w:tcPr>
          <w:p w:rsidR="00F64866" w:rsidRPr="005B6D5E" w:rsidRDefault="00C23890"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C23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ISMS Manual</w:t>
            </w:r>
            <w:r w:rsidRPr="005B6D5E">
              <w:rPr>
                <w:b/>
                <w:lang w:eastAsia="en-GB"/>
              </w:rPr>
              <w:fldChar w:fldCharType="end"/>
            </w:r>
          </w:p>
        </w:tc>
      </w:tr>
      <w:tr w:rsidR="002518FD" w:rsidTr="00727201">
        <w:trPr>
          <w:jc w:val="center"/>
        </w:trPr>
        <w:tc>
          <w:tcPr>
            <w:tcW w:w="1912" w:type="pct"/>
          </w:tcPr>
          <w:p w:rsidR="00F64866" w:rsidRPr="005B6D5E" w:rsidRDefault="00C23890"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C23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Oct 2019</w:t>
            </w:r>
            <w:r w:rsidRPr="005B6D5E">
              <w:rPr>
                <w:b/>
                <w:lang w:eastAsia="en-GB"/>
              </w:rPr>
              <w:fldChar w:fldCharType="end"/>
            </w:r>
          </w:p>
        </w:tc>
      </w:tr>
      <w:tr w:rsidR="002518FD" w:rsidTr="00727201">
        <w:trPr>
          <w:jc w:val="center"/>
        </w:trPr>
        <w:tc>
          <w:tcPr>
            <w:tcW w:w="1912" w:type="pct"/>
          </w:tcPr>
          <w:p w:rsidR="00F64866" w:rsidRPr="005B6D5E" w:rsidRDefault="00C23890"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C23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ISMS-02-10</w:t>
            </w:r>
            <w:r w:rsidRPr="005B6D5E">
              <w:rPr>
                <w:b/>
                <w:lang w:eastAsia="en-GB"/>
              </w:rPr>
              <w:fldChar w:fldCharType="end"/>
            </w:r>
          </w:p>
        </w:tc>
      </w:tr>
      <w:tr w:rsidR="002518FD" w:rsidTr="00727201">
        <w:trPr>
          <w:jc w:val="center"/>
        </w:trPr>
        <w:tc>
          <w:tcPr>
            <w:tcW w:w="1912" w:type="pct"/>
          </w:tcPr>
          <w:p w:rsidR="00F64866" w:rsidRPr="005B6D5E" w:rsidRDefault="00C23890"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C23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2.8</w:t>
            </w:r>
            <w:r w:rsidRPr="005B6D5E">
              <w:rPr>
                <w:b/>
                <w:lang w:eastAsia="en-GB"/>
              </w:rPr>
              <w:fldChar w:fldCharType="end"/>
            </w:r>
          </w:p>
        </w:tc>
      </w:tr>
      <w:tr w:rsidR="002518FD" w:rsidTr="00727201">
        <w:trPr>
          <w:jc w:val="center"/>
        </w:trPr>
        <w:tc>
          <w:tcPr>
            <w:tcW w:w="1912" w:type="pct"/>
          </w:tcPr>
          <w:p w:rsidR="00F64866" w:rsidRPr="005B6D5E" w:rsidRDefault="00C23890" w:rsidP="005B6D5E">
            <w:pPr>
              <w:pStyle w:val="ISMSNormal"/>
              <w:spacing w:before="120" w:after="120"/>
              <w:rPr>
                <w:b/>
                <w:lang w:eastAsia="en-GB"/>
              </w:rPr>
            </w:pPr>
            <w:r w:rsidRPr="005B6D5E">
              <w:rPr>
                <w:b/>
                <w:lang w:eastAsia="en-GB"/>
              </w:rPr>
              <w:t>Owner:</w:t>
            </w:r>
          </w:p>
        </w:tc>
        <w:tc>
          <w:tcPr>
            <w:tcW w:w="3088" w:type="pct"/>
          </w:tcPr>
          <w:p w:rsidR="00F64866" w:rsidRPr="005B6D5E" w:rsidRDefault="00C23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ISMS Management </w:t>
            </w:r>
            <w:r w:rsidRPr="005B6D5E">
              <w:rPr>
                <w:b/>
                <w:lang w:eastAsia="en-GB"/>
              </w:rPr>
              <w:t xml:space="preserve">Process Owner,  </w:t>
            </w:r>
            <w:r w:rsidRPr="005B6D5E">
              <w:rPr>
                <w:b/>
                <w:lang w:eastAsia="en-GB"/>
              </w:rPr>
              <w:fldChar w:fldCharType="end"/>
            </w:r>
          </w:p>
        </w:tc>
      </w:tr>
      <w:tr w:rsidR="002518FD" w:rsidTr="00727201">
        <w:trPr>
          <w:jc w:val="center"/>
        </w:trPr>
        <w:tc>
          <w:tcPr>
            <w:tcW w:w="1912" w:type="pct"/>
            <w:tcBorders>
              <w:bottom w:val="single" w:sz="8" w:space="0" w:color="auto"/>
            </w:tcBorders>
          </w:tcPr>
          <w:p w:rsidR="00F64866" w:rsidRPr="005B6D5E" w:rsidRDefault="00C23890"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C23890"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06 Jun 2020</w:t>
            </w:r>
            <w:r w:rsidRPr="005B6D5E">
              <w:rPr>
                <w:b/>
                <w:lang w:eastAsia="en-GB"/>
              </w:rPr>
              <w:fldChar w:fldCharType="end"/>
            </w:r>
          </w:p>
        </w:tc>
      </w:tr>
    </w:tbl>
    <w:p w:rsidR="00F64866" w:rsidRPr="00A214A6" w:rsidRDefault="00214328" w:rsidP="00A35784"/>
    <w:p w:rsidR="00F64866" w:rsidRPr="00A214A6" w:rsidRDefault="00C23890" w:rsidP="00A35784">
      <w:r w:rsidRPr="00A214A6">
        <w:br w:type="page"/>
      </w:r>
    </w:p>
    <w:p w:rsidR="00A04182" w:rsidRPr="009D002B" w:rsidRDefault="00214328"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C23890" w:rsidP="00A35784">
          <w:pPr>
            <w:pStyle w:val="TOCHeading"/>
          </w:pPr>
          <w:r w:rsidRPr="00A35784">
            <w:t>Table of Contents</w:t>
          </w:r>
        </w:p>
        <w:p w:rsidR="006735AF" w:rsidRPr="006735AF" w:rsidRDefault="00214328" w:rsidP="006735AF">
          <w:pPr>
            <w:rPr>
              <w:lang w:val="en-US" w:eastAsia="ja-JP"/>
            </w:rPr>
          </w:pPr>
        </w:p>
        <w:p w:rsidR="002518FD" w:rsidRDefault="00C23890">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212" w:history="1">
            <w:r>
              <w:rPr>
                <w:rStyle w:val="Hyperlink"/>
              </w:rPr>
              <w:t>1.</w:t>
            </w:r>
            <w:r>
              <w:rPr>
                <w:rFonts w:asciiTheme="minorHAnsi" w:hAnsiTheme="minorHAnsi"/>
                <w:noProof/>
              </w:rPr>
              <w:tab/>
            </w:r>
            <w:r w:rsidRPr="00174E33">
              <w:rPr>
                <w:rStyle w:val="Hyperlink"/>
              </w:rPr>
              <w:t>Purpose</w:t>
            </w:r>
            <w:r>
              <w:tab/>
            </w:r>
            <w:r>
              <w:fldChar w:fldCharType="begin"/>
            </w:r>
            <w:r>
              <w:instrText xml:space="preserve"> PAGEREF _Toc256000212 \h </w:instrText>
            </w:r>
            <w:r>
              <w:fldChar w:fldCharType="separate"/>
            </w:r>
            <w:r>
              <w:t>3</w:t>
            </w:r>
            <w:r>
              <w:fldChar w:fldCharType="end"/>
            </w:r>
          </w:hyperlink>
        </w:p>
        <w:p w:rsidR="002518FD" w:rsidRDefault="00214328">
          <w:pPr>
            <w:pStyle w:val="TOC1"/>
            <w:tabs>
              <w:tab w:val="left" w:pos="480"/>
              <w:tab w:val="right" w:leader="dot" w:pos="9016"/>
            </w:tabs>
            <w:rPr>
              <w:rFonts w:asciiTheme="minorHAnsi" w:hAnsiTheme="minorHAnsi"/>
              <w:noProof/>
            </w:rPr>
          </w:pPr>
          <w:hyperlink w:anchor="_Toc256000213" w:history="1">
            <w:r w:rsidR="00C23890">
              <w:rPr>
                <w:rStyle w:val="Hyperlink"/>
              </w:rPr>
              <w:t>2.</w:t>
            </w:r>
            <w:r w:rsidR="00C23890">
              <w:rPr>
                <w:rFonts w:asciiTheme="minorHAnsi" w:hAnsiTheme="minorHAnsi"/>
                <w:noProof/>
              </w:rPr>
              <w:tab/>
            </w:r>
            <w:r w:rsidR="00C23890">
              <w:rPr>
                <w:rStyle w:val="Hyperlink"/>
              </w:rPr>
              <w:t>Scope</w:t>
            </w:r>
            <w:r w:rsidR="00C23890">
              <w:tab/>
            </w:r>
            <w:r w:rsidR="00C23890">
              <w:fldChar w:fldCharType="begin"/>
            </w:r>
            <w:r w:rsidR="00C23890">
              <w:instrText xml:space="preserve"> PAGEREF _Toc256000213 \h </w:instrText>
            </w:r>
            <w:r w:rsidR="00C23890">
              <w:fldChar w:fldCharType="separate"/>
            </w:r>
            <w:r w:rsidR="00C23890">
              <w:t>3</w:t>
            </w:r>
            <w:r w:rsidR="00C23890">
              <w:fldChar w:fldCharType="end"/>
            </w:r>
          </w:hyperlink>
        </w:p>
        <w:p w:rsidR="002518FD" w:rsidRDefault="00214328">
          <w:pPr>
            <w:pStyle w:val="TOC1"/>
            <w:tabs>
              <w:tab w:val="left" w:pos="480"/>
              <w:tab w:val="right" w:leader="dot" w:pos="9016"/>
            </w:tabs>
            <w:rPr>
              <w:rFonts w:asciiTheme="minorHAnsi" w:hAnsiTheme="minorHAnsi"/>
              <w:noProof/>
            </w:rPr>
          </w:pPr>
          <w:hyperlink w:anchor="_Toc256000214" w:history="1">
            <w:r w:rsidR="00C23890">
              <w:rPr>
                <w:rStyle w:val="Hyperlink"/>
              </w:rPr>
              <w:t>3.</w:t>
            </w:r>
            <w:r w:rsidR="00C23890">
              <w:rPr>
                <w:rFonts w:asciiTheme="minorHAnsi" w:hAnsiTheme="minorHAnsi"/>
                <w:noProof/>
              </w:rPr>
              <w:tab/>
            </w:r>
            <w:r w:rsidR="00C23890">
              <w:rPr>
                <w:rStyle w:val="Hyperlink"/>
              </w:rPr>
              <w:t>Background</w:t>
            </w:r>
            <w:r w:rsidR="00C23890">
              <w:tab/>
            </w:r>
            <w:r w:rsidR="00C23890">
              <w:fldChar w:fldCharType="begin"/>
            </w:r>
            <w:r w:rsidR="00C23890">
              <w:instrText xml:space="preserve"> PAGEREF _Toc256000214 \h </w:instrText>
            </w:r>
            <w:r w:rsidR="00C23890">
              <w:fldChar w:fldCharType="separate"/>
            </w:r>
            <w:r w:rsidR="00C23890">
              <w:t>3</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15" w:history="1">
            <w:r w:rsidR="00C23890">
              <w:rPr>
                <w:rStyle w:val="Hyperlink"/>
              </w:rPr>
              <w:t>3.1.</w:t>
            </w:r>
            <w:r w:rsidR="00C23890">
              <w:rPr>
                <w:rFonts w:asciiTheme="minorHAnsi" w:hAnsiTheme="minorHAnsi"/>
                <w:noProof/>
              </w:rPr>
              <w:tab/>
            </w:r>
            <w:r w:rsidR="00C23890" w:rsidRPr="00174E33">
              <w:rPr>
                <w:rStyle w:val="Hyperlink"/>
              </w:rPr>
              <w:t>Organisation</w:t>
            </w:r>
            <w:r w:rsidR="00C23890">
              <w:tab/>
            </w:r>
            <w:r w:rsidR="00C23890">
              <w:fldChar w:fldCharType="begin"/>
            </w:r>
            <w:r w:rsidR="00C23890">
              <w:instrText xml:space="preserve"> PAGEREF _Toc256000215 \h </w:instrText>
            </w:r>
            <w:r w:rsidR="00C23890">
              <w:fldChar w:fldCharType="separate"/>
            </w:r>
            <w:r w:rsidR="00C23890">
              <w:t>3</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16" w:history="1">
            <w:r w:rsidR="00C23890">
              <w:rPr>
                <w:rStyle w:val="Hyperlink"/>
              </w:rPr>
              <w:t>3.2.</w:t>
            </w:r>
            <w:r w:rsidR="00C23890">
              <w:rPr>
                <w:rFonts w:asciiTheme="minorHAnsi" w:hAnsiTheme="minorHAnsi"/>
                <w:noProof/>
              </w:rPr>
              <w:tab/>
            </w:r>
            <w:r w:rsidR="00C23890">
              <w:rPr>
                <w:rStyle w:val="Hyperlink"/>
              </w:rPr>
              <w:t>Business Strategy</w:t>
            </w:r>
            <w:r w:rsidR="00C23890">
              <w:tab/>
            </w:r>
            <w:r w:rsidR="00C23890">
              <w:fldChar w:fldCharType="begin"/>
            </w:r>
            <w:r w:rsidR="00C23890">
              <w:instrText xml:space="preserve"> PAGEREF _Toc256000216 \h </w:instrText>
            </w:r>
            <w:r w:rsidR="00C23890">
              <w:fldChar w:fldCharType="separate"/>
            </w:r>
            <w:r w:rsidR="00C23890">
              <w:t>3</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17" w:history="1">
            <w:r w:rsidR="00C23890">
              <w:rPr>
                <w:rStyle w:val="Hyperlink"/>
              </w:rPr>
              <w:t>3.3.</w:t>
            </w:r>
            <w:r w:rsidR="00C23890">
              <w:rPr>
                <w:rFonts w:asciiTheme="minorHAnsi" w:hAnsiTheme="minorHAnsi"/>
                <w:noProof/>
              </w:rPr>
              <w:tab/>
            </w:r>
            <w:r w:rsidR="00C23890">
              <w:rPr>
                <w:rStyle w:val="Hyperlink"/>
              </w:rPr>
              <w:t xml:space="preserve">Data Hosting and Management </w:t>
            </w:r>
            <w:r w:rsidR="00C23890" w:rsidRPr="00AF081F">
              <w:rPr>
                <w:rStyle w:val="Hyperlink"/>
              </w:rPr>
              <w:t>Service</w:t>
            </w:r>
            <w:r w:rsidR="00C23890">
              <w:tab/>
            </w:r>
            <w:r w:rsidR="00C23890">
              <w:fldChar w:fldCharType="begin"/>
            </w:r>
            <w:r w:rsidR="00C23890">
              <w:instrText xml:space="preserve"> PAGEREF _Toc256000217 \h </w:instrText>
            </w:r>
            <w:r w:rsidR="00C23890">
              <w:fldChar w:fldCharType="separate"/>
            </w:r>
            <w:r w:rsidR="00C23890">
              <w:t>4</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18" w:history="1">
            <w:r w:rsidR="00C23890">
              <w:rPr>
                <w:rStyle w:val="Hyperlink"/>
              </w:rPr>
              <w:t>3.4.</w:t>
            </w:r>
            <w:r w:rsidR="00C23890">
              <w:rPr>
                <w:rFonts w:asciiTheme="minorHAnsi" w:hAnsiTheme="minorHAnsi"/>
                <w:noProof/>
              </w:rPr>
              <w:tab/>
            </w:r>
            <w:r w:rsidR="00C23890">
              <w:rPr>
                <w:rStyle w:val="Hyperlink"/>
              </w:rPr>
              <w:t>Security Threat Environment</w:t>
            </w:r>
            <w:r w:rsidR="00C23890">
              <w:tab/>
            </w:r>
            <w:r w:rsidR="00C23890">
              <w:fldChar w:fldCharType="begin"/>
            </w:r>
            <w:r w:rsidR="00C23890">
              <w:instrText xml:space="preserve"> PAGEREF _Toc256000218 \h </w:instrText>
            </w:r>
            <w:r w:rsidR="00C23890">
              <w:fldChar w:fldCharType="separate"/>
            </w:r>
            <w:r w:rsidR="00C23890">
              <w:t>5</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19" w:history="1">
            <w:r w:rsidR="00C23890">
              <w:rPr>
                <w:rStyle w:val="Hyperlink"/>
              </w:rPr>
              <w:t>3.5.</w:t>
            </w:r>
            <w:r w:rsidR="00C23890">
              <w:rPr>
                <w:rFonts w:asciiTheme="minorHAnsi" w:hAnsiTheme="minorHAnsi"/>
                <w:noProof/>
              </w:rPr>
              <w:tab/>
            </w:r>
            <w:r w:rsidR="00C23890">
              <w:rPr>
                <w:rStyle w:val="Hyperlink"/>
              </w:rPr>
              <w:t>Regulations and Legislation</w:t>
            </w:r>
            <w:r w:rsidR="00C23890">
              <w:tab/>
            </w:r>
            <w:r w:rsidR="00C23890">
              <w:fldChar w:fldCharType="begin"/>
            </w:r>
            <w:r w:rsidR="00C23890">
              <w:instrText xml:space="preserve"> PAGEREF _Toc256000219 \h </w:instrText>
            </w:r>
            <w:r w:rsidR="00C23890">
              <w:fldChar w:fldCharType="separate"/>
            </w:r>
            <w:r w:rsidR="00C23890">
              <w:t>6</w:t>
            </w:r>
            <w:r w:rsidR="00C23890">
              <w:fldChar w:fldCharType="end"/>
            </w:r>
          </w:hyperlink>
        </w:p>
        <w:p w:rsidR="002518FD" w:rsidRDefault="00214328">
          <w:pPr>
            <w:pStyle w:val="TOC1"/>
            <w:tabs>
              <w:tab w:val="left" w:pos="480"/>
              <w:tab w:val="right" w:leader="dot" w:pos="9016"/>
            </w:tabs>
            <w:rPr>
              <w:rFonts w:asciiTheme="minorHAnsi" w:hAnsiTheme="minorHAnsi"/>
              <w:noProof/>
            </w:rPr>
          </w:pPr>
          <w:hyperlink w:anchor="_Toc256000220" w:history="1">
            <w:r w:rsidR="00C23890">
              <w:rPr>
                <w:rStyle w:val="Hyperlink"/>
              </w:rPr>
              <w:t>4.</w:t>
            </w:r>
            <w:r w:rsidR="00C23890">
              <w:rPr>
                <w:rFonts w:asciiTheme="minorHAnsi" w:hAnsiTheme="minorHAnsi"/>
                <w:noProof/>
              </w:rPr>
              <w:tab/>
            </w:r>
            <w:r w:rsidR="00C23890">
              <w:rPr>
                <w:rStyle w:val="Hyperlink"/>
              </w:rPr>
              <w:t>Principles and Key Objectives</w:t>
            </w:r>
            <w:r w:rsidR="00C23890">
              <w:tab/>
            </w:r>
            <w:r w:rsidR="00C23890">
              <w:fldChar w:fldCharType="begin"/>
            </w:r>
            <w:r w:rsidR="00C23890">
              <w:instrText xml:space="preserve"> PAGEREF _Toc256000220 \h </w:instrText>
            </w:r>
            <w:r w:rsidR="00C23890">
              <w:fldChar w:fldCharType="separate"/>
            </w:r>
            <w:r w:rsidR="00C23890">
              <w:t>6</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21" w:history="1">
            <w:r w:rsidR="00C23890">
              <w:rPr>
                <w:rStyle w:val="Hyperlink"/>
              </w:rPr>
              <w:t>4.1.</w:t>
            </w:r>
            <w:r w:rsidR="00C23890">
              <w:rPr>
                <w:rFonts w:asciiTheme="minorHAnsi" w:hAnsiTheme="minorHAnsi"/>
                <w:noProof/>
              </w:rPr>
              <w:tab/>
            </w:r>
            <w:r w:rsidR="00C23890">
              <w:rPr>
                <w:rStyle w:val="Hyperlink"/>
              </w:rPr>
              <w:t>ISMS Principles</w:t>
            </w:r>
            <w:r w:rsidR="00C23890">
              <w:tab/>
            </w:r>
            <w:r w:rsidR="00C23890">
              <w:fldChar w:fldCharType="begin"/>
            </w:r>
            <w:r w:rsidR="00C23890">
              <w:instrText xml:space="preserve"> PAGEREF _Toc256000221 \h </w:instrText>
            </w:r>
            <w:r w:rsidR="00C23890">
              <w:fldChar w:fldCharType="separate"/>
            </w:r>
            <w:r w:rsidR="00C23890">
              <w:t>6</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22" w:history="1">
            <w:r w:rsidR="00C23890">
              <w:rPr>
                <w:rStyle w:val="Hyperlink"/>
              </w:rPr>
              <w:t>4.2.</w:t>
            </w:r>
            <w:r w:rsidR="00C23890">
              <w:rPr>
                <w:rFonts w:asciiTheme="minorHAnsi" w:hAnsiTheme="minorHAnsi"/>
                <w:noProof/>
              </w:rPr>
              <w:tab/>
            </w:r>
            <w:r w:rsidR="00C23890">
              <w:rPr>
                <w:rStyle w:val="Hyperlink"/>
              </w:rPr>
              <w:t>Key Objectives</w:t>
            </w:r>
            <w:r w:rsidR="00C23890">
              <w:tab/>
            </w:r>
            <w:r w:rsidR="00C23890">
              <w:fldChar w:fldCharType="begin"/>
            </w:r>
            <w:r w:rsidR="00C23890">
              <w:instrText xml:space="preserve"> PAGEREF _Toc256000222 \h </w:instrText>
            </w:r>
            <w:r w:rsidR="00C23890">
              <w:fldChar w:fldCharType="separate"/>
            </w:r>
            <w:r w:rsidR="00C23890">
              <w:t>6</w:t>
            </w:r>
            <w:r w:rsidR="00C23890">
              <w:fldChar w:fldCharType="end"/>
            </w:r>
          </w:hyperlink>
        </w:p>
        <w:p w:rsidR="002518FD" w:rsidRDefault="00214328">
          <w:pPr>
            <w:pStyle w:val="TOC1"/>
            <w:tabs>
              <w:tab w:val="left" w:pos="480"/>
              <w:tab w:val="right" w:leader="dot" w:pos="9016"/>
            </w:tabs>
            <w:rPr>
              <w:rFonts w:asciiTheme="minorHAnsi" w:hAnsiTheme="minorHAnsi"/>
              <w:noProof/>
            </w:rPr>
          </w:pPr>
          <w:hyperlink w:anchor="_Toc256000223" w:history="1">
            <w:r w:rsidR="00C23890">
              <w:rPr>
                <w:rStyle w:val="Hyperlink"/>
              </w:rPr>
              <w:t>5.</w:t>
            </w:r>
            <w:r w:rsidR="00C23890">
              <w:rPr>
                <w:rFonts w:asciiTheme="minorHAnsi" w:hAnsiTheme="minorHAnsi"/>
                <w:noProof/>
              </w:rPr>
              <w:tab/>
            </w:r>
            <w:r w:rsidR="00C23890" w:rsidRPr="007623E9">
              <w:rPr>
                <w:rStyle w:val="Hyperlink"/>
              </w:rPr>
              <w:t>Approach</w:t>
            </w:r>
            <w:r w:rsidR="00C23890">
              <w:tab/>
            </w:r>
            <w:r w:rsidR="00C23890">
              <w:fldChar w:fldCharType="begin"/>
            </w:r>
            <w:r w:rsidR="00C23890">
              <w:instrText xml:space="preserve"> PAGEREF _Toc256000223 \h </w:instrText>
            </w:r>
            <w:r w:rsidR="00C23890">
              <w:fldChar w:fldCharType="separate"/>
            </w:r>
            <w:r w:rsidR="00C23890">
              <w:t>7</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24" w:history="1">
            <w:r w:rsidR="00C23890">
              <w:rPr>
                <w:rStyle w:val="Hyperlink"/>
              </w:rPr>
              <w:t>5.1.</w:t>
            </w:r>
            <w:r w:rsidR="00C23890">
              <w:rPr>
                <w:rFonts w:asciiTheme="minorHAnsi" w:hAnsiTheme="minorHAnsi"/>
                <w:noProof/>
              </w:rPr>
              <w:tab/>
            </w:r>
            <w:r w:rsidR="00C23890">
              <w:rPr>
                <w:rStyle w:val="Hyperlink"/>
              </w:rPr>
              <w:t>Management of Objectives</w:t>
            </w:r>
            <w:r w:rsidR="00C23890">
              <w:tab/>
            </w:r>
            <w:r w:rsidR="00C23890">
              <w:fldChar w:fldCharType="begin"/>
            </w:r>
            <w:r w:rsidR="00C23890">
              <w:instrText xml:space="preserve"> PAGEREF _Toc256000224 \h </w:instrText>
            </w:r>
            <w:r w:rsidR="00C23890">
              <w:fldChar w:fldCharType="separate"/>
            </w:r>
            <w:r w:rsidR="00C23890">
              <w:t>7</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25" w:history="1">
            <w:r w:rsidR="00C23890">
              <w:rPr>
                <w:rStyle w:val="Hyperlink"/>
              </w:rPr>
              <w:t>5.2.</w:t>
            </w:r>
            <w:r w:rsidR="00C23890">
              <w:rPr>
                <w:rFonts w:asciiTheme="minorHAnsi" w:hAnsiTheme="minorHAnsi"/>
                <w:noProof/>
              </w:rPr>
              <w:tab/>
            </w:r>
            <w:r w:rsidR="00C23890">
              <w:rPr>
                <w:rStyle w:val="Hyperlink"/>
              </w:rPr>
              <w:t>Controls Statement of Applicability</w:t>
            </w:r>
            <w:r w:rsidR="00C23890">
              <w:tab/>
            </w:r>
            <w:r w:rsidR="00C23890">
              <w:fldChar w:fldCharType="begin"/>
            </w:r>
            <w:r w:rsidR="00C23890">
              <w:instrText xml:space="preserve"> PAGEREF _Toc256000225 \h </w:instrText>
            </w:r>
            <w:r w:rsidR="00C23890">
              <w:fldChar w:fldCharType="separate"/>
            </w:r>
            <w:r w:rsidR="00C23890">
              <w:t>7</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26" w:history="1">
            <w:r w:rsidR="00C23890">
              <w:rPr>
                <w:rStyle w:val="Hyperlink"/>
              </w:rPr>
              <w:t>5.3.</w:t>
            </w:r>
            <w:r w:rsidR="00C23890">
              <w:rPr>
                <w:rFonts w:asciiTheme="minorHAnsi" w:hAnsiTheme="minorHAnsi"/>
                <w:noProof/>
              </w:rPr>
              <w:tab/>
            </w:r>
            <w:r w:rsidR="00C23890">
              <w:rPr>
                <w:rStyle w:val="Hyperlink"/>
              </w:rPr>
              <w:t xml:space="preserve">ISMS </w:t>
            </w:r>
            <w:r w:rsidR="00C23890" w:rsidRPr="00356EA2">
              <w:rPr>
                <w:rStyle w:val="Hyperlink"/>
              </w:rPr>
              <w:t>Process</w:t>
            </w:r>
            <w:r w:rsidR="00C23890">
              <w:rPr>
                <w:rStyle w:val="Hyperlink"/>
              </w:rPr>
              <w:t>es</w:t>
            </w:r>
            <w:r w:rsidR="00C23890">
              <w:tab/>
            </w:r>
            <w:r w:rsidR="00C23890">
              <w:fldChar w:fldCharType="begin"/>
            </w:r>
            <w:r w:rsidR="00C23890">
              <w:instrText xml:space="preserve"> PAGEREF _Toc256000226 \h </w:instrText>
            </w:r>
            <w:r w:rsidR="00C23890">
              <w:fldChar w:fldCharType="separate"/>
            </w:r>
            <w:r w:rsidR="00C23890">
              <w:t>8</w:t>
            </w:r>
            <w:r w:rsidR="00C23890">
              <w:fldChar w:fldCharType="end"/>
            </w:r>
          </w:hyperlink>
        </w:p>
        <w:p w:rsidR="002518FD" w:rsidRDefault="00214328">
          <w:pPr>
            <w:pStyle w:val="TOC2"/>
            <w:tabs>
              <w:tab w:val="left" w:pos="880"/>
              <w:tab w:val="right" w:leader="dot" w:pos="9016"/>
            </w:tabs>
            <w:rPr>
              <w:rFonts w:asciiTheme="minorHAnsi" w:hAnsiTheme="minorHAnsi"/>
              <w:noProof/>
            </w:rPr>
          </w:pPr>
          <w:hyperlink w:anchor="_Toc256000227" w:history="1">
            <w:r w:rsidR="00C23890">
              <w:rPr>
                <w:rStyle w:val="Hyperlink"/>
              </w:rPr>
              <w:t>5.4.</w:t>
            </w:r>
            <w:r w:rsidR="00C23890">
              <w:rPr>
                <w:rFonts w:asciiTheme="minorHAnsi" w:hAnsiTheme="minorHAnsi"/>
                <w:noProof/>
              </w:rPr>
              <w:tab/>
            </w:r>
            <w:r w:rsidR="00C23890">
              <w:rPr>
                <w:rStyle w:val="Hyperlink"/>
              </w:rPr>
              <w:t>Use of Q-Pulse</w:t>
            </w:r>
            <w:r w:rsidR="00C23890">
              <w:tab/>
            </w:r>
            <w:r w:rsidR="00C23890">
              <w:fldChar w:fldCharType="begin"/>
            </w:r>
            <w:r w:rsidR="00C23890">
              <w:instrText xml:space="preserve"> PAGEREF _Toc256000227 \h </w:instrText>
            </w:r>
            <w:r w:rsidR="00C23890">
              <w:fldChar w:fldCharType="separate"/>
            </w:r>
            <w:r w:rsidR="00C23890">
              <w:t>10</w:t>
            </w:r>
            <w:r w:rsidR="00C23890">
              <w:fldChar w:fldCharType="end"/>
            </w:r>
          </w:hyperlink>
        </w:p>
        <w:p w:rsidR="002518FD" w:rsidRDefault="00214328">
          <w:pPr>
            <w:pStyle w:val="TOC1"/>
            <w:tabs>
              <w:tab w:val="left" w:pos="480"/>
              <w:tab w:val="right" w:leader="dot" w:pos="9016"/>
            </w:tabs>
            <w:rPr>
              <w:rFonts w:asciiTheme="minorHAnsi" w:hAnsiTheme="minorHAnsi"/>
              <w:noProof/>
            </w:rPr>
          </w:pPr>
          <w:hyperlink w:anchor="_Toc256000228" w:history="1">
            <w:r w:rsidR="00C23890">
              <w:rPr>
                <w:rStyle w:val="Hyperlink"/>
              </w:rPr>
              <w:t>6.</w:t>
            </w:r>
            <w:r w:rsidR="00C23890">
              <w:rPr>
                <w:rFonts w:asciiTheme="minorHAnsi" w:hAnsiTheme="minorHAnsi"/>
                <w:noProof/>
              </w:rPr>
              <w:tab/>
            </w:r>
            <w:r w:rsidR="00C23890" w:rsidRPr="00356EA2">
              <w:rPr>
                <w:rStyle w:val="Hyperlink"/>
              </w:rPr>
              <w:t>Cross-references</w:t>
            </w:r>
            <w:r w:rsidR="00C23890">
              <w:tab/>
            </w:r>
            <w:r w:rsidR="00C23890">
              <w:fldChar w:fldCharType="begin"/>
            </w:r>
            <w:r w:rsidR="00C23890">
              <w:instrText xml:space="preserve"> PAGEREF _Toc256000228 \h </w:instrText>
            </w:r>
            <w:r w:rsidR="00C23890">
              <w:fldChar w:fldCharType="separate"/>
            </w:r>
            <w:r w:rsidR="00C23890">
              <w:t>10</w:t>
            </w:r>
            <w:r w:rsidR="00C23890">
              <w:fldChar w:fldCharType="end"/>
            </w:r>
          </w:hyperlink>
        </w:p>
        <w:p w:rsidR="002518FD" w:rsidRDefault="00214328">
          <w:pPr>
            <w:pStyle w:val="TOC1"/>
            <w:tabs>
              <w:tab w:val="left" w:pos="480"/>
              <w:tab w:val="right" w:leader="dot" w:pos="9016"/>
            </w:tabs>
            <w:rPr>
              <w:rFonts w:asciiTheme="minorHAnsi" w:hAnsiTheme="minorHAnsi"/>
              <w:noProof/>
            </w:rPr>
          </w:pPr>
          <w:hyperlink w:anchor="_Toc256000229" w:history="1">
            <w:r w:rsidR="00C23890">
              <w:rPr>
                <w:rStyle w:val="Hyperlink"/>
              </w:rPr>
              <w:t>7.</w:t>
            </w:r>
            <w:r w:rsidR="00C23890">
              <w:rPr>
                <w:rFonts w:asciiTheme="minorHAnsi" w:hAnsiTheme="minorHAnsi"/>
                <w:noProof/>
              </w:rPr>
              <w:tab/>
            </w:r>
            <w:r w:rsidR="00C23890" w:rsidRPr="00356EA2">
              <w:rPr>
                <w:rStyle w:val="Hyperlink"/>
              </w:rPr>
              <w:t>Appendices</w:t>
            </w:r>
            <w:r w:rsidR="00C23890">
              <w:tab/>
            </w:r>
            <w:r w:rsidR="00C23890">
              <w:fldChar w:fldCharType="begin"/>
            </w:r>
            <w:r w:rsidR="00C23890">
              <w:instrText xml:space="preserve"> PAGEREF _Toc256000229 \h </w:instrText>
            </w:r>
            <w:r w:rsidR="00C23890">
              <w:fldChar w:fldCharType="separate"/>
            </w:r>
            <w:r w:rsidR="00C23890">
              <w:t>10</w:t>
            </w:r>
            <w:r w:rsidR="00C23890">
              <w:fldChar w:fldCharType="end"/>
            </w:r>
          </w:hyperlink>
        </w:p>
        <w:p w:rsidR="002518FD" w:rsidRDefault="00C23890" w:rsidP="006735AF">
          <w:pPr>
            <w:pStyle w:val="TOCHeading"/>
            <w:jc w:val="left"/>
          </w:pPr>
          <w:r>
            <w:fldChar w:fldCharType="end"/>
          </w:r>
        </w:p>
      </w:sdtContent>
    </w:sdt>
    <w:p w:rsidR="007E2A2B" w:rsidRDefault="00C23890" w:rsidP="007E2A2B">
      <w:pPr>
        <w:pStyle w:val="ISMSHeading1"/>
      </w:pPr>
      <w:r>
        <w:br w:type="page"/>
      </w:r>
      <w:bookmarkStart w:id="0" w:name="_Toc256000212"/>
      <w:bookmarkStart w:id="1" w:name="_Toc256000194"/>
      <w:bookmarkStart w:id="2" w:name="_Toc256000176"/>
      <w:bookmarkStart w:id="3" w:name="_Toc256000158"/>
      <w:bookmarkStart w:id="4" w:name="_Toc256000140"/>
      <w:bookmarkStart w:id="5" w:name="_Toc256000006"/>
      <w:bookmarkStart w:id="6" w:name="_Toc256000110"/>
      <w:bookmarkStart w:id="7" w:name="_Toc256000092"/>
      <w:bookmarkStart w:id="8" w:name="_Toc256000074"/>
      <w:bookmarkStart w:id="9" w:name="_Toc256000056"/>
      <w:bookmarkStart w:id="10" w:name="_Toc256000038"/>
      <w:bookmarkStart w:id="11" w:name="_Toc256000020"/>
      <w:bookmarkStart w:id="12" w:name="_Toc256000001"/>
      <w:bookmarkStart w:id="13" w:name="_Toc256000000"/>
      <w:bookmarkStart w:id="14" w:name="_Toc507579045"/>
      <w:bookmarkStart w:id="15" w:name="_Toc510689469"/>
      <w:bookmarkStart w:id="16" w:name="_Toc957725"/>
      <w:bookmarkStart w:id="17" w:name="_Toc481579862"/>
      <w:bookmarkStart w:id="18" w:name="_Toc497895134"/>
      <w:r w:rsidRPr="00174E33">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7D3D7E" w:rsidRDefault="00C23890" w:rsidP="007E2A2B">
      <w:pPr>
        <w:pStyle w:val="ISMSNormal"/>
      </w:pPr>
      <w:r>
        <w:t xml:space="preserve">To implement an information security policy it is necessary </w:t>
      </w:r>
      <w:r w:rsidRPr="00356EA2">
        <w:t>to set out the organi</w:t>
      </w:r>
      <w:r>
        <w:t>s</w:t>
      </w:r>
      <w:r w:rsidRPr="00356EA2">
        <w:t>ation’s approach to managing its information security objectives</w:t>
      </w:r>
      <w:r>
        <w:t>. In particular this approach should address the requirements created by the business strategy, regulations and legislation and the information security threat environment.</w:t>
      </w:r>
    </w:p>
    <w:p w:rsidR="007D3D7E" w:rsidRDefault="00214328" w:rsidP="007E2A2B">
      <w:pPr>
        <w:pStyle w:val="ISMSNormal"/>
      </w:pPr>
    </w:p>
    <w:p w:rsidR="007E2A2B" w:rsidRDefault="00C23890" w:rsidP="007E2A2B">
      <w:pPr>
        <w:pStyle w:val="ISMSNormal"/>
      </w:pPr>
      <w:r w:rsidRPr="00BD030F">
        <w:t xml:space="preserve">This document </w:t>
      </w:r>
      <w:r w:rsidRPr="00356EA2">
        <w:rPr>
          <w:lang w:val="en-GB"/>
        </w:rPr>
        <w:t>summarises</w:t>
      </w:r>
      <w:r w:rsidRPr="00BD030F">
        <w:t xml:space="preserve"> </w:t>
      </w:r>
      <w:r>
        <w:t>the critical factors that influence this organisation’s approach to information security and defines the objectives and principles that will guide all activities relating to information security.</w:t>
      </w:r>
    </w:p>
    <w:p w:rsidR="007E2A2B" w:rsidRDefault="00214328" w:rsidP="007E2A2B">
      <w:pPr>
        <w:pStyle w:val="ISMSNormal"/>
        <w:rPr>
          <w:lang w:val="en-GB"/>
        </w:rPr>
      </w:pPr>
    </w:p>
    <w:p w:rsidR="007E2A2B" w:rsidRDefault="00C23890" w:rsidP="007E2A2B">
      <w:pPr>
        <w:pStyle w:val="ISMSHeading1"/>
      </w:pPr>
      <w:bookmarkStart w:id="19" w:name="_Toc256000213"/>
      <w:bookmarkStart w:id="20" w:name="_Toc256000195"/>
      <w:bookmarkStart w:id="21" w:name="_Toc256000177"/>
      <w:bookmarkStart w:id="22" w:name="_Toc256000159"/>
      <w:bookmarkStart w:id="23" w:name="_Toc256000141"/>
      <w:bookmarkStart w:id="24" w:name="_Toc256000007"/>
      <w:bookmarkStart w:id="25" w:name="_Toc256000111"/>
      <w:bookmarkStart w:id="26" w:name="_Toc256000093"/>
      <w:bookmarkStart w:id="27" w:name="_Toc256000075"/>
      <w:bookmarkStart w:id="28" w:name="_Toc256000057"/>
      <w:bookmarkStart w:id="29" w:name="_Toc256000039"/>
      <w:bookmarkStart w:id="30" w:name="_Toc256000021"/>
      <w:bookmarkStart w:id="31" w:name="_Toc256000002"/>
      <w:bookmarkStart w:id="32" w:name="_Toc507579046"/>
      <w:bookmarkStart w:id="33" w:name="_Toc510689470"/>
      <w:bookmarkStart w:id="34" w:name="_Toc957726"/>
      <w:r>
        <w:t>Scope</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7E2A2B" w:rsidRPr="00DD56E0" w:rsidRDefault="00C23890" w:rsidP="007E2A2B">
      <w:pPr>
        <w:pStyle w:val="ISMSNormal"/>
        <w:rPr>
          <w:lang w:val="en-GB"/>
        </w:rPr>
      </w:pPr>
      <w:r>
        <w:rPr>
          <w:lang w:val="en-GB"/>
        </w:rPr>
        <w:t xml:space="preserve">The Information Management Security System that </w:t>
      </w:r>
      <w:r w:rsidRPr="00D05A80">
        <w:t xml:space="preserve">covers the development and operation of a Trusted Research Environment </w:t>
      </w:r>
      <w:r>
        <w:t xml:space="preserve">(TRE) </w:t>
      </w:r>
      <w:r w:rsidRPr="00D05A80">
        <w:t>and associated services from within the Centre of Health Informatics</w:t>
      </w:r>
      <w:r>
        <w:t xml:space="preserve"> (CHI)</w:t>
      </w:r>
      <w:r w:rsidRPr="00D05A80">
        <w:t>, The University of Manchester.</w:t>
      </w:r>
    </w:p>
    <w:p w:rsidR="007E2A2B" w:rsidRDefault="00214328" w:rsidP="007E2A2B">
      <w:pPr>
        <w:pStyle w:val="ISMSNormal"/>
        <w:rPr>
          <w:lang w:val="en-GB"/>
        </w:rPr>
      </w:pPr>
    </w:p>
    <w:p w:rsidR="007E2A2B" w:rsidRDefault="00C23890" w:rsidP="007E2A2B">
      <w:pPr>
        <w:pStyle w:val="ISMSHeading1"/>
      </w:pPr>
      <w:bookmarkStart w:id="35" w:name="_Toc256000214"/>
      <w:bookmarkStart w:id="36" w:name="_Toc256000196"/>
      <w:bookmarkStart w:id="37" w:name="_Toc256000178"/>
      <w:bookmarkStart w:id="38" w:name="_Toc256000160"/>
      <w:bookmarkStart w:id="39" w:name="_Toc256000142"/>
      <w:bookmarkStart w:id="40" w:name="_Toc256000008"/>
      <w:bookmarkStart w:id="41" w:name="_Toc256000112"/>
      <w:bookmarkStart w:id="42" w:name="_Toc256000094"/>
      <w:bookmarkStart w:id="43" w:name="_Toc256000076"/>
      <w:bookmarkStart w:id="44" w:name="_Toc256000058"/>
      <w:bookmarkStart w:id="45" w:name="_Toc256000040"/>
      <w:bookmarkStart w:id="46" w:name="_Toc256000022"/>
      <w:bookmarkStart w:id="47" w:name="_Toc256000003"/>
      <w:bookmarkStart w:id="48" w:name="_Toc507579047"/>
      <w:bookmarkStart w:id="49" w:name="_Toc510689471"/>
      <w:bookmarkStart w:id="50" w:name="_Toc957727"/>
      <w:r>
        <w:t>Background</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7E2A2B" w:rsidRPr="00D05A80" w:rsidRDefault="00C23890" w:rsidP="007E2A2B">
      <w:pPr>
        <w:pStyle w:val="ISMSHeading2"/>
      </w:pPr>
      <w:bookmarkStart w:id="51" w:name="_Toc256000215"/>
      <w:bookmarkStart w:id="52" w:name="_Toc256000197"/>
      <w:bookmarkStart w:id="53" w:name="_Toc256000179"/>
      <w:bookmarkStart w:id="54" w:name="_Toc256000161"/>
      <w:bookmarkStart w:id="55" w:name="_Toc256000143"/>
      <w:bookmarkStart w:id="56" w:name="_Toc256000009"/>
      <w:bookmarkStart w:id="57" w:name="_Toc256000113"/>
      <w:bookmarkStart w:id="58" w:name="_Toc256000095"/>
      <w:bookmarkStart w:id="59" w:name="_Toc256000077"/>
      <w:bookmarkStart w:id="60" w:name="_Toc256000059"/>
      <w:bookmarkStart w:id="61" w:name="_Toc256000041"/>
      <w:bookmarkStart w:id="62" w:name="_Toc256000023"/>
      <w:bookmarkStart w:id="63" w:name="_Toc256000004"/>
      <w:bookmarkStart w:id="64" w:name="_Toc507579048"/>
      <w:bookmarkStart w:id="65" w:name="_Toc510689472"/>
      <w:bookmarkStart w:id="66" w:name="_Toc957728"/>
      <w:r w:rsidRPr="00174E33">
        <w:t>Organisation</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7E2A2B" w:rsidRDefault="00C23890" w:rsidP="007E2A2B">
      <w:pPr>
        <w:pStyle w:val="ISMSNormal"/>
      </w:pPr>
      <w:r w:rsidRPr="00BC79B5">
        <w:t>The Health eResearch Centre (HeRC) is a regional partnership between four universities, the NHS and a network of industry partners and is funded by grants from research councils, government departments and charities. Working together we form a powerhouse of health data science operating across the North of England and we are a founding member of the UK-wide Farr Institute for Health Informatics.</w:t>
      </w:r>
      <w:r>
        <w:t xml:space="preserve"> </w:t>
      </w:r>
    </w:p>
    <w:p w:rsidR="007D3D7E" w:rsidRDefault="00214328" w:rsidP="007E2A2B">
      <w:pPr>
        <w:pStyle w:val="ISMSNormal"/>
      </w:pPr>
    </w:p>
    <w:p w:rsidR="007E2A2B" w:rsidRDefault="00C23890" w:rsidP="007E2A2B">
      <w:pPr>
        <w:pStyle w:val="ISMSNormal"/>
      </w:pPr>
      <w:r w:rsidRPr="001C0DBA">
        <w:t>A</w:t>
      </w:r>
      <w:r>
        <w:t xml:space="preserve">s part of HeRC, </w:t>
      </w:r>
      <w:r w:rsidRPr="001C0DBA">
        <w:t xml:space="preserve">the </w:t>
      </w:r>
      <w:r>
        <w:t xml:space="preserve">Centre for Health Informatics (CHI) at the University of Manchester </w:t>
      </w:r>
      <w:r w:rsidRPr="001C0DBA">
        <w:t>bring</w:t>
      </w:r>
      <w:r>
        <w:t>s</w:t>
      </w:r>
      <w:r w:rsidRPr="001C0DBA">
        <w:t xml:space="preserve"> together a multi-disciplinary team of researchers, developers and clinicians to understand more about how under-used health data can be re-purposed to improve health.</w:t>
      </w:r>
    </w:p>
    <w:p w:rsidR="00E61B0A" w:rsidRDefault="00214328" w:rsidP="007E2A2B">
      <w:pPr>
        <w:pStyle w:val="ISMSNormal"/>
      </w:pPr>
    </w:p>
    <w:p w:rsidR="007E2A2B" w:rsidRDefault="00C23890" w:rsidP="007E2A2B">
      <w:pPr>
        <w:pStyle w:val="ISMSHeading2"/>
      </w:pPr>
      <w:bookmarkStart w:id="67" w:name="_Toc256000216"/>
      <w:bookmarkStart w:id="68" w:name="_Toc256000198"/>
      <w:bookmarkStart w:id="69" w:name="_Toc256000180"/>
      <w:bookmarkStart w:id="70" w:name="_Toc256000162"/>
      <w:bookmarkStart w:id="71" w:name="_Toc256000144"/>
      <w:bookmarkStart w:id="72" w:name="_Toc256000010"/>
      <w:bookmarkStart w:id="73" w:name="_Toc256000114"/>
      <w:bookmarkStart w:id="74" w:name="_Toc256000096"/>
      <w:bookmarkStart w:id="75" w:name="_Toc256000078"/>
      <w:bookmarkStart w:id="76" w:name="_Toc256000060"/>
      <w:bookmarkStart w:id="77" w:name="_Toc256000042"/>
      <w:bookmarkStart w:id="78" w:name="_Toc256000024"/>
      <w:bookmarkStart w:id="79" w:name="_Toc256000005"/>
      <w:bookmarkStart w:id="80" w:name="_Toc507579049"/>
      <w:bookmarkStart w:id="81" w:name="_Toc510689473"/>
      <w:bookmarkStart w:id="82" w:name="_Toc957729"/>
      <w:r>
        <w:t>Business Strategy</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7E2A2B" w:rsidRDefault="00C23890" w:rsidP="007E2A2B">
      <w:pPr>
        <w:pStyle w:val="ISMSNormal"/>
        <w:rPr>
          <w:lang w:val="en-GB"/>
        </w:rPr>
      </w:pPr>
      <w:r>
        <w:rPr>
          <w:lang w:val="en-GB"/>
        </w:rPr>
        <w:t>At CHI we routinely collect data to understand more about diseases; what causes them and how they develop. We are also looking at ways that patients can help to generate data that will help them and their health professionals understand more about how their symptoms affect them on a day-today basis.</w:t>
      </w:r>
    </w:p>
    <w:p w:rsidR="007D3D7E" w:rsidRDefault="00214328" w:rsidP="007E2A2B">
      <w:pPr>
        <w:pStyle w:val="ISMSNormal"/>
        <w:rPr>
          <w:lang w:val="en-GB"/>
        </w:rPr>
      </w:pPr>
    </w:p>
    <w:p w:rsidR="007E2A2B" w:rsidRDefault="00C23890" w:rsidP="007E2A2B">
      <w:pPr>
        <w:pStyle w:val="ISMSNormal"/>
        <w:rPr>
          <w:lang w:val="en-GB"/>
        </w:rPr>
      </w:pPr>
      <w:r>
        <w:rPr>
          <w:lang w:val="en-GB"/>
        </w:rPr>
        <w:t xml:space="preserve">Data is our business and all data collected, analysed and handled by our researchers must be done in accordance with all legal standards. </w:t>
      </w:r>
    </w:p>
    <w:p w:rsidR="007D3D7E" w:rsidRDefault="00214328" w:rsidP="007E2A2B">
      <w:pPr>
        <w:pStyle w:val="ISMSNormal"/>
        <w:rPr>
          <w:lang w:val="en-GB"/>
        </w:rPr>
      </w:pPr>
    </w:p>
    <w:p w:rsidR="007E2A2B" w:rsidRDefault="00C23890" w:rsidP="007E2A2B">
      <w:pPr>
        <w:pStyle w:val="ISMSNormal"/>
      </w:pPr>
      <w:r w:rsidRPr="00AF081F">
        <w:rPr>
          <w:lang w:val="en-GB"/>
        </w:rPr>
        <w:t xml:space="preserve">In order to </w:t>
      </w:r>
      <w:r>
        <w:rPr>
          <w:lang w:val="en-GB"/>
        </w:rPr>
        <w:t xml:space="preserve">remain </w:t>
      </w:r>
      <w:r w:rsidRPr="00AF081F">
        <w:rPr>
          <w:lang w:val="en-GB"/>
        </w:rPr>
        <w:t>a</w:t>
      </w:r>
      <w:r>
        <w:rPr>
          <w:lang w:val="en-GB"/>
        </w:rPr>
        <w:t xml:space="preserve">mongst the leaders in the field of </w:t>
      </w:r>
      <w:r w:rsidRPr="00AF081F">
        <w:t>health data science and</w:t>
      </w:r>
      <w:r>
        <w:t xml:space="preserve"> to</w:t>
      </w:r>
      <w:r w:rsidRPr="00AF081F">
        <w:t xml:space="preserve"> support </w:t>
      </w:r>
      <w:r>
        <w:t xml:space="preserve">new and </w:t>
      </w:r>
      <w:r w:rsidRPr="00AF081F">
        <w:rPr>
          <w:lang w:val="en-GB"/>
        </w:rPr>
        <w:t xml:space="preserve">existing research projects </w:t>
      </w:r>
      <w:r>
        <w:t>C</w:t>
      </w:r>
      <w:r w:rsidRPr="00AF081F">
        <w:t xml:space="preserve">HI must provide a secure data hosting and management service. Using a combination of public health information and the technology </w:t>
      </w:r>
      <w:r>
        <w:t xml:space="preserve">this can </w:t>
      </w:r>
      <w:r w:rsidRPr="00AF081F">
        <w:t xml:space="preserve">support the delivery of multidisciplinary research projects that are at the forefront of </w:t>
      </w:r>
      <w:r>
        <w:t>t</w:t>
      </w:r>
      <w:r w:rsidRPr="00AF081F">
        <w:t>he science of Health Informatics.</w:t>
      </w:r>
    </w:p>
    <w:p w:rsidR="007E2A2B" w:rsidRDefault="00214328" w:rsidP="007E2A2B">
      <w:pPr>
        <w:pStyle w:val="ISMSNormal"/>
        <w:rPr>
          <w:lang w:val="en-GB"/>
        </w:rPr>
      </w:pPr>
    </w:p>
    <w:p w:rsidR="007E2A2B" w:rsidRPr="00AF081F" w:rsidRDefault="00C23890" w:rsidP="007E2A2B">
      <w:pPr>
        <w:pStyle w:val="ISMSHeading2"/>
      </w:pPr>
      <w:bookmarkStart w:id="83" w:name="_Toc256000217"/>
      <w:bookmarkStart w:id="84" w:name="_Toc256000199"/>
      <w:bookmarkStart w:id="85" w:name="_Toc256000181"/>
      <w:bookmarkStart w:id="86" w:name="_Toc256000163"/>
      <w:bookmarkStart w:id="87" w:name="_Toc256000145"/>
      <w:bookmarkStart w:id="88" w:name="_Toc256000011"/>
      <w:bookmarkStart w:id="89" w:name="_Toc256000115"/>
      <w:bookmarkStart w:id="90" w:name="_Toc256000097"/>
      <w:bookmarkStart w:id="91" w:name="_Toc256000079"/>
      <w:bookmarkStart w:id="92" w:name="_Toc256000061"/>
      <w:bookmarkStart w:id="93" w:name="_Toc256000043"/>
      <w:bookmarkStart w:id="94" w:name="_Toc256000025"/>
      <w:bookmarkStart w:id="95" w:name="_Toc507579050"/>
      <w:bookmarkStart w:id="96" w:name="_Toc510689474"/>
      <w:bookmarkStart w:id="97" w:name="_Toc957730"/>
      <w:r>
        <w:lastRenderedPageBreak/>
        <w:t xml:space="preserve">Data Hosting and Management </w:t>
      </w:r>
      <w:r w:rsidRPr="00AF081F">
        <w:t>Service</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7E2A2B" w:rsidRDefault="00C23890" w:rsidP="007E2A2B">
      <w:pPr>
        <w:pStyle w:val="ISMSNormal"/>
      </w:pPr>
      <w:r w:rsidRPr="00BD030F">
        <w:t xml:space="preserve">The </w:t>
      </w:r>
      <w:r>
        <w:t>Trustworthy Research Environment (TRE)</w:t>
      </w:r>
      <w:r w:rsidRPr="00BD030F">
        <w:t xml:space="preserve"> is a facility hosted at the University of Manchester, managed and operated by staff at the Centre for Health Informatics. The facility is funded by grants from the Medical Research Council (MRC) and will be used by approved researchers</w:t>
      </w:r>
      <w:r>
        <w:t xml:space="preserve"> to </w:t>
      </w:r>
      <w:r w:rsidRPr="003963AF">
        <w:t>enable new science and accelerate existing science</w:t>
      </w:r>
      <w:r w:rsidRPr="00BD030F">
        <w:t>.</w:t>
      </w:r>
      <w:r>
        <w:t xml:space="preserve"> </w:t>
      </w:r>
    </w:p>
    <w:p w:rsidR="007E2A2B" w:rsidRDefault="00214328" w:rsidP="007E2A2B">
      <w:pPr>
        <w:pStyle w:val="ISMSNormal"/>
      </w:pPr>
    </w:p>
    <w:p w:rsidR="007E2A2B" w:rsidRDefault="00C23890" w:rsidP="007E2A2B">
      <w:pPr>
        <w:pStyle w:val="ISMSNormal"/>
      </w:pPr>
      <w:r>
        <w:t>The TRE</w:t>
      </w:r>
      <w:r w:rsidRPr="00BD030F">
        <w:t xml:space="preserve"> infrastructure is delivered to users through a range of services</w:t>
      </w:r>
      <w:r>
        <w:t xml:space="preserve"> as follows</w:t>
      </w:r>
      <w:r w:rsidRPr="00BD030F">
        <w:t>:</w:t>
      </w:r>
    </w:p>
    <w:p w:rsidR="007E2A2B" w:rsidRDefault="00C23890" w:rsidP="007E2A2B">
      <w:pPr>
        <w:pStyle w:val="ListParagraph"/>
        <w:numPr>
          <w:ilvl w:val="0"/>
          <w:numId w:val="8"/>
        </w:numPr>
      </w:pPr>
      <w:r>
        <w:t>Data management service for personal confidential data (e.g. ONS)</w:t>
      </w:r>
    </w:p>
    <w:p w:rsidR="007E2A2B" w:rsidRDefault="00C23890" w:rsidP="007E2A2B">
      <w:pPr>
        <w:pStyle w:val="ListParagraph"/>
        <w:numPr>
          <w:ilvl w:val="0"/>
          <w:numId w:val="8"/>
        </w:numPr>
      </w:pPr>
      <w:r>
        <w:t>On-site secure data office</w:t>
      </w:r>
    </w:p>
    <w:p w:rsidR="007E2A2B" w:rsidRDefault="00C23890" w:rsidP="007E2A2B">
      <w:pPr>
        <w:pStyle w:val="ListParagraph"/>
        <w:numPr>
          <w:ilvl w:val="0"/>
          <w:numId w:val="8"/>
        </w:numPr>
      </w:pPr>
      <w:r>
        <w:t>Data management service for de-identified data (e.g. NHS Digital)</w:t>
      </w:r>
    </w:p>
    <w:p w:rsidR="007E2A2B" w:rsidRDefault="00C23890" w:rsidP="007E2A2B">
      <w:pPr>
        <w:pStyle w:val="ListParagraph"/>
        <w:numPr>
          <w:ilvl w:val="0"/>
          <w:numId w:val="8"/>
        </w:numPr>
      </w:pPr>
      <w:r>
        <w:t>“Walled-garden” with remote access</w:t>
      </w:r>
    </w:p>
    <w:p w:rsidR="007E2A2B" w:rsidRDefault="00C23890" w:rsidP="007E2A2B">
      <w:pPr>
        <w:pStyle w:val="ListParagraph"/>
        <w:numPr>
          <w:ilvl w:val="0"/>
          <w:numId w:val="8"/>
        </w:numPr>
      </w:pPr>
      <w:r>
        <w:t>Hosting for applications on HSCN (NHS) and University networks</w:t>
      </w:r>
    </w:p>
    <w:p w:rsidR="007E2A2B" w:rsidRDefault="00C23890" w:rsidP="007E2A2B">
      <w:pPr>
        <w:pStyle w:val="ListParagraph"/>
        <w:numPr>
          <w:ilvl w:val="0"/>
          <w:numId w:val="8"/>
        </w:numPr>
      </w:pPr>
      <w:r>
        <w:t>On demand virtual machines for data analysis</w:t>
      </w:r>
    </w:p>
    <w:p w:rsidR="007E2A2B" w:rsidRDefault="00C23890" w:rsidP="007E2A2B">
      <w:pPr>
        <w:pStyle w:val="ListParagraph"/>
        <w:numPr>
          <w:ilvl w:val="0"/>
          <w:numId w:val="8"/>
        </w:numPr>
      </w:pPr>
      <w:r>
        <w:t>2-factor authentication (RSA) available for remote access</w:t>
      </w:r>
    </w:p>
    <w:p w:rsidR="00DB0C9E" w:rsidRPr="00B07787" w:rsidRDefault="00C23890" w:rsidP="007E2A2B">
      <w:pPr>
        <w:pStyle w:val="ListParagraph"/>
        <w:numPr>
          <w:ilvl w:val="0"/>
          <w:numId w:val="8"/>
        </w:numPr>
      </w:pPr>
      <w:r>
        <w:t>Virtual private network (VPN)</w:t>
      </w:r>
    </w:p>
    <w:p w:rsidR="007E2A2B" w:rsidRDefault="00C23890" w:rsidP="007E2A2B">
      <w:pPr>
        <w:pStyle w:val="ListParagraph"/>
        <w:numPr>
          <w:ilvl w:val="0"/>
          <w:numId w:val="8"/>
        </w:numPr>
      </w:pPr>
      <w:r>
        <w:t>Configurable project groups and permissions for storage and virtual machines</w:t>
      </w:r>
    </w:p>
    <w:p w:rsidR="007E2A2B" w:rsidRDefault="00C23890" w:rsidP="007E2A2B">
      <w:pPr>
        <w:pStyle w:val="ListParagraph"/>
        <w:numPr>
          <w:ilvl w:val="0"/>
          <w:numId w:val="8"/>
        </w:numPr>
      </w:pPr>
      <w:r>
        <w:t>eLab data management platform</w:t>
      </w:r>
    </w:p>
    <w:p w:rsidR="007E2A2B" w:rsidRDefault="00214328" w:rsidP="007E2A2B">
      <w:pPr>
        <w:pStyle w:val="ISMSNormal"/>
        <w:rPr>
          <w:lang w:val="en-GB"/>
        </w:rPr>
      </w:pPr>
    </w:p>
    <w:p w:rsidR="007E2A2B" w:rsidRPr="00D05A80" w:rsidRDefault="00C23890" w:rsidP="007E2A2B">
      <w:pPr>
        <w:pStyle w:val="ISMSNormal"/>
      </w:pPr>
      <w:r>
        <w:rPr>
          <w:lang w:val="en-GB"/>
        </w:rPr>
        <w:t>The TRE</w:t>
      </w:r>
      <w:r w:rsidRPr="00B76262">
        <w:rPr>
          <w:lang w:val="en-GB"/>
        </w:rPr>
        <w:t xml:space="preserve"> </w:t>
      </w:r>
      <w:r>
        <w:rPr>
          <w:lang w:val="en-GB"/>
        </w:rPr>
        <w:t xml:space="preserve">is comprised of </w:t>
      </w:r>
      <w:r w:rsidRPr="00B76262">
        <w:rPr>
          <w:lang w:val="en-GB"/>
        </w:rPr>
        <w:t xml:space="preserve">a series of assets </w:t>
      </w:r>
      <w:r>
        <w:rPr>
          <w:lang w:val="en-GB"/>
        </w:rPr>
        <w:t xml:space="preserve">that can be </w:t>
      </w:r>
      <w:r w:rsidRPr="00B76262">
        <w:rPr>
          <w:lang w:val="en-GB"/>
        </w:rPr>
        <w:t>classified</w:t>
      </w:r>
      <w:r>
        <w:rPr>
          <w:lang w:val="en-GB"/>
        </w:rPr>
        <w:t xml:space="preserve"> </w:t>
      </w:r>
      <w:r w:rsidRPr="00D05A80">
        <w:t>into the following categories:</w:t>
      </w:r>
    </w:p>
    <w:p w:rsidR="007E2A2B" w:rsidRPr="00591815" w:rsidRDefault="00C23890" w:rsidP="007E2A2B">
      <w:pPr>
        <w:pStyle w:val="ListParagraph"/>
        <w:numPr>
          <w:ilvl w:val="0"/>
          <w:numId w:val="11"/>
        </w:numPr>
      </w:pPr>
      <w:r w:rsidRPr="00591815">
        <w:rPr>
          <w:b/>
        </w:rPr>
        <w:t xml:space="preserve">Information Assets </w:t>
      </w:r>
      <w:r>
        <w:rPr>
          <w:b/>
        </w:rPr>
        <w:t>–</w:t>
      </w:r>
      <w:r w:rsidRPr="00591815">
        <w:rPr>
          <w:b/>
        </w:rPr>
        <w:t xml:space="preserve"> </w:t>
      </w:r>
      <w:r>
        <w:rPr>
          <w:b/>
        </w:rPr>
        <w:t xml:space="preserve">TRE </w:t>
      </w:r>
      <w:r w:rsidRPr="00591815">
        <w:rPr>
          <w:b/>
        </w:rPr>
        <w:t>Data</w:t>
      </w:r>
      <w:r>
        <w:t>: Structured (databases), S</w:t>
      </w:r>
      <w:r w:rsidRPr="00591815">
        <w:t>emi-structured (image, audio, video files, machine/disk images, software code, bit st</w:t>
      </w:r>
      <w:r>
        <w:t>reams) Unstructured (text, csv).</w:t>
      </w:r>
    </w:p>
    <w:p w:rsidR="007E2A2B" w:rsidRPr="00591815" w:rsidRDefault="00C23890" w:rsidP="007E2A2B">
      <w:pPr>
        <w:pStyle w:val="ListParagraph"/>
        <w:numPr>
          <w:ilvl w:val="0"/>
          <w:numId w:val="11"/>
        </w:numPr>
      </w:pPr>
      <w:r w:rsidRPr="00591815">
        <w:rPr>
          <w:b/>
        </w:rPr>
        <w:t>Information Assets - System information</w:t>
      </w:r>
      <w:r>
        <w:t>: User accounts, A</w:t>
      </w:r>
      <w:r w:rsidRPr="00591815">
        <w:t>ud</w:t>
      </w:r>
      <w:r>
        <w:t>it trails, System configuration.</w:t>
      </w:r>
    </w:p>
    <w:p w:rsidR="007E2A2B" w:rsidRPr="00591815" w:rsidRDefault="00C23890" w:rsidP="007E2A2B">
      <w:pPr>
        <w:pStyle w:val="ListParagraph"/>
        <w:numPr>
          <w:ilvl w:val="0"/>
          <w:numId w:val="11"/>
        </w:numPr>
      </w:pPr>
      <w:r>
        <w:rPr>
          <w:b/>
        </w:rPr>
        <w:t>Software A</w:t>
      </w:r>
      <w:r w:rsidRPr="00591815">
        <w:rPr>
          <w:b/>
        </w:rPr>
        <w:t>ssets</w:t>
      </w:r>
      <w:r w:rsidRPr="00591815">
        <w:t xml:space="preserve">: </w:t>
      </w:r>
      <w:r>
        <w:t>Operating systems, Software a</w:t>
      </w:r>
      <w:r w:rsidRPr="00591815">
        <w:t>pplication</w:t>
      </w:r>
      <w:r>
        <w:t>s, Testing tools, Development tools and utilities.</w:t>
      </w:r>
    </w:p>
    <w:p w:rsidR="007E2A2B" w:rsidRPr="00591815" w:rsidRDefault="00C23890" w:rsidP="007E2A2B">
      <w:pPr>
        <w:pStyle w:val="ListParagraph"/>
        <w:numPr>
          <w:ilvl w:val="0"/>
          <w:numId w:val="11"/>
        </w:numPr>
      </w:pPr>
      <w:r>
        <w:rPr>
          <w:b/>
        </w:rPr>
        <w:t>TRE Infrastructure</w:t>
      </w:r>
      <w:r>
        <w:t>: Servers, S</w:t>
      </w:r>
      <w:r w:rsidRPr="00591815">
        <w:t>to</w:t>
      </w:r>
      <w:r>
        <w:t>rage devices, Network devices, Backup power.</w:t>
      </w:r>
    </w:p>
    <w:p w:rsidR="007E2A2B" w:rsidRPr="00591815" w:rsidRDefault="00C23890" w:rsidP="007E2A2B">
      <w:pPr>
        <w:pStyle w:val="ListParagraph"/>
        <w:numPr>
          <w:ilvl w:val="0"/>
          <w:numId w:val="11"/>
        </w:numPr>
      </w:pPr>
      <w:r w:rsidRPr="00591815">
        <w:rPr>
          <w:b/>
        </w:rPr>
        <w:t>Physical assets</w:t>
      </w:r>
      <w:r>
        <w:t>: Building infrastructure, Security controls.</w:t>
      </w:r>
    </w:p>
    <w:p w:rsidR="007E2A2B" w:rsidRDefault="00C23890" w:rsidP="007E2A2B">
      <w:pPr>
        <w:pStyle w:val="ListParagraph"/>
        <w:numPr>
          <w:ilvl w:val="0"/>
          <w:numId w:val="11"/>
        </w:numPr>
      </w:pPr>
      <w:r w:rsidRPr="00591815">
        <w:rPr>
          <w:b/>
        </w:rPr>
        <w:t>Services</w:t>
      </w:r>
      <w:r>
        <w:t xml:space="preserve">: </w:t>
      </w:r>
      <w:r w:rsidRPr="00591815">
        <w:t>I</w:t>
      </w:r>
      <w:r>
        <w:t>T and Communications services, University Estates</w:t>
      </w:r>
      <w:r w:rsidRPr="00591815">
        <w:t xml:space="preserve"> (e.g</w:t>
      </w:r>
      <w:r>
        <w:t>. mains electrical, cooling), University Security (door access control).</w:t>
      </w:r>
    </w:p>
    <w:p w:rsidR="007E2A2B" w:rsidRDefault="00214328" w:rsidP="007E2A2B">
      <w:pPr>
        <w:pStyle w:val="ListParagraph"/>
        <w:numPr>
          <w:ilvl w:val="0"/>
          <w:numId w:val="0"/>
        </w:numPr>
        <w:ind w:left="720"/>
      </w:pPr>
    </w:p>
    <w:p w:rsidR="00FD17AC" w:rsidRDefault="00C23890" w:rsidP="00FD17AC">
      <w:pPr>
        <w:pStyle w:val="ISMSNormal"/>
        <w:rPr>
          <w:lang w:val="en-GB"/>
        </w:rPr>
      </w:pPr>
      <w:r>
        <w:rPr>
          <w:lang w:val="en-GB"/>
        </w:rPr>
        <w:t>The TRE Service comprises three core activities:</w:t>
      </w:r>
    </w:p>
    <w:p w:rsidR="00FD17AC" w:rsidRDefault="00C23890" w:rsidP="0048677A">
      <w:pPr>
        <w:pStyle w:val="ISMSNormal"/>
        <w:numPr>
          <w:ilvl w:val="0"/>
          <w:numId w:val="14"/>
        </w:numPr>
        <w:rPr>
          <w:lang w:val="en-GB"/>
        </w:rPr>
      </w:pPr>
      <w:r w:rsidRPr="00FD17AC">
        <w:rPr>
          <w:lang w:val="en-GB"/>
        </w:rPr>
        <w:t xml:space="preserve">TRE Development </w:t>
      </w:r>
      <w:r>
        <w:rPr>
          <w:lang w:val="en-GB"/>
        </w:rPr>
        <w:t>(managing changes to the TRE infrastructure)</w:t>
      </w:r>
    </w:p>
    <w:p w:rsidR="00FD17AC" w:rsidRPr="00FD17AC" w:rsidRDefault="00C23890" w:rsidP="0048677A">
      <w:pPr>
        <w:pStyle w:val="ISMSNormal"/>
        <w:numPr>
          <w:ilvl w:val="0"/>
          <w:numId w:val="14"/>
        </w:numPr>
        <w:rPr>
          <w:lang w:val="en-GB"/>
        </w:rPr>
      </w:pPr>
      <w:r w:rsidRPr="00FD17AC">
        <w:rPr>
          <w:lang w:val="en-GB"/>
        </w:rPr>
        <w:t>TRE Operations (customer support, data management, TRE project and user management)</w:t>
      </w:r>
    </w:p>
    <w:p w:rsidR="00FD17AC" w:rsidRDefault="00C23890" w:rsidP="00FD17AC">
      <w:pPr>
        <w:pStyle w:val="ISMSNormal"/>
        <w:numPr>
          <w:ilvl w:val="0"/>
          <w:numId w:val="14"/>
        </w:numPr>
        <w:rPr>
          <w:lang w:val="en-GB"/>
        </w:rPr>
      </w:pPr>
      <w:r>
        <w:rPr>
          <w:lang w:val="en-GB"/>
        </w:rPr>
        <w:t>TRE Systems Administration (software patching, maintenance, service provisioning)</w:t>
      </w:r>
    </w:p>
    <w:p w:rsidR="00FD17AC" w:rsidRDefault="00214328" w:rsidP="007E2A2B">
      <w:pPr>
        <w:pStyle w:val="ListParagraph"/>
        <w:numPr>
          <w:ilvl w:val="0"/>
          <w:numId w:val="0"/>
        </w:numPr>
        <w:ind w:left="720"/>
      </w:pPr>
    </w:p>
    <w:p w:rsidR="00FD17AC" w:rsidRDefault="00214328" w:rsidP="007E2A2B">
      <w:pPr>
        <w:pStyle w:val="ListParagraph"/>
        <w:numPr>
          <w:ilvl w:val="0"/>
          <w:numId w:val="0"/>
        </w:numPr>
        <w:ind w:left="720"/>
      </w:pPr>
    </w:p>
    <w:p w:rsidR="007E2A2B" w:rsidRDefault="00C23890" w:rsidP="007E2A2B">
      <w:pPr>
        <w:pStyle w:val="ISMSNormal"/>
      </w:pPr>
      <w:r w:rsidRPr="0077467D">
        <w:t>The scope</w:t>
      </w:r>
      <w:r>
        <w:t xml:space="preserve"> of the TRE </w:t>
      </w:r>
      <w:r w:rsidRPr="0077467D">
        <w:t xml:space="preserve">is shown diagrammatically in </w:t>
      </w:r>
      <w:r>
        <w:t>the diagram below.</w:t>
      </w:r>
    </w:p>
    <w:p w:rsidR="007E2A2B" w:rsidRDefault="00214328" w:rsidP="007E2A2B"/>
    <w:p w:rsidR="007E2A2B" w:rsidRPr="00B71F9E" w:rsidRDefault="00C23890" w:rsidP="007E2A2B">
      <w:r>
        <w:rPr>
          <w:noProof/>
          <w:lang w:eastAsia="en-GB"/>
        </w:rPr>
        <w:lastRenderedPageBreak/>
        <w:drawing>
          <wp:inline distT="0" distB="0" distL="0" distR="0">
            <wp:extent cx="5743575" cy="401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43575" cy="4019550"/>
                    </a:xfrm>
                    <a:prstGeom prst="rect">
                      <a:avLst/>
                    </a:prstGeom>
                    <a:noFill/>
                    <a:ln>
                      <a:noFill/>
                    </a:ln>
                  </pic:spPr>
                </pic:pic>
              </a:graphicData>
            </a:graphic>
          </wp:inline>
        </w:drawing>
      </w:r>
    </w:p>
    <w:p w:rsidR="007E2A2B" w:rsidRPr="0077467D" w:rsidRDefault="00214328" w:rsidP="007E2A2B">
      <w:pPr>
        <w:pStyle w:val="ListParagraph"/>
        <w:numPr>
          <w:ilvl w:val="0"/>
          <w:numId w:val="0"/>
        </w:numPr>
        <w:ind w:left="357"/>
        <w:jc w:val="center"/>
      </w:pPr>
    </w:p>
    <w:p w:rsidR="007E2A2B" w:rsidRDefault="00C23890" w:rsidP="007E2A2B">
      <w:pPr>
        <w:pStyle w:val="ISMSHeading2"/>
      </w:pPr>
      <w:bookmarkStart w:id="98" w:name="_Toc256000218"/>
      <w:bookmarkStart w:id="99" w:name="_Toc256000200"/>
      <w:bookmarkStart w:id="100" w:name="_Toc256000182"/>
      <w:bookmarkStart w:id="101" w:name="_Toc256000164"/>
      <w:bookmarkStart w:id="102" w:name="_Toc256000146"/>
      <w:bookmarkStart w:id="103" w:name="_Toc256000128"/>
      <w:bookmarkStart w:id="104" w:name="_Toc256000116"/>
      <w:bookmarkStart w:id="105" w:name="_Toc256000098"/>
      <w:bookmarkStart w:id="106" w:name="_Toc256000080"/>
      <w:bookmarkStart w:id="107" w:name="_Toc256000062"/>
      <w:bookmarkStart w:id="108" w:name="_Toc256000044"/>
      <w:bookmarkStart w:id="109" w:name="_Toc256000026"/>
      <w:bookmarkStart w:id="110" w:name="_Toc507579051"/>
      <w:bookmarkStart w:id="111" w:name="_Toc510689475"/>
      <w:bookmarkStart w:id="112" w:name="_Toc957731"/>
      <w:r>
        <w:t>Security Threat Environment</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7E2A2B" w:rsidRDefault="00C23890" w:rsidP="007E2A2B">
      <w:pPr>
        <w:pStyle w:val="ISMSNormal"/>
      </w:pPr>
      <w:r w:rsidRPr="00685A15">
        <w:rPr>
          <w:lang w:val="en-GB"/>
        </w:rPr>
        <w:t xml:space="preserve">When it comes to </w:t>
      </w:r>
      <w:r>
        <w:rPr>
          <w:lang w:val="en-GB"/>
        </w:rPr>
        <w:t xml:space="preserve">information </w:t>
      </w:r>
      <w:r w:rsidRPr="00685A15">
        <w:rPr>
          <w:lang w:val="en-GB"/>
        </w:rPr>
        <w:t>security and overall threats</w:t>
      </w:r>
      <w:r>
        <w:rPr>
          <w:lang w:val="en-GB"/>
        </w:rPr>
        <w:t xml:space="preserve"> to the TRE</w:t>
      </w:r>
      <w:r w:rsidRPr="00685A15">
        <w:rPr>
          <w:lang w:val="en-GB"/>
        </w:rPr>
        <w:t>, the landscape is always changing.</w:t>
      </w:r>
      <w:r>
        <w:rPr>
          <w:lang w:val="en-GB"/>
        </w:rPr>
        <w:t xml:space="preserve"> </w:t>
      </w:r>
      <w:r>
        <w:t>There are many types of security threat that can be considered with some of the key threats shown in the table below:</w:t>
      </w:r>
    </w:p>
    <w:p w:rsidR="007E2A2B" w:rsidRPr="008A5024" w:rsidRDefault="00214328" w:rsidP="007E2A2B">
      <w:pPr>
        <w:spacing w:line="270" w:lineRule="atLeast"/>
        <w:rPr>
          <w:rFonts w:ascii="Segoe UI" w:eastAsia="Times New Roman" w:hAnsi="Segoe UI" w:cs="Segoe UI"/>
          <w:color w:val="2A2A2A"/>
          <w:sz w:val="20"/>
          <w:szCs w:val="20"/>
          <w:lang w:eastAsia="en-GB"/>
        </w:rPr>
      </w:pPr>
    </w:p>
    <w:tbl>
      <w:tblPr>
        <w:tblW w:w="0" w:type="auto"/>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firstRow="1" w:lastRow="0" w:firstColumn="1" w:lastColumn="0" w:noHBand="0" w:noVBand="1"/>
        <w:tblDescription w:val="table"/>
      </w:tblPr>
      <w:tblGrid>
        <w:gridCol w:w="2388"/>
        <w:gridCol w:w="2268"/>
        <w:gridCol w:w="2469"/>
        <w:gridCol w:w="2141"/>
      </w:tblGrid>
      <w:tr w:rsidR="002518FD" w:rsidTr="00203D50">
        <w:trPr>
          <w:trHeight w:val="35"/>
        </w:trPr>
        <w:tc>
          <w:tcPr>
            <w:tcW w:w="2388" w:type="dxa"/>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0" w:type="dxa"/>
              <w:left w:w="120" w:type="dxa"/>
              <w:bottom w:w="150" w:type="dxa"/>
              <w:right w:w="120" w:type="dxa"/>
            </w:tcMar>
            <w:vAlign w:val="center"/>
            <w:hideMark/>
          </w:tcPr>
          <w:p w:rsidR="007E2A2B" w:rsidRPr="00CC0F72" w:rsidRDefault="00C23890" w:rsidP="00203D50">
            <w:pPr>
              <w:jc w:val="center"/>
              <w:rPr>
                <w:b/>
                <w:lang w:eastAsia="en-GB"/>
              </w:rPr>
            </w:pPr>
            <w:r w:rsidRPr="00CC0F72">
              <w:rPr>
                <w:b/>
                <w:lang w:eastAsia="en-GB"/>
              </w:rPr>
              <w:t>Threats</w:t>
            </w:r>
          </w:p>
        </w:tc>
        <w:tc>
          <w:tcPr>
            <w:tcW w:w="2268" w:type="dxa"/>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0" w:type="dxa"/>
              <w:left w:w="120" w:type="dxa"/>
              <w:bottom w:w="150" w:type="dxa"/>
              <w:right w:w="120" w:type="dxa"/>
            </w:tcMar>
            <w:vAlign w:val="center"/>
            <w:hideMark/>
          </w:tcPr>
          <w:p w:rsidR="007E2A2B" w:rsidRPr="00CC0F72" w:rsidRDefault="00C23890" w:rsidP="00203D50">
            <w:pPr>
              <w:jc w:val="center"/>
              <w:rPr>
                <w:b/>
                <w:lang w:eastAsia="en-GB"/>
              </w:rPr>
            </w:pPr>
            <w:r w:rsidRPr="00CC0F72">
              <w:rPr>
                <w:b/>
                <w:lang w:eastAsia="en-GB"/>
              </w:rPr>
              <w:t>Motives/Goals</w:t>
            </w:r>
          </w:p>
        </w:tc>
        <w:tc>
          <w:tcPr>
            <w:tcW w:w="2469" w:type="dxa"/>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0" w:type="dxa"/>
              <w:left w:w="120" w:type="dxa"/>
              <w:bottom w:w="150" w:type="dxa"/>
              <w:right w:w="120" w:type="dxa"/>
            </w:tcMar>
            <w:vAlign w:val="center"/>
            <w:hideMark/>
          </w:tcPr>
          <w:p w:rsidR="007E2A2B" w:rsidRPr="00CC0F72" w:rsidRDefault="00C23890" w:rsidP="00203D50">
            <w:pPr>
              <w:jc w:val="center"/>
              <w:rPr>
                <w:b/>
                <w:lang w:eastAsia="en-GB"/>
              </w:rPr>
            </w:pPr>
            <w:r w:rsidRPr="00CC0F72">
              <w:rPr>
                <w:b/>
                <w:lang w:eastAsia="en-GB"/>
              </w:rPr>
              <w:t>Methods</w:t>
            </w:r>
          </w:p>
        </w:tc>
        <w:tc>
          <w:tcPr>
            <w:tcW w:w="2141" w:type="dxa"/>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50" w:type="dxa"/>
              <w:left w:w="120" w:type="dxa"/>
              <w:bottom w:w="150" w:type="dxa"/>
              <w:right w:w="120" w:type="dxa"/>
            </w:tcMar>
            <w:vAlign w:val="center"/>
            <w:hideMark/>
          </w:tcPr>
          <w:p w:rsidR="007E2A2B" w:rsidRPr="00CC0F72" w:rsidRDefault="00C23890" w:rsidP="00203D50">
            <w:pPr>
              <w:jc w:val="center"/>
              <w:rPr>
                <w:b/>
                <w:lang w:eastAsia="en-GB"/>
              </w:rPr>
            </w:pPr>
            <w:r w:rsidRPr="00CC0F72">
              <w:rPr>
                <w:b/>
                <w:lang w:eastAsia="en-GB"/>
              </w:rPr>
              <w:t>Security Policies</w:t>
            </w:r>
          </w:p>
        </w:tc>
      </w:tr>
      <w:tr w:rsidR="002518FD" w:rsidTr="00203D50">
        <w:tc>
          <w:tcPr>
            <w:tcW w:w="238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2A2B" w:rsidRDefault="00C23890" w:rsidP="007E2A2B">
            <w:pPr>
              <w:pStyle w:val="ListParagraph"/>
              <w:numPr>
                <w:ilvl w:val="0"/>
                <w:numId w:val="12"/>
              </w:numPr>
              <w:rPr>
                <w:lang w:eastAsia="en-GB"/>
              </w:rPr>
            </w:pPr>
            <w:r w:rsidRPr="008A5024">
              <w:rPr>
                <w:lang w:eastAsia="en-GB"/>
              </w:rPr>
              <w:t>Employees</w:t>
            </w:r>
          </w:p>
          <w:p w:rsidR="007E2A2B" w:rsidRDefault="00C23890" w:rsidP="007E2A2B">
            <w:pPr>
              <w:pStyle w:val="ListParagraph"/>
              <w:numPr>
                <w:ilvl w:val="0"/>
                <w:numId w:val="12"/>
              </w:numPr>
              <w:rPr>
                <w:lang w:eastAsia="en-GB"/>
              </w:rPr>
            </w:pPr>
            <w:r w:rsidRPr="008A5024">
              <w:rPr>
                <w:lang w:eastAsia="en-GB"/>
              </w:rPr>
              <w:t>Malicious</w:t>
            </w:r>
          </w:p>
          <w:p w:rsidR="007E2A2B" w:rsidRDefault="00C23890" w:rsidP="007E2A2B">
            <w:pPr>
              <w:pStyle w:val="ListParagraph"/>
              <w:numPr>
                <w:ilvl w:val="0"/>
                <w:numId w:val="12"/>
              </w:numPr>
              <w:rPr>
                <w:lang w:eastAsia="en-GB"/>
              </w:rPr>
            </w:pPr>
            <w:r w:rsidRPr="008A5024">
              <w:rPr>
                <w:lang w:eastAsia="en-GB"/>
              </w:rPr>
              <w:t>Ignorant</w:t>
            </w:r>
          </w:p>
          <w:p w:rsidR="007E2A2B" w:rsidRDefault="00C23890" w:rsidP="007E2A2B">
            <w:pPr>
              <w:pStyle w:val="ListParagraph"/>
              <w:numPr>
                <w:ilvl w:val="0"/>
                <w:numId w:val="12"/>
              </w:numPr>
              <w:rPr>
                <w:lang w:eastAsia="en-GB"/>
              </w:rPr>
            </w:pPr>
            <w:r w:rsidRPr="008A5024">
              <w:rPr>
                <w:lang w:eastAsia="en-GB"/>
              </w:rPr>
              <w:t>Non-employees</w:t>
            </w:r>
          </w:p>
          <w:p w:rsidR="007E2A2B" w:rsidRDefault="00C23890" w:rsidP="007E2A2B">
            <w:pPr>
              <w:pStyle w:val="ListParagraph"/>
              <w:numPr>
                <w:ilvl w:val="0"/>
                <w:numId w:val="12"/>
              </w:numPr>
              <w:rPr>
                <w:lang w:eastAsia="en-GB"/>
              </w:rPr>
            </w:pPr>
            <w:r w:rsidRPr="008A5024">
              <w:rPr>
                <w:lang w:eastAsia="en-GB"/>
              </w:rPr>
              <w:t>Outside attackers</w:t>
            </w:r>
          </w:p>
          <w:p w:rsidR="007E2A2B" w:rsidRDefault="00C23890" w:rsidP="007E2A2B">
            <w:pPr>
              <w:pStyle w:val="ListParagraph"/>
              <w:numPr>
                <w:ilvl w:val="0"/>
                <w:numId w:val="12"/>
              </w:numPr>
              <w:rPr>
                <w:lang w:eastAsia="en-GB"/>
              </w:rPr>
            </w:pPr>
            <w:r w:rsidRPr="008A5024">
              <w:rPr>
                <w:lang w:eastAsia="en-GB"/>
              </w:rPr>
              <w:t>Natural disasters</w:t>
            </w:r>
          </w:p>
          <w:p w:rsidR="007E2A2B" w:rsidRDefault="00C23890" w:rsidP="007E2A2B">
            <w:pPr>
              <w:pStyle w:val="ListParagraph"/>
              <w:numPr>
                <w:ilvl w:val="0"/>
                <w:numId w:val="12"/>
              </w:numPr>
              <w:rPr>
                <w:lang w:eastAsia="en-GB"/>
              </w:rPr>
            </w:pPr>
            <w:r w:rsidRPr="008A5024">
              <w:rPr>
                <w:lang w:eastAsia="en-GB"/>
              </w:rPr>
              <w:t>Floods</w:t>
            </w:r>
          </w:p>
          <w:p w:rsidR="007E2A2B" w:rsidRDefault="00C23890" w:rsidP="007E2A2B">
            <w:pPr>
              <w:pStyle w:val="ListParagraph"/>
              <w:numPr>
                <w:ilvl w:val="0"/>
                <w:numId w:val="12"/>
              </w:numPr>
              <w:rPr>
                <w:lang w:eastAsia="en-GB"/>
              </w:rPr>
            </w:pPr>
            <w:r>
              <w:rPr>
                <w:lang w:eastAsia="en-GB"/>
              </w:rPr>
              <w:t>E</w:t>
            </w:r>
            <w:r w:rsidRPr="008A5024">
              <w:rPr>
                <w:lang w:eastAsia="en-GB"/>
              </w:rPr>
              <w:t>arthquakes</w:t>
            </w:r>
          </w:p>
          <w:p w:rsidR="007E2A2B" w:rsidRDefault="00C23890" w:rsidP="007E2A2B">
            <w:pPr>
              <w:pStyle w:val="ListParagraph"/>
              <w:numPr>
                <w:ilvl w:val="0"/>
                <w:numId w:val="12"/>
              </w:numPr>
              <w:rPr>
                <w:lang w:eastAsia="en-GB"/>
              </w:rPr>
            </w:pPr>
            <w:r w:rsidRPr="008A5024">
              <w:rPr>
                <w:lang w:eastAsia="en-GB"/>
              </w:rPr>
              <w:t>Hurricanes</w:t>
            </w:r>
          </w:p>
          <w:p w:rsidR="007E2A2B" w:rsidRPr="008A5024" w:rsidRDefault="00C23890" w:rsidP="007E2A2B">
            <w:pPr>
              <w:pStyle w:val="ListParagraph"/>
              <w:numPr>
                <w:ilvl w:val="0"/>
                <w:numId w:val="12"/>
              </w:numPr>
              <w:rPr>
                <w:lang w:eastAsia="en-GB"/>
              </w:rPr>
            </w:pPr>
            <w:r w:rsidRPr="008A5024">
              <w:rPr>
                <w:lang w:eastAsia="en-GB"/>
              </w:rPr>
              <w:t>Riots and wars</w:t>
            </w:r>
          </w:p>
        </w:tc>
        <w:tc>
          <w:tcPr>
            <w:tcW w:w="2268"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2A2B" w:rsidRDefault="00C23890" w:rsidP="007E2A2B">
            <w:pPr>
              <w:pStyle w:val="ListParagraph"/>
              <w:numPr>
                <w:ilvl w:val="0"/>
                <w:numId w:val="12"/>
              </w:numPr>
              <w:rPr>
                <w:lang w:eastAsia="en-GB"/>
              </w:rPr>
            </w:pPr>
            <w:r w:rsidRPr="008A5024">
              <w:rPr>
                <w:lang w:eastAsia="en-GB"/>
              </w:rPr>
              <w:t>Deny services</w:t>
            </w:r>
          </w:p>
          <w:p w:rsidR="007E2A2B" w:rsidRDefault="00C23890" w:rsidP="007E2A2B">
            <w:pPr>
              <w:pStyle w:val="ListParagraph"/>
              <w:numPr>
                <w:ilvl w:val="0"/>
                <w:numId w:val="12"/>
              </w:numPr>
              <w:rPr>
                <w:lang w:eastAsia="en-GB"/>
              </w:rPr>
            </w:pPr>
            <w:r w:rsidRPr="008A5024">
              <w:rPr>
                <w:lang w:eastAsia="en-GB"/>
              </w:rPr>
              <w:t>Steal information</w:t>
            </w:r>
          </w:p>
          <w:p w:rsidR="007E2A2B" w:rsidRDefault="00C23890" w:rsidP="007E2A2B">
            <w:pPr>
              <w:pStyle w:val="ListParagraph"/>
              <w:numPr>
                <w:ilvl w:val="0"/>
                <w:numId w:val="12"/>
              </w:numPr>
              <w:rPr>
                <w:lang w:eastAsia="en-GB"/>
              </w:rPr>
            </w:pPr>
            <w:r w:rsidRPr="008A5024">
              <w:rPr>
                <w:lang w:eastAsia="en-GB"/>
              </w:rPr>
              <w:t>Alter information</w:t>
            </w:r>
          </w:p>
          <w:p w:rsidR="007E2A2B" w:rsidRDefault="00C23890" w:rsidP="007E2A2B">
            <w:pPr>
              <w:pStyle w:val="ListParagraph"/>
              <w:numPr>
                <w:ilvl w:val="0"/>
                <w:numId w:val="12"/>
              </w:numPr>
              <w:rPr>
                <w:lang w:eastAsia="en-GB"/>
              </w:rPr>
            </w:pPr>
            <w:r w:rsidRPr="008A5024">
              <w:rPr>
                <w:lang w:eastAsia="en-GB"/>
              </w:rPr>
              <w:t>Damage information</w:t>
            </w:r>
          </w:p>
          <w:p w:rsidR="007E2A2B" w:rsidRDefault="00C23890" w:rsidP="007E2A2B">
            <w:pPr>
              <w:pStyle w:val="ListParagraph"/>
              <w:numPr>
                <w:ilvl w:val="0"/>
                <w:numId w:val="12"/>
              </w:numPr>
              <w:rPr>
                <w:lang w:eastAsia="en-GB"/>
              </w:rPr>
            </w:pPr>
            <w:r w:rsidRPr="008A5024">
              <w:rPr>
                <w:lang w:eastAsia="en-GB"/>
              </w:rPr>
              <w:t>Delete information</w:t>
            </w:r>
          </w:p>
          <w:p w:rsidR="007E2A2B" w:rsidRDefault="00C23890" w:rsidP="007E2A2B">
            <w:pPr>
              <w:pStyle w:val="ListParagraph"/>
              <w:numPr>
                <w:ilvl w:val="0"/>
                <w:numId w:val="12"/>
              </w:numPr>
              <w:rPr>
                <w:lang w:eastAsia="en-GB"/>
              </w:rPr>
            </w:pPr>
            <w:r w:rsidRPr="008A5024">
              <w:rPr>
                <w:lang w:eastAsia="en-GB"/>
              </w:rPr>
              <w:t>Make a joke</w:t>
            </w:r>
          </w:p>
          <w:p w:rsidR="007E2A2B" w:rsidRPr="008A5024" w:rsidRDefault="00C23890" w:rsidP="007E2A2B">
            <w:pPr>
              <w:pStyle w:val="ListParagraph"/>
              <w:numPr>
                <w:ilvl w:val="0"/>
                <w:numId w:val="12"/>
              </w:numPr>
              <w:rPr>
                <w:lang w:eastAsia="en-GB"/>
              </w:rPr>
            </w:pPr>
            <w:r w:rsidRPr="008A5024">
              <w:rPr>
                <w:lang w:eastAsia="en-GB"/>
              </w:rPr>
              <w:t>Show off</w:t>
            </w:r>
          </w:p>
        </w:tc>
        <w:tc>
          <w:tcPr>
            <w:tcW w:w="2469"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2A2B" w:rsidRDefault="00C23890" w:rsidP="007E2A2B">
            <w:pPr>
              <w:pStyle w:val="ListParagraph"/>
              <w:numPr>
                <w:ilvl w:val="0"/>
                <w:numId w:val="12"/>
              </w:numPr>
              <w:rPr>
                <w:lang w:eastAsia="en-GB"/>
              </w:rPr>
            </w:pPr>
            <w:r w:rsidRPr="008A5024">
              <w:rPr>
                <w:lang w:eastAsia="en-GB"/>
              </w:rPr>
              <w:t>Social engineering</w:t>
            </w:r>
          </w:p>
          <w:p w:rsidR="007E2A2B" w:rsidRDefault="00C23890" w:rsidP="007E2A2B">
            <w:pPr>
              <w:pStyle w:val="ListParagraph"/>
              <w:numPr>
                <w:ilvl w:val="0"/>
                <w:numId w:val="12"/>
              </w:numPr>
              <w:rPr>
                <w:lang w:eastAsia="en-GB"/>
              </w:rPr>
            </w:pPr>
            <w:r w:rsidRPr="008A5024">
              <w:rPr>
                <w:lang w:eastAsia="en-GB"/>
              </w:rPr>
              <w:t>Viruses, Trojan horses, worms</w:t>
            </w:r>
          </w:p>
          <w:p w:rsidR="007E2A2B" w:rsidRDefault="00C23890" w:rsidP="007E2A2B">
            <w:pPr>
              <w:pStyle w:val="ListParagraph"/>
              <w:numPr>
                <w:ilvl w:val="0"/>
                <w:numId w:val="12"/>
              </w:numPr>
              <w:rPr>
                <w:lang w:eastAsia="en-GB"/>
              </w:rPr>
            </w:pPr>
            <w:r w:rsidRPr="008A5024">
              <w:rPr>
                <w:lang w:eastAsia="en-GB"/>
              </w:rPr>
              <w:t>Packet replay</w:t>
            </w:r>
          </w:p>
          <w:p w:rsidR="007E2A2B" w:rsidRDefault="00C23890" w:rsidP="007E2A2B">
            <w:pPr>
              <w:pStyle w:val="ListParagraph"/>
              <w:numPr>
                <w:ilvl w:val="0"/>
                <w:numId w:val="12"/>
              </w:numPr>
              <w:rPr>
                <w:lang w:eastAsia="en-GB"/>
              </w:rPr>
            </w:pPr>
            <w:r w:rsidRPr="008A5024">
              <w:rPr>
                <w:lang w:eastAsia="en-GB"/>
              </w:rPr>
              <w:t>Packet modification</w:t>
            </w:r>
          </w:p>
          <w:p w:rsidR="007E2A2B" w:rsidRDefault="00C23890" w:rsidP="007E2A2B">
            <w:pPr>
              <w:pStyle w:val="ListParagraph"/>
              <w:numPr>
                <w:ilvl w:val="0"/>
                <w:numId w:val="12"/>
              </w:numPr>
              <w:rPr>
                <w:lang w:eastAsia="en-GB"/>
              </w:rPr>
            </w:pPr>
            <w:r w:rsidRPr="008A5024">
              <w:rPr>
                <w:lang w:eastAsia="en-GB"/>
              </w:rPr>
              <w:t>IP spoofing</w:t>
            </w:r>
          </w:p>
          <w:p w:rsidR="007E2A2B" w:rsidRDefault="00C23890" w:rsidP="007E2A2B">
            <w:pPr>
              <w:pStyle w:val="ListParagraph"/>
              <w:numPr>
                <w:ilvl w:val="0"/>
                <w:numId w:val="12"/>
              </w:numPr>
              <w:rPr>
                <w:lang w:eastAsia="en-GB"/>
              </w:rPr>
            </w:pPr>
            <w:r w:rsidRPr="008A5024">
              <w:rPr>
                <w:lang w:eastAsia="en-GB"/>
              </w:rPr>
              <w:t>Mail bombing</w:t>
            </w:r>
          </w:p>
          <w:p w:rsidR="007E2A2B" w:rsidRDefault="00C23890" w:rsidP="007E2A2B">
            <w:pPr>
              <w:pStyle w:val="ListParagraph"/>
              <w:numPr>
                <w:ilvl w:val="0"/>
                <w:numId w:val="12"/>
              </w:numPr>
              <w:rPr>
                <w:lang w:eastAsia="en-GB"/>
              </w:rPr>
            </w:pPr>
            <w:r w:rsidRPr="008A5024">
              <w:rPr>
                <w:lang w:eastAsia="en-GB"/>
              </w:rPr>
              <w:t>Various hacking tools</w:t>
            </w:r>
          </w:p>
          <w:p w:rsidR="007E2A2B" w:rsidRPr="008A5024" w:rsidRDefault="00C23890" w:rsidP="007E2A2B">
            <w:pPr>
              <w:pStyle w:val="ListParagraph"/>
              <w:numPr>
                <w:ilvl w:val="0"/>
                <w:numId w:val="12"/>
              </w:numPr>
              <w:rPr>
                <w:lang w:eastAsia="en-GB"/>
              </w:rPr>
            </w:pPr>
            <w:r w:rsidRPr="008A5024">
              <w:rPr>
                <w:lang w:eastAsia="en-GB"/>
              </w:rPr>
              <w:t>Password cracking</w:t>
            </w:r>
          </w:p>
        </w:tc>
        <w:tc>
          <w:tcPr>
            <w:tcW w:w="2141"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E2A2B" w:rsidRDefault="00C23890" w:rsidP="007E2A2B">
            <w:pPr>
              <w:pStyle w:val="ListParagraph"/>
              <w:numPr>
                <w:ilvl w:val="0"/>
                <w:numId w:val="12"/>
              </w:numPr>
              <w:rPr>
                <w:lang w:eastAsia="en-GB"/>
              </w:rPr>
            </w:pPr>
            <w:r w:rsidRPr="008A5024">
              <w:rPr>
                <w:lang w:eastAsia="en-GB"/>
              </w:rPr>
              <w:t>Vulnerabilities</w:t>
            </w:r>
          </w:p>
          <w:p w:rsidR="007E2A2B" w:rsidRDefault="00C23890" w:rsidP="007E2A2B">
            <w:pPr>
              <w:pStyle w:val="ListParagraph"/>
              <w:numPr>
                <w:ilvl w:val="0"/>
                <w:numId w:val="12"/>
              </w:numPr>
              <w:rPr>
                <w:lang w:eastAsia="en-GB"/>
              </w:rPr>
            </w:pPr>
            <w:r w:rsidRPr="008A5024">
              <w:rPr>
                <w:lang w:eastAsia="en-GB"/>
              </w:rPr>
              <w:t>Assets</w:t>
            </w:r>
          </w:p>
          <w:p w:rsidR="007E2A2B" w:rsidRDefault="00C23890" w:rsidP="007E2A2B">
            <w:pPr>
              <w:pStyle w:val="ListParagraph"/>
              <w:numPr>
                <w:ilvl w:val="0"/>
                <w:numId w:val="12"/>
              </w:numPr>
              <w:rPr>
                <w:lang w:eastAsia="en-GB"/>
              </w:rPr>
            </w:pPr>
            <w:r w:rsidRPr="008A5024">
              <w:rPr>
                <w:lang w:eastAsia="en-GB"/>
              </w:rPr>
              <w:t>Information and data</w:t>
            </w:r>
          </w:p>
          <w:p w:rsidR="007E2A2B" w:rsidRDefault="00C23890" w:rsidP="007E2A2B">
            <w:pPr>
              <w:pStyle w:val="ListParagraph"/>
              <w:numPr>
                <w:ilvl w:val="0"/>
                <w:numId w:val="12"/>
              </w:numPr>
              <w:rPr>
                <w:lang w:eastAsia="en-GB"/>
              </w:rPr>
            </w:pPr>
            <w:r w:rsidRPr="008A5024">
              <w:rPr>
                <w:lang w:eastAsia="en-GB"/>
              </w:rPr>
              <w:t>Productivity</w:t>
            </w:r>
          </w:p>
          <w:p w:rsidR="007E2A2B" w:rsidRDefault="00C23890" w:rsidP="007E2A2B">
            <w:pPr>
              <w:pStyle w:val="ListParagraph"/>
              <w:numPr>
                <w:ilvl w:val="0"/>
                <w:numId w:val="12"/>
              </w:numPr>
              <w:rPr>
                <w:lang w:eastAsia="en-GB"/>
              </w:rPr>
            </w:pPr>
            <w:r w:rsidRPr="008A5024">
              <w:rPr>
                <w:lang w:eastAsia="en-GB"/>
              </w:rPr>
              <w:t>Hardware</w:t>
            </w:r>
          </w:p>
          <w:p w:rsidR="007E2A2B" w:rsidRPr="008A5024" w:rsidRDefault="00C23890" w:rsidP="007E2A2B">
            <w:pPr>
              <w:pStyle w:val="ListParagraph"/>
              <w:numPr>
                <w:ilvl w:val="0"/>
                <w:numId w:val="12"/>
              </w:numPr>
              <w:rPr>
                <w:lang w:eastAsia="en-GB"/>
              </w:rPr>
            </w:pPr>
            <w:r w:rsidRPr="008A5024">
              <w:rPr>
                <w:lang w:eastAsia="en-GB"/>
              </w:rPr>
              <w:t>Personnel</w:t>
            </w:r>
          </w:p>
        </w:tc>
      </w:tr>
    </w:tbl>
    <w:p w:rsidR="007E2A2B" w:rsidRDefault="00214328" w:rsidP="007E2A2B">
      <w:pPr>
        <w:spacing w:line="270" w:lineRule="atLeast"/>
        <w:rPr>
          <w:rFonts w:ascii="Segoe UI" w:eastAsia="Times New Roman" w:hAnsi="Segoe UI" w:cs="Segoe UI"/>
          <w:color w:val="2A2A2A"/>
          <w:sz w:val="20"/>
          <w:szCs w:val="20"/>
          <w:lang w:eastAsia="en-GB"/>
        </w:rPr>
      </w:pPr>
    </w:p>
    <w:p w:rsidR="007E2A2B" w:rsidRDefault="00C23890" w:rsidP="007E2A2B">
      <w:pPr>
        <w:pStyle w:val="ISMSNormal"/>
      </w:pPr>
      <w:r>
        <w:t xml:space="preserve">It is expected that the </w:t>
      </w:r>
      <w:r w:rsidRPr="00685A15">
        <w:t xml:space="preserve">greatest threat to </w:t>
      </w:r>
      <w:r>
        <w:t xml:space="preserve">the TRE will </w:t>
      </w:r>
      <w:r w:rsidRPr="00685A15">
        <w:t>come from humans, through actions that are either malicious or ignorant</w:t>
      </w:r>
      <w:r>
        <w:t>, looking to access or steal the information. Whilst it is important to keep up to date with all potential security threats this will be done in parallel with applying protective measures which can be classified as follows:</w:t>
      </w:r>
    </w:p>
    <w:p w:rsidR="007E2A2B" w:rsidRDefault="00C23890" w:rsidP="007E2A2B">
      <w:pPr>
        <w:pStyle w:val="ListParagraph"/>
      </w:pPr>
      <w:r w:rsidRPr="007A540D">
        <w:rPr>
          <w:b/>
        </w:rPr>
        <w:lastRenderedPageBreak/>
        <w:t>Prevention</w:t>
      </w:r>
      <w:r>
        <w:t xml:space="preserve"> -Establish</w:t>
      </w:r>
      <w:r w:rsidRPr="00685A15">
        <w:t xml:space="preserve"> </w:t>
      </w:r>
      <w:r>
        <w:t xml:space="preserve">controls </w:t>
      </w:r>
      <w:r w:rsidRPr="00685A15">
        <w:t xml:space="preserve">that prevent information from being damaged, altered, or stolen. </w:t>
      </w:r>
    </w:p>
    <w:p w:rsidR="007E2A2B" w:rsidRPr="00685A15" w:rsidRDefault="00C23890" w:rsidP="007E2A2B">
      <w:pPr>
        <w:pStyle w:val="ListParagraph"/>
      </w:pPr>
      <w:r w:rsidRPr="007A540D">
        <w:rPr>
          <w:b/>
        </w:rPr>
        <w:t>Detection</w:t>
      </w:r>
      <w:r>
        <w:rPr>
          <w:b/>
        </w:rPr>
        <w:t xml:space="preserve"> </w:t>
      </w:r>
      <w:r w:rsidRPr="007A540D">
        <w:t xml:space="preserve">- </w:t>
      </w:r>
      <w:r>
        <w:t>Establish</w:t>
      </w:r>
      <w:r w:rsidRPr="00685A15">
        <w:t xml:space="preserve"> measures that </w:t>
      </w:r>
      <w:r>
        <w:t xml:space="preserve">can </w:t>
      </w:r>
      <w:r w:rsidRPr="00685A15">
        <w:t>detect when information has been damaged, altered, or stolen, how it has been damaged, altered, or stolen, and who has caused the damage.</w:t>
      </w:r>
    </w:p>
    <w:p w:rsidR="007E2A2B" w:rsidRDefault="00C23890" w:rsidP="007E2A2B">
      <w:pPr>
        <w:pStyle w:val="ListParagraph"/>
      </w:pPr>
      <w:r>
        <w:rPr>
          <w:b/>
        </w:rPr>
        <w:t xml:space="preserve">Reaction </w:t>
      </w:r>
      <w:r>
        <w:t xml:space="preserve">–Establish processes </w:t>
      </w:r>
      <w:r w:rsidRPr="00685A15">
        <w:t>that allow recovery of information, even if information is lost or damaged.</w:t>
      </w:r>
    </w:p>
    <w:p w:rsidR="007E2A2B" w:rsidRDefault="00214328" w:rsidP="007E2A2B"/>
    <w:p w:rsidR="007E2A2B" w:rsidRPr="00BC79B5" w:rsidRDefault="00C23890" w:rsidP="007E2A2B">
      <w:pPr>
        <w:pStyle w:val="ISMSHeading2"/>
      </w:pPr>
      <w:bookmarkStart w:id="113" w:name="_Toc256000219"/>
      <w:bookmarkStart w:id="114" w:name="_Toc256000201"/>
      <w:bookmarkStart w:id="115" w:name="_Toc256000183"/>
      <w:bookmarkStart w:id="116" w:name="_Toc256000165"/>
      <w:bookmarkStart w:id="117" w:name="_Toc256000147"/>
      <w:bookmarkStart w:id="118" w:name="_Toc256000129"/>
      <w:bookmarkStart w:id="119" w:name="_Toc256000117"/>
      <w:bookmarkStart w:id="120" w:name="_Toc256000099"/>
      <w:bookmarkStart w:id="121" w:name="_Toc256000081"/>
      <w:bookmarkStart w:id="122" w:name="_Toc256000063"/>
      <w:bookmarkStart w:id="123" w:name="_Toc256000045"/>
      <w:bookmarkStart w:id="124" w:name="_Toc256000027"/>
      <w:bookmarkStart w:id="125" w:name="_Toc507579052"/>
      <w:bookmarkStart w:id="126" w:name="_Toc510689476"/>
      <w:bookmarkStart w:id="127" w:name="_Toc957732"/>
      <w:r>
        <w:t>Regulations and Legislation</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7E2A2B" w:rsidRDefault="00C23890" w:rsidP="007E2A2B">
      <w:pPr>
        <w:pStyle w:val="ISMSNormal"/>
      </w:pPr>
      <w:r>
        <w:t xml:space="preserve">The </w:t>
      </w:r>
      <w:r w:rsidRPr="00D05A80">
        <w:t xml:space="preserve">applicable laws, regulations and contractual requirements </w:t>
      </w:r>
      <w:r>
        <w:t xml:space="preserve">that will be applied to the operation of the TRE are </w:t>
      </w:r>
      <w:r w:rsidRPr="00D05A80">
        <w:t xml:space="preserve">listed </w:t>
      </w:r>
      <w:r>
        <w:t xml:space="preserve">and maintained </w:t>
      </w:r>
      <w:r w:rsidRPr="00D05A80">
        <w:t xml:space="preserve">in ISMS-02-03 </w:t>
      </w:r>
      <w:r>
        <w:t>Index of Relevant Policy.</w:t>
      </w:r>
    </w:p>
    <w:p w:rsidR="007E2A2B" w:rsidRPr="0077467D" w:rsidRDefault="00214328" w:rsidP="007E2A2B">
      <w:pPr>
        <w:pStyle w:val="ISMSNormal"/>
      </w:pPr>
    </w:p>
    <w:p w:rsidR="007E2A2B" w:rsidRDefault="00C23890" w:rsidP="007E2A2B">
      <w:pPr>
        <w:pStyle w:val="ISMSHeading1"/>
      </w:pPr>
      <w:bookmarkStart w:id="128" w:name="_Toc256000220"/>
      <w:bookmarkStart w:id="129" w:name="_Toc256000202"/>
      <w:bookmarkStart w:id="130" w:name="_Toc256000184"/>
      <w:bookmarkStart w:id="131" w:name="_Toc256000166"/>
      <w:bookmarkStart w:id="132" w:name="_Toc256000148"/>
      <w:bookmarkStart w:id="133" w:name="_Toc256000130"/>
      <w:bookmarkStart w:id="134" w:name="_Toc256000118"/>
      <w:bookmarkStart w:id="135" w:name="_Toc256000100"/>
      <w:bookmarkStart w:id="136" w:name="_Toc256000082"/>
      <w:bookmarkStart w:id="137" w:name="_Toc256000064"/>
      <w:bookmarkStart w:id="138" w:name="_Toc256000046"/>
      <w:bookmarkStart w:id="139" w:name="_Toc256000028"/>
      <w:bookmarkStart w:id="140" w:name="_Toc507579053"/>
      <w:bookmarkStart w:id="141" w:name="_Toc510689477"/>
      <w:bookmarkStart w:id="142" w:name="_Toc957733"/>
      <w:r>
        <w:t>Principles and Key Objectives</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7E2A2B" w:rsidRPr="00DE2679" w:rsidRDefault="00C23890" w:rsidP="007E2A2B">
      <w:pPr>
        <w:pStyle w:val="ISMSHeading2"/>
      </w:pPr>
      <w:bookmarkStart w:id="143" w:name="_Toc256000221"/>
      <w:bookmarkStart w:id="144" w:name="_Toc256000203"/>
      <w:bookmarkStart w:id="145" w:name="_Toc256000185"/>
      <w:bookmarkStart w:id="146" w:name="_Toc256000167"/>
      <w:bookmarkStart w:id="147" w:name="_Toc256000149"/>
      <w:bookmarkStart w:id="148" w:name="_Toc256000131"/>
      <w:bookmarkStart w:id="149" w:name="_Toc256000119"/>
      <w:bookmarkStart w:id="150" w:name="_Toc256000101"/>
      <w:bookmarkStart w:id="151" w:name="_Toc256000083"/>
      <w:bookmarkStart w:id="152" w:name="_Toc256000065"/>
      <w:bookmarkStart w:id="153" w:name="_Toc256000047"/>
      <w:bookmarkStart w:id="154" w:name="_Toc256000029"/>
      <w:bookmarkStart w:id="155" w:name="_Toc507579054"/>
      <w:bookmarkStart w:id="156" w:name="_Toc510689478"/>
      <w:bookmarkStart w:id="157" w:name="_Toc957734"/>
      <w:r>
        <w:t>ISMS Principles</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7E2A2B" w:rsidRDefault="00C23890" w:rsidP="007E2A2B">
      <w:pPr>
        <w:pStyle w:val="ISMSNormal"/>
      </w:pPr>
      <w:r w:rsidRPr="00D05A80">
        <w:t xml:space="preserve">Information is a vital asset, both in terms of the clinical management of individual patients and the efficient management of services and resources. It plays a key part in clinical governance, service planning and performance management. It is therefore of paramount importance that information is efficiently managed, and that appropriate policies, procedures, management accountability and structures provide a robust framework for information security management. </w:t>
      </w:r>
    </w:p>
    <w:p w:rsidR="007D3D7E" w:rsidRDefault="00214328" w:rsidP="007E2A2B">
      <w:pPr>
        <w:pStyle w:val="ISMSNormal"/>
      </w:pPr>
    </w:p>
    <w:p w:rsidR="007E2A2B" w:rsidRDefault="00C23890" w:rsidP="007E2A2B">
      <w:pPr>
        <w:pStyle w:val="ISMSNormal"/>
      </w:pPr>
      <w:r w:rsidRPr="00976ADE">
        <w:t xml:space="preserve">CHI </w:t>
      </w:r>
      <w:r w:rsidRPr="00D05A80">
        <w:t>management are committed to the implementation, monitoring, review and continual improvement of the systems managing quality and information security</w:t>
      </w:r>
      <w:r>
        <w:t xml:space="preserve"> </w:t>
      </w:r>
      <w:r w:rsidRPr="00D05A80">
        <w:t>and will ensure the following</w:t>
      </w:r>
      <w:r>
        <w:t xml:space="preserve"> principles are observed</w:t>
      </w:r>
      <w:r w:rsidRPr="00D05A80">
        <w:t>:</w:t>
      </w:r>
    </w:p>
    <w:p w:rsidR="007E2A2B" w:rsidRDefault="00C23890" w:rsidP="007E2A2B">
      <w:pPr>
        <w:pStyle w:val="ListParagraph"/>
        <w:numPr>
          <w:ilvl w:val="0"/>
          <w:numId w:val="10"/>
        </w:numPr>
      </w:pPr>
      <w:r w:rsidRPr="00D37024">
        <w:t>The preservation of confidentiality, integrity and availability of information, as well as ensuring the authenticity and reliability of information that is of value to the organisation and its users.</w:t>
      </w:r>
      <w:r w:rsidRPr="003F260C">
        <w:t xml:space="preserve"> </w:t>
      </w:r>
    </w:p>
    <w:p w:rsidR="007E2A2B" w:rsidRPr="00D05A80" w:rsidRDefault="00C23890" w:rsidP="007E2A2B">
      <w:pPr>
        <w:pStyle w:val="ListParagraph"/>
        <w:numPr>
          <w:ilvl w:val="0"/>
          <w:numId w:val="10"/>
        </w:numPr>
      </w:pPr>
      <w:r w:rsidRPr="00D05A80">
        <w:t>Meet our objectives and those of our funders, e.g. MRC</w:t>
      </w:r>
    </w:p>
    <w:p w:rsidR="007E2A2B" w:rsidRPr="00D05A80" w:rsidRDefault="00C23890" w:rsidP="007E2A2B">
      <w:pPr>
        <w:pStyle w:val="ListParagraph"/>
        <w:numPr>
          <w:ilvl w:val="0"/>
          <w:numId w:val="10"/>
        </w:numPr>
      </w:pPr>
      <w:r w:rsidRPr="00D05A80">
        <w:t>Deliver services that meet the needs of our users, e.g. Approved Researchers</w:t>
      </w:r>
    </w:p>
    <w:p w:rsidR="007E2A2B" w:rsidRPr="00D05A80" w:rsidRDefault="00C23890" w:rsidP="007E2A2B">
      <w:pPr>
        <w:pStyle w:val="ListParagraph"/>
        <w:numPr>
          <w:ilvl w:val="0"/>
          <w:numId w:val="10"/>
        </w:numPr>
      </w:pPr>
      <w:r w:rsidRPr="00D05A80">
        <w:t>Comply with applicable laws, regulations and contractual requ</w:t>
      </w:r>
      <w:r>
        <w:t>irements</w:t>
      </w:r>
    </w:p>
    <w:p w:rsidR="007E2A2B" w:rsidRPr="00D05A80" w:rsidRDefault="00C23890" w:rsidP="007E2A2B">
      <w:pPr>
        <w:pStyle w:val="ListParagraph"/>
        <w:numPr>
          <w:ilvl w:val="0"/>
          <w:numId w:val="9"/>
        </w:numPr>
      </w:pPr>
      <w:r w:rsidRPr="00D05A80">
        <w:t>Information will be protected against unauthorised access;</w:t>
      </w:r>
    </w:p>
    <w:p w:rsidR="007E2A2B" w:rsidRPr="00D05A80" w:rsidRDefault="00C23890" w:rsidP="007E2A2B">
      <w:pPr>
        <w:pStyle w:val="ListParagraph"/>
        <w:numPr>
          <w:ilvl w:val="0"/>
          <w:numId w:val="9"/>
        </w:numPr>
      </w:pPr>
      <w:r w:rsidRPr="00D05A80">
        <w:t>Information will be supported by the highest quality data;</w:t>
      </w:r>
    </w:p>
    <w:p w:rsidR="007E2A2B" w:rsidRDefault="00C23890" w:rsidP="007E2A2B">
      <w:pPr>
        <w:pStyle w:val="ListParagraph"/>
        <w:numPr>
          <w:ilvl w:val="0"/>
          <w:numId w:val="9"/>
        </w:numPr>
      </w:pPr>
      <w:r w:rsidRPr="00D05A80">
        <w:t>Continual improvement of the system</w:t>
      </w:r>
    </w:p>
    <w:p w:rsidR="007E2A2B" w:rsidRPr="00D05A80" w:rsidRDefault="00C23890" w:rsidP="007E2A2B">
      <w:pPr>
        <w:pStyle w:val="ListParagraph"/>
        <w:numPr>
          <w:ilvl w:val="0"/>
          <w:numId w:val="9"/>
        </w:numPr>
      </w:pPr>
      <w:r>
        <w:t>All services are managed through documented processes delivered through an Information Management Security System (ISMS)</w:t>
      </w:r>
    </w:p>
    <w:p w:rsidR="007E2A2B" w:rsidRDefault="00214328" w:rsidP="007E2A2B">
      <w:pPr>
        <w:pStyle w:val="ISMSNormal"/>
      </w:pPr>
    </w:p>
    <w:p w:rsidR="007E2A2B" w:rsidRDefault="00C23890" w:rsidP="007E2A2B">
      <w:pPr>
        <w:pStyle w:val="ISMSNormal"/>
      </w:pPr>
      <w:r w:rsidRPr="00D05A80">
        <w:t>All breaches of confidentiality and information security, actual or suspected, will be reported and investigated</w:t>
      </w:r>
      <w:r>
        <w:t>.</w:t>
      </w:r>
    </w:p>
    <w:p w:rsidR="007E2A2B" w:rsidRDefault="00214328" w:rsidP="007E2A2B">
      <w:pPr>
        <w:pStyle w:val="ISMSNormal"/>
      </w:pPr>
    </w:p>
    <w:p w:rsidR="007E2A2B" w:rsidRDefault="00C23890" w:rsidP="007E2A2B">
      <w:pPr>
        <w:pStyle w:val="ISMSHeading2"/>
      </w:pPr>
      <w:bookmarkStart w:id="158" w:name="_Toc256000222"/>
      <w:bookmarkStart w:id="159" w:name="_Toc256000204"/>
      <w:bookmarkStart w:id="160" w:name="_Toc256000186"/>
      <w:bookmarkStart w:id="161" w:name="_Toc256000168"/>
      <w:bookmarkStart w:id="162" w:name="_Toc256000150"/>
      <w:bookmarkStart w:id="163" w:name="_Toc256000132"/>
      <w:bookmarkStart w:id="164" w:name="_Toc256000120"/>
      <w:bookmarkStart w:id="165" w:name="_Toc256000102"/>
      <w:bookmarkStart w:id="166" w:name="_Toc256000084"/>
      <w:bookmarkStart w:id="167" w:name="_Toc256000066"/>
      <w:bookmarkStart w:id="168" w:name="_Toc256000048"/>
      <w:bookmarkStart w:id="169" w:name="_Toc256000030"/>
      <w:bookmarkStart w:id="170" w:name="_Toc256000012"/>
      <w:bookmarkStart w:id="171" w:name="_Toc507579055"/>
      <w:bookmarkStart w:id="172" w:name="_Toc510689479"/>
      <w:bookmarkStart w:id="173" w:name="_Toc957735"/>
      <w:r>
        <w:t>Key Objectives</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7E2A2B" w:rsidRDefault="00C23890" w:rsidP="007E2A2B">
      <w:pPr>
        <w:pStyle w:val="ISMSNormal"/>
      </w:pPr>
      <w:r>
        <w:t xml:space="preserve">Key objectives will be established for the ISMS to guide all activities relating to information security. </w:t>
      </w:r>
    </w:p>
    <w:p w:rsidR="007E2A2B" w:rsidRDefault="00214328" w:rsidP="007E2A2B">
      <w:pPr>
        <w:pStyle w:val="ISMSNormal"/>
      </w:pPr>
    </w:p>
    <w:p w:rsidR="007E2A2B" w:rsidRDefault="00C23890" w:rsidP="007E2A2B">
      <w:pPr>
        <w:pStyle w:val="ISMSNormal"/>
      </w:pPr>
      <w:r>
        <w:t>The ISMS shall meet the following key objectives:</w:t>
      </w:r>
    </w:p>
    <w:p w:rsidR="007E2A2B" w:rsidRPr="007623E9" w:rsidRDefault="00C23890" w:rsidP="007E2A2B">
      <w:pPr>
        <w:pStyle w:val="ListParagraph"/>
        <w:numPr>
          <w:ilvl w:val="0"/>
          <w:numId w:val="13"/>
        </w:numPr>
      </w:pPr>
      <w:r>
        <w:t>Ensure staff are trained to c</w:t>
      </w:r>
      <w:r w:rsidRPr="000173AD">
        <w:t>omply with applicable laws</w:t>
      </w:r>
      <w:r>
        <w:t xml:space="preserve"> and </w:t>
      </w:r>
      <w:r w:rsidRPr="000173AD">
        <w:t>regulations</w:t>
      </w:r>
    </w:p>
    <w:p w:rsidR="007E2A2B" w:rsidRPr="007623E9" w:rsidRDefault="00C23890" w:rsidP="007E2A2B">
      <w:pPr>
        <w:pStyle w:val="ListParagraph"/>
        <w:numPr>
          <w:ilvl w:val="0"/>
          <w:numId w:val="13"/>
        </w:numPr>
      </w:pPr>
      <w:r>
        <w:t xml:space="preserve">Take reasonable measures to prevent </w:t>
      </w:r>
      <w:r w:rsidRPr="007623E9">
        <w:t>unauthorised access</w:t>
      </w:r>
      <w:r>
        <w:t xml:space="preserve"> to the TRE</w:t>
      </w:r>
    </w:p>
    <w:p w:rsidR="007E2A2B" w:rsidRPr="007623E9" w:rsidRDefault="00C23890" w:rsidP="007E2A2B">
      <w:pPr>
        <w:pStyle w:val="ListParagraph"/>
        <w:numPr>
          <w:ilvl w:val="0"/>
          <w:numId w:val="13"/>
        </w:numPr>
      </w:pPr>
      <w:r>
        <w:t>Maintain c</w:t>
      </w:r>
      <w:r w:rsidRPr="007623E9">
        <w:t>onfidentiality of information</w:t>
      </w:r>
    </w:p>
    <w:p w:rsidR="007E2A2B" w:rsidRPr="007623E9" w:rsidRDefault="00C23890" w:rsidP="007E2A2B">
      <w:pPr>
        <w:pStyle w:val="ListParagraph"/>
        <w:numPr>
          <w:ilvl w:val="0"/>
          <w:numId w:val="13"/>
        </w:numPr>
      </w:pPr>
      <w:r w:rsidRPr="007623E9">
        <w:lastRenderedPageBreak/>
        <w:t xml:space="preserve">Integrity of </w:t>
      </w:r>
      <w:r>
        <w:t xml:space="preserve">imported </w:t>
      </w:r>
      <w:r w:rsidRPr="007623E9">
        <w:t>information will be maintained</w:t>
      </w:r>
    </w:p>
    <w:p w:rsidR="007E2A2B" w:rsidRDefault="00C23890" w:rsidP="007E2A2B">
      <w:pPr>
        <w:pStyle w:val="ListParagraph"/>
        <w:numPr>
          <w:ilvl w:val="0"/>
          <w:numId w:val="13"/>
        </w:numPr>
      </w:pPr>
      <w:r w:rsidRPr="007623E9">
        <w:t>Deliver services that meet the needs of our users</w:t>
      </w:r>
    </w:p>
    <w:p w:rsidR="007E2A2B" w:rsidRDefault="00C23890" w:rsidP="007E2A2B">
      <w:pPr>
        <w:pStyle w:val="ListParagraph"/>
        <w:numPr>
          <w:ilvl w:val="0"/>
          <w:numId w:val="13"/>
        </w:numPr>
      </w:pPr>
      <w:r>
        <w:t xml:space="preserve">Manage all security events to minimise impact on the TRE </w:t>
      </w:r>
    </w:p>
    <w:p w:rsidR="007E2A2B" w:rsidRDefault="00214328" w:rsidP="007E2A2B">
      <w:pPr>
        <w:pStyle w:val="ISMSNormal"/>
      </w:pPr>
    </w:p>
    <w:p w:rsidR="007E2A2B" w:rsidRDefault="00C23890" w:rsidP="007E2A2B">
      <w:pPr>
        <w:pStyle w:val="ISMSHeading1"/>
      </w:pPr>
      <w:bookmarkStart w:id="174" w:name="_Toc256000223"/>
      <w:bookmarkStart w:id="175" w:name="_Toc256000205"/>
      <w:bookmarkStart w:id="176" w:name="_Toc256000187"/>
      <w:bookmarkStart w:id="177" w:name="_Toc256000169"/>
      <w:bookmarkStart w:id="178" w:name="_Toc256000151"/>
      <w:bookmarkStart w:id="179" w:name="_Toc256000133"/>
      <w:bookmarkStart w:id="180" w:name="_Toc256000121"/>
      <w:bookmarkStart w:id="181" w:name="_Toc256000103"/>
      <w:bookmarkStart w:id="182" w:name="_Toc256000085"/>
      <w:bookmarkStart w:id="183" w:name="_Toc256000067"/>
      <w:bookmarkStart w:id="184" w:name="_Toc256000049"/>
      <w:bookmarkStart w:id="185" w:name="_Toc256000031"/>
      <w:bookmarkStart w:id="186" w:name="_Toc256000013"/>
      <w:bookmarkStart w:id="187" w:name="_Toc507579056"/>
      <w:bookmarkStart w:id="188" w:name="_Toc510689480"/>
      <w:bookmarkStart w:id="189" w:name="_Toc957736"/>
      <w:r w:rsidRPr="007623E9">
        <w:t>Approach</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7E2A2B" w:rsidRDefault="00C23890" w:rsidP="007E2A2B">
      <w:pPr>
        <w:pStyle w:val="ISMSNormal"/>
        <w:rPr>
          <w:lang w:val="en-GB"/>
        </w:rPr>
      </w:pPr>
      <w:r>
        <w:rPr>
          <w:lang w:val="en-GB"/>
        </w:rPr>
        <w:t>Specific procedures and policies will be defined as part of the ISMS separate from this document. These will address key aspects including:</w:t>
      </w:r>
    </w:p>
    <w:p w:rsidR="007E2A2B" w:rsidRDefault="00C23890" w:rsidP="007E2A2B">
      <w:pPr>
        <w:pStyle w:val="ListParagraph"/>
      </w:pPr>
      <w:r>
        <w:t>the assignment of general and specific responsibilities for information security management to defined roles;</w:t>
      </w:r>
    </w:p>
    <w:p w:rsidR="007E2A2B" w:rsidRDefault="00C23890" w:rsidP="007E2A2B">
      <w:pPr>
        <w:pStyle w:val="ListParagraph"/>
      </w:pPr>
      <w:r>
        <w:t>processes for handling deviations and exceptions</w:t>
      </w:r>
    </w:p>
    <w:p w:rsidR="007E2A2B" w:rsidRDefault="00214328" w:rsidP="007E2A2B">
      <w:pPr>
        <w:pStyle w:val="ISMSNormal"/>
      </w:pPr>
    </w:p>
    <w:p w:rsidR="007E2A2B" w:rsidRDefault="00C23890" w:rsidP="007E2A2B">
      <w:pPr>
        <w:pStyle w:val="ISMSNormal"/>
      </w:pPr>
      <w:r>
        <w:t>At a lower level, the information security policy will be supported by topic-specific policies, which will further mandate the implementation of information security controls and will be structured to address the needs of certain target groups within the organization or to cover specific topics.</w:t>
      </w:r>
    </w:p>
    <w:p w:rsidR="007E2A2B" w:rsidRDefault="00214328" w:rsidP="007E2A2B">
      <w:pPr>
        <w:pStyle w:val="ISMSNormal"/>
        <w:rPr>
          <w:lang w:val="en-GB"/>
        </w:rPr>
      </w:pPr>
    </w:p>
    <w:p w:rsidR="007E2A2B" w:rsidRDefault="00C23890" w:rsidP="007E2A2B">
      <w:pPr>
        <w:pStyle w:val="ISMSHeading2"/>
      </w:pPr>
      <w:bookmarkStart w:id="190" w:name="_Toc256000224"/>
      <w:bookmarkStart w:id="191" w:name="_Toc256000206"/>
      <w:bookmarkStart w:id="192" w:name="_Toc256000188"/>
      <w:bookmarkStart w:id="193" w:name="_Toc256000170"/>
      <w:bookmarkStart w:id="194" w:name="_Toc256000152"/>
      <w:bookmarkStart w:id="195" w:name="_Toc256000134"/>
      <w:bookmarkStart w:id="196" w:name="_Toc256000122"/>
      <w:bookmarkStart w:id="197" w:name="_Toc256000104"/>
      <w:bookmarkStart w:id="198" w:name="_Toc256000086"/>
      <w:bookmarkStart w:id="199" w:name="_Toc256000068"/>
      <w:bookmarkStart w:id="200" w:name="_Toc256000050"/>
      <w:bookmarkStart w:id="201" w:name="_Toc256000032"/>
      <w:bookmarkStart w:id="202" w:name="_Toc256000014"/>
      <w:bookmarkStart w:id="203" w:name="_Toc510689481"/>
      <w:bookmarkStart w:id="204" w:name="_Toc957737"/>
      <w:r>
        <w:t>Management of Objectives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rsidR="007E2A2B" w:rsidRDefault="00C23890" w:rsidP="007E2A2B">
      <w:pPr>
        <w:pStyle w:val="ISMSNormal"/>
      </w:pPr>
      <w:r w:rsidRPr="00F566D3">
        <w:t xml:space="preserve">Detailed information security </w:t>
      </w:r>
      <w:r>
        <w:t xml:space="preserve">measures based on the key </w:t>
      </w:r>
      <w:r w:rsidRPr="00F566D3">
        <w:t>objectives will be produce</w:t>
      </w:r>
      <w:r>
        <w:t xml:space="preserve">d (ISMS-02-12) as part of the ISMS Improvement </w:t>
      </w:r>
      <w:r w:rsidRPr="00F566D3">
        <w:t xml:space="preserve">process and confirmed </w:t>
      </w:r>
      <w:r>
        <w:t xml:space="preserve">and reported </w:t>
      </w:r>
      <w:r w:rsidRPr="00F566D3">
        <w:t>by the ISMS Management Team.</w:t>
      </w:r>
    </w:p>
    <w:p w:rsidR="007E2A2B" w:rsidRDefault="00214328" w:rsidP="007E2A2B">
      <w:pPr>
        <w:pStyle w:val="ISMSNormal"/>
        <w:rPr>
          <w:lang w:val="en-GB"/>
        </w:rPr>
      </w:pPr>
    </w:p>
    <w:p w:rsidR="007E2A2B" w:rsidRDefault="00C23890" w:rsidP="007E2A2B">
      <w:pPr>
        <w:pStyle w:val="ISMSHeading2"/>
      </w:pPr>
      <w:bookmarkStart w:id="205" w:name="_Toc256000225"/>
      <w:bookmarkStart w:id="206" w:name="_Toc256000207"/>
      <w:bookmarkStart w:id="207" w:name="_Toc256000189"/>
      <w:bookmarkStart w:id="208" w:name="_Toc256000171"/>
      <w:bookmarkStart w:id="209" w:name="_Toc256000153"/>
      <w:bookmarkStart w:id="210" w:name="_Toc256000135"/>
      <w:bookmarkStart w:id="211" w:name="_Toc256000123"/>
      <w:bookmarkStart w:id="212" w:name="_Toc256000105"/>
      <w:bookmarkStart w:id="213" w:name="_Toc256000087"/>
      <w:bookmarkStart w:id="214" w:name="_Toc256000069"/>
      <w:bookmarkStart w:id="215" w:name="_Toc256000051"/>
      <w:bookmarkStart w:id="216" w:name="_Toc256000033"/>
      <w:bookmarkStart w:id="217" w:name="_Toc256000015"/>
      <w:bookmarkStart w:id="218" w:name="_Toc507579058"/>
      <w:bookmarkStart w:id="219" w:name="_Toc510689482"/>
      <w:bookmarkStart w:id="220" w:name="_Toc957738"/>
      <w:r>
        <w:t>Controls Statement of Applicability</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7E2A2B" w:rsidRDefault="00C23890" w:rsidP="007E2A2B">
      <w:pPr>
        <w:pStyle w:val="ISMSNormal"/>
        <w:rPr>
          <w:lang w:val="en-GB"/>
        </w:rPr>
      </w:pPr>
      <w:r>
        <w:t>The ISO27001 controls will be applied to support the delivery of the key objectives and to minimise the impact of the risk threats. Risk assessment will be performed periodically to address any changes in the information security requirements and in the risk situation. The output of these assessments will be used to determine whether the implemented controls still provide the necessary level of protection and relevant controls will be implemented to manage unacceptable risk. Where there are changes in risks or the organisation’s objectives it may also be appropriate for controls to be removed.</w:t>
      </w:r>
    </w:p>
    <w:p w:rsidR="007E2A2B" w:rsidRDefault="00214328" w:rsidP="007E2A2B">
      <w:pPr>
        <w:pStyle w:val="ISMSNormal"/>
        <w:rPr>
          <w:lang w:val="en-GB"/>
        </w:rPr>
        <w:sectPr w:rsidR="007E2A2B" w:rsidSect="00B64E0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p>
    <w:p w:rsidR="007E2A2B" w:rsidRDefault="00C23890" w:rsidP="007E2A2B">
      <w:pPr>
        <w:pStyle w:val="ISMSHeading2"/>
      </w:pPr>
      <w:bookmarkStart w:id="221" w:name="_Toc256000226"/>
      <w:bookmarkStart w:id="222" w:name="_Toc256000208"/>
      <w:bookmarkStart w:id="223" w:name="_Toc256000190"/>
      <w:bookmarkStart w:id="224" w:name="_Toc256000172"/>
      <w:bookmarkStart w:id="225" w:name="_Toc256000154"/>
      <w:bookmarkStart w:id="226" w:name="_Toc256000136"/>
      <w:bookmarkStart w:id="227" w:name="_Toc256000124"/>
      <w:bookmarkStart w:id="228" w:name="_Toc256000106"/>
      <w:bookmarkStart w:id="229" w:name="_Toc256000088"/>
      <w:bookmarkStart w:id="230" w:name="_Toc256000070"/>
      <w:bookmarkStart w:id="231" w:name="_Toc256000052"/>
      <w:bookmarkStart w:id="232" w:name="_Toc256000034"/>
      <w:bookmarkStart w:id="233" w:name="_Toc256000016"/>
      <w:bookmarkStart w:id="234" w:name="_Toc507579059"/>
      <w:bookmarkStart w:id="235" w:name="_Toc510689483"/>
      <w:bookmarkStart w:id="236" w:name="_Toc957739"/>
      <w:r>
        <w:lastRenderedPageBreak/>
        <w:t xml:space="preserve">ISMS </w:t>
      </w:r>
      <w:r w:rsidRPr="00356EA2">
        <w:t>Process</w:t>
      </w:r>
      <w:r>
        <w:t>es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7E2A2B" w:rsidRDefault="00C23890" w:rsidP="007E2A2B">
      <w:pPr>
        <w:pStyle w:val="ISMSNormal"/>
        <w:rPr>
          <w:lang w:val="en-GB"/>
        </w:rPr>
      </w:pPr>
      <w:r>
        <w:rPr>
          <w:lang w:val="en-GB"/>
        </w:rPr>
        <w:t>The ISMS will be managed using a set of process groups with supporting documentation to enable delivery and management of the objectives. These shall be further divided into the key ISMS processes to support the management and delivery of the ISMS.</w:t>
      </w:r>
    </w:p>
    <w:p w:rsidR="007E2A2B" w:rsidRDefault="00214328" w:rsidP="007E2A2B">
      <w:pPr>
        <w:pStyle w:val="ISMSNormal"/>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
        <w:gridCol w:w="2092"/>
        <w:gridCol w:w="3336"/>
        <w:gridCol w:w="7716"/>
      </w:tblGrid>
      <w:tr w:rsidR="002518FD" w:rsidTr="007D3D7E">
        <w:trPr>
          <w:trHeight w:val="300"/>
        </w:trPr>
        <w:tc>
          <w:tcPr>
            <w:tcW w:w="288" w:type="pct"/>
            <w:shd w:val="clear" w:color="auto" w:fill="D9D9D9" w:themeFill="background1" w:themeFillShade="D9"/>
            <w:vAlign w:val="center"/>
          </w:tcPr>
          <w:p w:rsidR="007E2A2B" w:rsidRPr="00DD56E0" w:rsidRDefault="00C23890" w:rsidP="00203D50">
            <w:pPr>
              <w:jc w:val="center"/>
              <w:rPr>
                <w:b/>
                <w:lang w:eastAsia="en-GB"/>
              </w:rPr>
            </w:pPr>
            <w:r>
              <w:rPr>
                <w:b/>
                <w:lang w:eastAsia="en-GB"/>
              </w:rPr>
              <w:t>ISMS No</w:t>
            </w:r>
          </w:p>
        </w:tc>
        <w:tc>
          <w:tcPr>
            <w:tcW w:w="750" w:type="pct"/>
            <w:shd w:val="clear" w:color="auto" w:fill="D9D9D9" w:themeFill="background1" w:themeFillShade="D9"/>
            <w:noWrap/>
            <w:vAlign w:val="center"/>
            <w:hideMark/>
          </w:tcPr>
          <w:p w:rsidR="007E2A2B" w:rsidRPr="00DD56E0" w:rsidRDefault="00C23890" w:rsidP="00203D50">
            <w:pPr>
              <w:rPr>
                <w:b/>
                <w:lang w:eastAsia="en-GB"/>
              </w:rPr>
            </w:pPr>
            <w:r w:rsidRPr="00DD56E0">
              <w:rPr>
                <w:b/>
                <w:lang w:eastAsia="en-GB"/>
              </w:rPr>
              <w:t>Process</w:t>
            </w:r>
            <w:r>
              <w:rPr>
                <w:b/>
                <w:lang w:eastAsia="en-GB"/>
              </w:rPr>
              <w:t xml:space="preserve"> Group</w:t>
            </w:r>
          </w:p>
        </w:tc>
        <w:tc>
          <w:tcPr>
            <w:tcW w:w="1196" w:type="pct"/>
            <w:shd w:val="clear" w:color="auto" w:fill="D9D9D9" w:themeFill="background1" w:themeFillShade="D9"/>
            <w:noWrap/>
            <w:vAlign w:val="center"/>
            <w:hideMark/>
          </w:tcPr>
          <w:p w:rsidR="007E2A2B" w:rsidRPr="007A7633" w:rsidRDefault="00C23890" w:rsidP="00203D50">
            <w:pPr>
              <w:rPr>
                <w:b/>
                <w:bCs/>
                <w:lang w:eastAsia="en-GB"/>
              </w:rPr>
            </w:pPr>
            <w:r>
              <w:rPr>
                <w:b/>
                <w:bCs/>
                <w:lang w:eastAsia="en-GB"/>
              </w:rPr>
              <w:t>ISMS Process</w:t>
            </w:r>
          </w:p>
        </w:tc>
        <w:tc>
          <w:tcPr>
            <w:tcW w:w="2766" w:type="pct"/>
            <w:shd w:val="clear" w:color="auto" w:fill="D9D9D9" w:themeFill="background1" w:themeFillShade="D9"/>
            <w:vAlign w:val="center"/>
          </w:tcPr>
          <w:p w:rsidR="007E2A2B" w:rsidRDefault="00C23890" w:rsidP="00203D50">
            <w:pPr>
              <w:rPr>
                <w:b/>
                <w:bCs/>
                <w:lang w:eastAsia="en-GB"/>
              </w:rPr>
            </w:pPr>
            <w:r>
              <w:rPr>
                <w:b/>
                <w:bCs/>
                <w:lang w:eastAsia="en-GB"/>
              </w:rPr>
              <w:t>Process Description</w:t>
            </w:r>
          </w:p>
        </w:tc>
      </w:tr>
      <w:tr w:rsidR="002518FD" w:rsidTr="007D3D7E">
        <w:trPr>
          <w:trHeight w:val="300"/>
        </w:trPr>
        <w:tc>
          <w:tcPr>
            <w:tcW w:w="288" w:type="pct"/>
            <w:vMerge w:val="restart"/>
            <w:vAlign w:val="center"/>
          </w:tcPr>
          <w:p w:rsidR="007E2A2B" w:rsidRDefault="00C23890" w:rsidP="00203D50">
            <w:pPr>
              <w:jc w:val="center"/>
              <w:rPr>
                <w:lang w:eastAsia="en-GB"/>
              </w:rPr>
            </w:pPr>
            <w:r>
              <w:rPr>
                <w:lang w:eastAsia="en-GB"/>
              </w:rPr>
              <w:t>01</w:t>
            </w:r>
          </w:p>
        </w:tc>
        <w:tc>
          <w:tcPr>
            <w:tcW w:w="750" w:type="pct"/>
            <w:vMerge w:val="restart"/>
            <w:shd w:val="clear" w:color="auto" w:fill="auto"/>
            <w:noWrap/>
            <w:vAlign w:val="center"/>
          </w:tcPr>
          <w:p w:rsidR="007E2A2B" w:rsidRPr="007A7633" w:rsidRDefault="00C23890" w:rsidP="00203D50">
            <w:pPr>
              <w:rPr>
                <w:lang w:eastAsia="en-GB"/>
              </w:rPr>
            </w:pPr>
            <w:r>
              <w:rPr>
                <w:lang w:eastAsia="en-GB"/>
              </w:rPr>
              <w:t>Personnel and Training</w:t>
            </w:r>
          </w:p>
        </w:tc>
        <w:tc>
          <w:tcPr>
            <w:tcW w:w="1196" w:type="pct"/>
            <w:shd w:val="clear" w:color="auto" w:fill="auto"/>
            <w:noWrap/>
            <w:vAlign w:val="center"/>
          </w:tcPr>
          <w:p w:rsidR="007E2A2B" w:rsidRPr="007A7633" w:rsidRDefault="00C23890" w:rsidP="00203D50">
            <w:pPr>
              <w:rPr>
                <w:lang w:eastAsia="en-GB"/>
              </w:rPr>
            </w:pPr>
            <w:r w:rsidRPr="007A7633">
              <w:rPr>
                <w:lang w:eastAsia="en-GB"/>
              </w:rPr>
              <w:t>Staff Induction</w:t>
            </w:r>
            <w:r>
              <w:rPr>
                <w:lang w:eastAsia="en-GB"/>
              </w:rPr>
              <w:t>, Update</w:t>
            </w:r>
            <w:r w:rsidRPr="007A7633">
              <w:rPr>
                <w:lang w:eastAsia="en-GB"/>
              </w:rPr>
              <w:t xml:space="preserve"> and Exit</w:t>
            </w:r>
          </w:p>
        </w:tc>
        <w:tc>
          <w:tcPr>
            <w:tcW w:w="2766" w:type="pct"/>
          </w:tcPr>
          <w:p w:rsidR="007E2A2B" w:rsidRPr="00745370" w:rsidRDefault="00C23890" w:rsidP="00203D50">
            <w:pPr>
              <w:rPr>
                <w:lang w:eastAsia="en-GB"/>
              </w:rPr>
            </w:pPr>
            <w:r>
              <w:rPr>
                <w:lang w:eastAsia="en-GB"/>
              </w:rPr>
              <w:t>Management of the</w:t>
            </w:r>
            <w:r w:rsidRPr="00745370">
              <w:rPr>
                <w:lang w:eastAsia="en-GB"/>
              </w:rPr>
              <w:t xml:space="preserve"> full lifecycle of </w:t>
            </w:r>
            <w:r>
              <w:rPr>
                <w:lang w:eastAsia="en-GB"/>
              </w:rPr>
              <w:t>personnel</w:t>
            </w:r>
            <w:r w:rsidRPr="00745370">
              <w:rPr>
                <w:lang w:eastAsia="en-GB"/>
              </w:rPr>
              <w:t xml:space="preserve"> </w:t>
            </w:r>
            <w:r>
              <w:rPr>
                <w:lang w:eastAsia="en-GB"/>
              </w:rPr>
              <w:t xml:space="preserve">that are in scope of the ISMS. Is additional to the </w:t>
            </w:r>
            <w:r w:rsidRPr="00745370">
              <w:rPr>
                <w:lang w:eastAsia="en-GB"/>
              </w:rPr>
              <w:t xml:space="preserve">University’s own HR </w:t>
            </w:r>
            <w:r>
              <w:rPr>
                <w:lang w:eastAsia="en-GB"/>
              </w:rPr>
              <w:t>processes</w:t>
            </w:r>
            <w:r w:rsidRPr="00745370">
              <w:rPr>
                <w:lang w:eastAsia="en-GB"/>
              </w:rPr>
              <w:t xml:space="preserve"> </w:t>
            </w:r>
            <w:r>
              <w:rPr>
                <w:lang w:eastAsia="en-GB"/>
              </w:rPr>
              <w:t xml:space="preserve">and </w:t>
            </w:r>
            <w:r w:rsidRPr="00745370">
              <w:rPr>
                <w:lang w:eastAsia="en-GB"/>
              </w:rPr>
              <w:t>ensur</w:t>
            </w:r>
            <w:r>
              <w:rPr>
                <w:lang w:eastAsia="en-GB"/>
              </w:rPr>
              <w:t xml:space="preserve">es that </w:t>
            </w:r>
            <w:r w:rsidRPr="00745370">
              <w:rPr>
                <w:lang w:eastAsia="en-GB"/>
              </w:rPr>
              <w:t>each person join</w:t>
            </w:r>
            <w:r>
              <w:rPr>
                <w:lang w:eastAsia="en-GB"/>
              </w:rPr>
              <w:t xml:space="preserve">ing </w:t>
            </w:r>
            <w:r w:rsidRPr="00745370">
              <w:rPr>
                <w:lang w:eastAsia="en-GB"/>
              </w:rPr>
              <w:t>or leav</w:t>
            </w:r>
            <w:r>
              <w:rPr>
                <w:lang w:eastAsia="en-GB"/>
              </w:rPr>
              <w:t>ing</w:t>
            </w:r>
            <w:r w:rsidRPr="00745370">
              <w:rPr>
                <w:lang w:eastAsia="en-GB"/>
              </w:rPr>
              <w:t xml:space="preserve"> the Centre </w:t>
            </w:r>
            <w:r>
              <w:rPr>
                <w:lang w:eastAsia="en-GB"/>
              </w:rPr>
              <w:t xml:space="preserve">for Health Informatics </w:t>
            </w:r>
            <w:r w:rsidRPr="00745370">
              <w:rPr>
                <w:lang w:eastAsia="en-GB"/>
              </w:rPr>
              <w:t xml:space="preserve">has all relevant details recorded. </w:t>
            </w:r>
          </w:p>
        </w:tc>
      </w:tr>
      <w:tr w:rsidR="002518FD" w:rsidTr="007D3D7E">
        <w:trPr>
          <w:trHeight w:val="300"/>
        </w:trPr>
        <w:tc>
          <w:tcPr>
            <w:tcW w:w="288" w:type="pct"/>
            <w:vMerge/>
            <w:vAlign w:val="center"/>
          </w:tcPr>
          <w:p w:rsidR="007E2A2B" w:rsidRPr="007A7633" w:rsidRDefault="00214328" w:rsidP="00203D50">
            <w:pPr>
              <w:jc w:val="center"/>
              <w:rPr>
                <w:lang w:eastAsia="en-GB"/>
              </w:rPr>
            </w:pPr>
          </w:p>
        </w:tc>
        <w:tc>
          <w:tcPr>
            <w:tcW w:w="750" w:type="pct"/>
            <w:vMerge/>
            <w:shd w:val="clear" w:color="auto" w:fill="auto"/>
            <w:noWrap/>
            <w:vAlign w:val="center"/>
          </w:tcPr>
          <w:p w:rsidR="007E2A2B" w:rsidRPr="007A7633" w:rsidRDefault="00214328" w:rsidP="00203D50">
            <w:pPr>
              <w:rPr>
                <w:lang w:eastAsia="en-GB"/>
              </w:rPr>
            </w:pPr>
          </w:p>
        </w:tc>
        <w:tc>
          <w:tcPr>
            <w:tcW w:w="1196" w:type="pct"/>
            <w:shd w:val="clear" w:color="auto" w:fill="auto"/>
            <w:noWrap/>
            <w:vAlign w:val="center"/>
          </w:tcPr>
          <w:p w:rsidR="007E2A2B" w:rsidRPr="007A7633" w:rsidRDefault="00C23890" w:rsidP="00203D50">
            <w:pPr>
              <w:rPr>
                <w:lang w:eastAsia="en-GB"/>
              </w:rPr>
            </w:pPr>
            <w:r w:rsidRPr="007A7633">
              <w:rPr>
                <w:lang w:eastAsia="en-GB"/>
              </w:rPr>
              <w:t>Staff Training and Competency</w:t>
            </w:r>
          </w:p>
        </w:tc>
        <w:tc>
          <w:tcPr>
            <w:tcW w:w="2766" w:type="pct"/>
          </w:tcPr>
          <w:p w:rsidR="007E2A2B" w:rsidRPr="00745370" w:rsidRDefault="00C23890" w:rsidP="00203D50">
            <w:pPr>
              <w:rPr>
                <w:lang w:eastAsia="en-GB"/>
              </w:rPr>
            </w:pPr>
            <w:r>
              <w:rPr>
                <w:lang w:eastAsia="en-GB"/>
              </w:rPr>
              <w:t>Ensuring the person assigned to each role is suitably qualified and knowledgeable. Includes definition of competencies for core ISMS roles and management of training courses within the ISMS.</w:t>
            </w:r>
          </w:p>
        </w:tc>
      </w:tr>
      <w:tr w:rsidR="002518FD" w:rsidTr="007D3D7E">
        <w:trPr>
          <w:trHeight w:val="300"/>
        </w:trPr>
        <w:tc>
          <w:tcPr>
            <w:tcW w:w="288" w:type="pct"/>
            <w:vMerge w:val="restart"/>
            <w:vAlign w:val="center"/>
          </w:tcPr>
          <w:p w:rsidR="007E2A2B" w:rsidRDefault="00C23890" w:rsidP="00203D50">
            <w:pPr>
              <w:jc w:val="center"/>
              <w:rPr>
                <w:lang w:eastAsia="en-GB"/>
              </w:rPr>
            </w:pPr>
            <w:r>
              <w:rPr>
                <w:lang w:eastAsia="en-GB"/>
              </w:rPr>
              <w:t>02</w:t>
            </w:r>
          </w:p>
        </w:tc>
        <w:tc>
          <w:tcPr>
            <w:tcW w:w="750" w:type="pct"/>
            <w:vMerge w:val="restart"/>
            <w:shd w:val="clear" w:color="auto" w:fill="auto"/>
            <w:noWrap/>
            <w:vAlign w:val="center"/>
          </w:tcPr>
          <w:p w:rsidR="007E2A2B" w:rsidRPr="007A7633" w:rsidRDefault="00C23890" w:rsidP="00203D50">
            <w:pPr>
              <w:rPr>
                <w:lang w:eastAsia="en-GB"/>
              </w:rPr>
            </w:pPr>
            <w:r>
              <w:rPr>
                <w:lang w:eastAsia="en-GB"/>
              </w:rPr>
              <w:t>ISMS Management</w:t>
            </w:r>
          </w:p>
        </w:tc>
        <w:tc>
          <w:tcPr>
            <w:tcW w:w="1196" w:type="pct"/>
            <w:shd w:val="clear" w:color="auto" w:fill="auto"/>
            <w:noWrap/>
            <w:vAlign w:val="center"/>
          </w:tcPr>
          <w:p w:rsidR="007E2A2B" w:rsidRPr="007A7633" w:rsidRDefault="00C23890" w:rsidP="00203D50">
            <w:pPr>
              <w:rPr>
                <w:lang w:eastAsia="en-GB"/>
              </w:rPr>
            </w:pPr>
            <w:r w:rsidRPr="007A7633">
              <w:rPr>
                <w:lang w:eastAsia="en-GB"/>
              </w:rPr>
              <w:t xml:space="preserve">ISMS </w:t>
            </w:r>
            <w:r>
              <w:rPr>
                <w:lang w:eastAsia="en-GB"/>
              </w:rPr>
              <w:t xml:space="preserve">Event and </w:t>
            </w:r>
            <w:r w:rsidRPr="007A7633">
              <w:rPr>
                <w:lang w:eastAsia="en-GB"/>
              </w:rPr>
              <w:t>Incident Management</w:t>
            </w:r>
          </w:p>
        </w:tc>
        <w:tc>
          <w:tcPr>
            <w:tcW w:w="2766" w:type="pct"/>
          </w:tcPr>
          <w:p w:rsidR="007E2A2B" w:rsidRPr="00745370" w:rsidRDefault="00C23890" w:rsidP="00203D50">
            <w:pPr>
              <w:rPr>
                <w:lang w:eastAsia="en-GB"/>
              </w:rPr>
            </w:pPr>
            <w:r>
              <w:rPr>
                <w:lang w:eastAsia="en-GB"/>
              </w:rPr>
              <w:t>For the reporting and management of any security event or opportunity for ISMS improvement. Also includes for management of security incidents.</w:t>
            </w:r>
          </w:p>
        </w:tc>
      </w:tr>
      <w:tr w:rsidR="002518FD" w:rsidTr="007D3D7E">
        <w:trPr>
          <w:trHeight w:val="300"/>
        </w:trPr>
        <w:tc>
          <w:tcPr>
            <w:tcW w:w="288" w:type="pct"/>
            <w:vMerge/>
            <w:vAlign w:val="center"/>
          </w:tcPr>
          <w:p w:rsidR="007E2A2B" w:rsidRPr="007A7633" w:rsidRDefault="00214328" w:rsidP="00203D50">
            <w:pPr>
              <w:jc w:val="center"/>
              <w:rPr>
                <w:lang w:eastAsia="en-GB"/>
              </w:rPr>
            </w:pPr>
          </w:p>
        </w:tc>
        <w:tc>
          <w:tcPr>
            <w:tcW w:w="750" w:type="pct"/>
            <w:vMerge/>
            <w:shd w:val="clear" w:color="auto" w:fill="auto"/>
            <w:noWrap/>
            <w:vAlign w:val="center"/>
          </w:tcPr>
          <w:p w:rsidR="007E2A2B" w:rsidRPr="007A7633" w:rsidRDefault="00214328" w:rsidP="00203D50">
            <w:pPr>
              <w:rPr>
                <w:lang w:eastAsia="en-GB"/>
              </w:rPr>
            </w:pPr>
          </w:p>
        </w:tc>
        <w:tc>
          <w:tcPr>
            <w:tcW w:w="1196" w:type="pct"/>
            <w:shd w:val="clear" w:color="auto" w:fill="auto"/>
            <w:noWrap/>
            <w:vAlign w:val="center"/>
          </w:tcPr>
          <w:p w:rsidR="007E2A2B" w:rsidRPr="007A7633" w:rsidRDefault="00C23890" w:rsidP="00203D50">
            <w:pPr>
              <w:rPr>
                <w:lang w:eastAsia="en-GB"/>
              </w:rPr>
            </w:pPr>
            <w:r w:rsidRPr="007A7633">
              <w:rPr>
                <w:lang w:eastAsia="en-GB"/>
              </w:rPr>
              <w:t>ISMS Document Management</w:t>
            </w:r>
          </w:p>
        </w:tc>
        <w:tc>
          <w:tcPr>
            <w:tcW w:w="2766" w:type="pct"/>
          </w:tcPr>
          <w:p w:rsidR="007E2A2B" w:rsidRPr="00745370" w:rsidRDefault="00C23890" w:rsidP="00203D50">
            <w:pPr>
              <w:rPr>
                <w:lang w:eastAsia="en-GB"/>
              </w:rPr>
            </w:pPr>
            <w:r>
              <w:rPr>
                <w:lang w:eastAsia="en-GB"/>
              </w:rPr>
              <w:t>Lifecycle management of all ISMS documents including creation, review, approval, distribution, acknowledgement of understanding and version control.</w:t>
            </w:r>
          </w:p>
        </w:tc>
      </w:tr>
      <w:tr w:rsidR="002518FD" w:rsidTr="007D3D7E">
        <w:trPr>
          <w:trHeight w:val="300"/>
        </w:trPr>
        <w:tc>
          <w:tcPr>
            <w:tcW w:w="288" w:type="pct"/>
            <w:vMerge/>
            <w:vAlign w:val="center"/>
          </w:tcPr>
          <w:p w:rsidR="007E2A2B" w:rsidRPr="007A7633" w:rsidRDefault="00214328" w:rsidP="00203D50">
            <w:pPr>
              <w:jc w:val="center"/>
              <w:rPr>
                <w:lang w:eastAsia="en-GB"/>
              </w:rPr>
            </w:pPr>
          </w:p>
        </w:tc>
        <w:tc>
          <w:tcPr>
            <w:tcW w:w="750" w:type="pct"/>
            <w:vMerge/>
            <w:shd w:val="clear" w:color="auto" w:fill="auto"/>
            <w:noWrap/>
            <w:vAlign w:val="center"/>
          </w:tcPr>
          <w:p w:rsidR="007E2A2B" w:rsidRPr="007A7633" w:rsidRDefault="00214328" w:rsidP="00203D50">
            <w:pPr>
              <w:rPr>
                <w:lang w:eastAsia="en-GB"/>
              </w:rPr>
            </w:pPr>
          </w:p>
        </w:tc>
        <w:tc>
          <w:tcPr>
            <w:tcW w:w="1196" w:type="pct"/>
            <w:shd w:val="clear" w:color="auto" w:fill="auto"/>
            <w:noWrap/>
            <w:vAlign w:val="center"/>
          </w:tcPr>
          <w:p w:rsidR="007E2A2B" w:rsidRPr="007A7633" w:rsidRDefault="00C23890" w:rsidP="00203D50">
            <w:pPr>
              <w:rPr>
                <w:lang w:eastAsia="en-GB"/>
              </w:rPr>
            </w:pPr>
            <w:r w:rsidRPr="007A7633">
              <w:rPr>
                <w:lang w:eastAsia="en-GB"/>
              </w:rPr>
              <w:t>ISMS Management</w:t>
            </w:r>
          </w:p>
        </w:tc>
        <w:tc>
          <w:tcPr>
            <w:tcW w:w="2766" w:type="pct"/>
          </w:tcPr>
          <w:p w:rsidR="007E2A2B" w:rsidRPr="00745370" w:rsidRDefault="00C23890" w:rsidP="00203D50">
            <w:pPr>
              <w:rPr>
                <w:lang w:eastAsia="en-GB"/>
              </w:rPr>
            </w:pPr>
            <w:r>
              <w:rPr>
                <w:lang w:eastAsia="en-GB"/>
              </w:rPr>
              <w:t xml:space="preserve">A risk-based approach to managing the compliance and performance of the ISMS processes to ensure the organisation meets its information security objectives. Includes the core </w:t>
            </w:r>
            <w:r w:rsidRPr="00745370">
              <w:rPr>
                <w:lang w:eastAsia="en-GB"/>
              </w:rPr>
              <w:t>documents that describe the main</w:t>
            </w:r>
            <w:r>
              <w:rPr>
                <w:lang w:eastAsia="en-GB"/>
              </w:rPr>
              <w:t xml:space="preserve"> purpose and scope of the ISMS, and how the implemented security controls map to the requirements of the ISO27001 standard. Reviews the scope of the ISMS and significant risks and security incidents.</w:t>
            </w:r>
          </w:p>
        </w:tc>
      </w:tr>
      <w:tr w:rsidR="002518FD" w:rsidTr="007D3D7E">
        <w:trPr>
          <w:trHeight w:val="300"/>
        </w:trPr>
        <w:tc>
          <w:tcPr>
            <w:tcW w:w="288" w:type="pct"/>
            <w:vMerge/>
            <w:vAlign w:val="center"/>
          </w:tcPr>
          <w:p w:rsidR="007E2A2B" w:rsidRDefault="00214328" w:rsidP="00203D50">
            <w:pPr>
              <w:jc w:val="center"/>
              <w:rPr>
                <w:lang w:eastAsia="en-GB"/>
              </w:rPr>
            </w:pPr>
          </w:p>
        </w:tc>
        <w:tc>
          <w:tcPr>
            <w:tcW w:w="750" w:type="pct"/>
            <w:vMerge/>
            <w:shd w:val="clear" w:color="auto" w:fill="auto"/>
            <w:noWrap/>
            <w:vAlign w:val="center"/>
          </w:tcPr>
          <w:p w:rsidR="007E2A2B" w:rsidRDefault="00214328" w:rsidP="00203D50">
            <w:pPr>
              <w:rPr>
                <w:lang w:eastAsia="en-GB"/>
              </w:rPr>
            </w:pPr>
          </w:p>
        </w:tc>
        <w:tc>
          <w:tcPr>
            <w:tcW w:w="1196" w:type="pct"/>
            <w:shd w:val="clear" w:color="auto" w:fill="auto"/>
            <w:noWrap/>
            <w:vAlign w:val="center"/>
          </w:tcPr>
          <w:p w:rsidR="007E2A2B" w:rsidRPr="007A7633" w:rsidRDefault="00C23890" w:rsidP="00203D50">
            <w:pPr>
              <w:rPr>
                <w:lang w:eastAsia="en-GB"/>
              </w:rPr>
            </w:pPr>
            <w:r w:rsidRPr="007A7633">
              <w:rPr>
                <w:lang w:eastAsia="en-GB"/>
              </w:rPr>
              <w:t>ISMS Risk Management</w:t>
            </w:r>
          </w:p>
        </w:tc>
        <w:tc>
          <w:tcPr>
            <w:tcW w:w="2766" w:type="pct"/>
          </w:tcPr>
          <w:p w:rsidR="007E2A2B" w:rsidRPr="00745370" w:rsidRDefault="00C23890" w:rsidP="00203D50">
            <w:pPr>
              <w:rPr>
                <w:lang w:eastAsia="en-GB"/>
              </w:rPr>
            </w:pPr>
            <w:r>
              <w:rPr>
                <w:lang w:eastAsia="en-GB"/>
              </w:rPr>
              <w:t>Understanding the organisation’s information assets and how the primary asset (data) is dependent on them. Includes  regular review to ensure risk scores are accurate and the necessary treatment is taking place.</w:t>
            </w:r>
          </w:p>
        </w:tc>
      </w:tr>
      <w:tr w:rsidR="002518FD" w:rsidTr="007D3D7E">
        <w:trPr>
          <w:trHeight w:val="300"/>
        </w:trPr>
        <w:tc>
          <w:tcPr>
            <w:tcW w:w="288" w:type="pct"/>
            <w:vMerge w:val="restart"/>
            <w:vAlign w:val="center"/>
          </w:tcPr>
          <w:p w:rsidR="007E2A2B" w:rsidRDefault="00C23890" w:rsidP="00203D50">
            <w:pPr>
              <w:jc w:val="center"/>
              <w:rPr>
                <w:lang w:eastAsia="en-GB"/>
              </w:rPr>
            </w:pPr>
            <w:r>
              <w:rPr>
                <w:lang w:eastAsia="en-GB"/>
              </w:rPr>
              <w:t>03</w:t>
            </w:r>
          </w:p>
        </w:tc>
        <w:tc>
          <w:tcPr>
            <w:tcW w:w="750" w:type="pct"/>
            <w:vMerge w:val="restart"/>
            <w:shd w:val="clear" w:color="auto" w:fill="auto"/>
            <w:noWrap/>
            <w:vAlign w:val="center"/>
          </w:tcPr>
          <w:p w:rsidR="007E2A2B" w:rsidRPr="007A7633" w:rsidRDefault="00C23890" w:rsidP="00203D50">
            <w:pPr>
              <w:rPr>
                <w:lang w:eastAsia="en-GB"/>
              </w:rPr>
            </w:pPr>
            <w:r>
              <w:rPr>
                <w:lang w:eastAsia="en-GB"/>
              </w:rPr>
              <w:t>TRE Operations</w:t>
            </w:r>
          </w:p>
        </w:tc>
        <w:tc>
          <w:tcPr>
            <w:tcW w:w="1196" w:type="pct"/>
            <w:shd w:val="clear" w:color="auto" w:fill="auto"/>
            <w:noWrap/>
            <w:vAlign w:val="center"/>
          </w:tcPr>
          <w:p w:rsidR="007E2A2B" w:rsidRPr="007A7633" w:rsidRDefault="00C23890" w:rsidP="00203D50">
            <w:pPr>
              <w:rPr>
                <w:lang w:eastAsia="en-GB"/>
              </w:rPr>
            </w:pPr>
            <w:r w:rsidRPr="007A7633">
              <w:rPr>
                <w:lang w:eastAsia="en-GB"/>
              </w:rPr>
              <w:t>TRE Operations</w:t>
            </w:r>
          </w:p>
        </w:tc>
        <w:tc>
          <w:tcPr>
            <w:tcW w:w="2766" w:type="pct"/>
          </w:tcPr>
          <w:p w:rsidR="007E2A2B" w:rsidRPr="00745370" w:rsidRDefault="00C23890" w:rsidP="00203D50">
            <w:pPr>
              <w:rPr>
                <w:lang w:eastAsia="en-GB"/>
              </w:rPr>
            </w:pPr>
            <w:r>
              <w:rPr>
                <w:lang w:eastAsia="en-GB"/>
              </w:rPr>
              <w:t>The running of the Trustworthy Research Environment service, and its team of staff</w:t>
            </w:r>
          </w:p>
        </w:tc>
      </w:tr>
      <w:tr w:rsidR="002518FD" w:rsidTr="007D3D7E">
        <w:trPr>
          <w:trHeight w:val="300"/>
        </w:trPr>
        <w:tc>
          <w:tcPr>
            <w:tcW w:w="288" w:type="pct"/>
            <w:vMerge/>
            <w:vAlign w:val="center"/>
          </w:tcPr>
          <w:p w:rsidR="007E2A2B" w:rsidRDefault="00214328" w:rsidP="00203D50">
            <w:pPr>
              <w:jc w:val="center"/>
              <w:rPr>
                <w:lang w:eastAsia="en-GB"/>
              </w:rPr>
            </w:pPr>
          </w:p>
        </w:tc>
        <w:tc>
          <w:tcPr>
            <w:tcW w:w="750" w:type="pct"/>
            <w:vMerge/>
            <w:shd w:val="clear" w:color="auto" w:fill="auto"/>
            <w:noWrap/>
            <w:vAlign w:val="center"/>
          </w:tcPr>
          <w:p w:rsidR="007E2A2B" w:rsidRDefault="00214328" w:rsidP="00203D50">
            <w:pPr>
              <w:rPr>
                <w:lang w:eastAsia="en-GB"/>
              </w:rPr>
            </w:pPr>
          </w:p>
        </w:tc>
        <w:tc>
          <w:tcPr>
            <w:tcW w:w="1196" w:type="pct"/>
            <w:shd w:val="clear" w:color="auto" w:fill="auto"/>
            <w:noWrap/>
            <w:vAlign w:val="center"/>
          </w:tcPr>
          <w:p w:rsidR="007E2A2B" w:rsidRPr="007A7633" w:rsidRDefault="00C23890" w:rsidP="00203D50">
            <w:pPr>
              <w:rPr>
                <w:lang w:eastAsia="en-GB"/>
              </w:rPr>
            </w:pPr>
            <w:r w:rsidRPr="007A7633">
              <w:rPr>
                <w:lang w:eastAsia="en-GB"/>
              </w:rPr>
              <w:t>TRE Project and User Account Management</w:t>
            </w:r>
          </w:p>
        </w:tc>
        <w:tc>
          <w:tcPr>
            <w:tcW w:w="2766" w:type="pct"/>
          </w:tcPr>
          <w:p w:rsidR="007E2A2B" w:rsidRPr="00745370" w:rsidRDefault="00C23890" w:rsidP="00203D50">
            <w:pPr>
              <w:rPr>
                <w:lang w:eastAsia="en-GB"/>
              </w:rPr>
            </w:pPr>
            <w:r>
              <w:rPr>
                <w:lang w:eastAsia="en-GB"/>
              </w:rPr>
              <w:t>Keeping a thorough and highly accurate record of the research projects that are hosted in the TRE, and the members of those projects who are allocated TRE user accounts. This process closely aligns with TRE Access Control operations.</w:t>
            </w:r>
          </w:p>
        </w:tc>
      </w:tr>
      <w:tr w:rsidR="002518FD" w:rsidTr="007D3D7E">
        <w:trPr>
          <w:trHeight w:val="300"/>
        </w:trPr>
        <w:tc>
          <w:tcPr>
            <w:tcW w:w="288" w:type="pct"/>
            <w:vMerge/>
            <w:vAlign w:val="center"/>
          </w:tcPr>
          <w:p w:rsidR="007E2A2B" w:rsidRPr="007A7633" w:rsidRDefault="00214328" w:rsidP="00203D50">
            <w:pPr>
              <w:jc w:val="center"/>
              <w:rPr>
                <w:lang w:eastAsia="en-GB"/>
              </w:rPr>
            </w:pPr>
          </w:p>
        </w:tc>
        <w:tc>
          <w:tcPr>
            <w:tcW w:w="750" w:type="pct"/>
            <w:vMerge/>
            <w:shd w:val="clear" w:color="auto" w:fill="auto"/>
            <w:noWrap/>
            <w:vAlign w:val="center"/>
          </w:tcPr>
          <w:p w:rsidR="007E2A2B" w:rsidRPr="007A7633" w:rsidRDefault="00214328" w:rsidP="00203D50">
            <w:pPr>
              <w:rPr>
                <w:lang w:eastAsia="en-GB"/>
              </w:rPr>
            </w:pPr>
          </w:p>
        </w:tc>
        <w:tc>
          <w:tcPr>
            <w:tcW w:w="1196" w:type="pct"/>
            <w:shd w:val="clear" w:color="auto" w:fill="auto"/>
            <w:noWrap/>
            <w:vAlign w:val="center"/>
          </w:tcPr>
          <w:p w:rsidR="007E2A2B" w:rsidRPr="007A7633" w:rsidRDefault="00C23890" w:rsidP="00203D50">
            <w:pPr>
              <w:rPr>
                <w:lang w:eastAsia="en-GB"/>
              </w:rPr>
            </w:pPr>
            <w:r w:rsidRPr="007A7633">
              <w:rPr>
                <w:lang w:eastAsia="en-GB"/>
              </w:rPr>
              <w:t>TRE User Competency and End-Point Security</w:t>
            </w:r>
          </w:p>
        </w:tc>
        <w:tc>
          <w:tcPr>
            <w:tcW w:w="2766" w:type="pct"/>
          </w:tcPr>
          <w:p w:rsidR="007E2A2B" w:rsidRPr="00745370" w:rsidRDefault="00C23890" w:rsidP="00203D50">
            <w:pPr>
              <w:rPr>
                <w:lang w:eastAsia="en-GB"/>
              </w:rPr>
            </w:pPr>
            <w:r>
              <w:rPr>
                <w:lang w:eastAsia="en-GB"/>
              </w:rPr>
              <w:t>Making sure a TRE user meets the required levels of competence and training, and that their workstation has been correctly setup to connect to the TRE.</w:t>
            </w:r>
          </w:p>
        </w:tc>
      </w:tr>
      <w:tr w:rsidR="002518FD" w:rsidTr="007D3D7E">
        <w:trPr>
          <w:trHeight w:val="300"/>
        </w:trPr>
        <w:tc>
          <w:tcPr>
            <w:tcW w:w="288" w:type="pct"/>
            <w:vAlign w:val="center"/>
          </w:tcPr>
          <w:p w:rsidR="007E2A2B" w:rsidRDefault="00C23890" w:rsidP="00203D50">
            <w:pPr>
              <w:jc w:val="center"/>
              <w:rPr>
                <w:lang w:eastAsia="en-GB"/>
              </w:rPr>
            </w:pPr>
            <w:r>
              <w:rPr>
                <w:lang w:eastAsia="en-GB"/>
              </w:rPr>
              <w:t>04</w:t>
            </w:r>
          </w:p>
        </w:tc>
        <w:tc>
          <w:tcPr>
            <w:tcW w:w="750" w:type="pct"/>
            <w:shd w:val="clear" w:color="auto" w:fill="auto"/>
            <w:noWrap/>
            <w:vAlign w:val="center"/>
          </w:tcPr>
          <w:p w:rsidR="007E2A2B" w:rsidRPr="007A7633" w:rsidRDefault="00C23890" w:rsidP="00203D50">
            <w:pPr>
              <w:rPr>
                <w:lang w:eastAsia="en-GB"/>
              </w:rPr>
            </w:pPr>
            <w:r>
              <w:rPr>
                <w:lang w:eastAsia="en-GB"/>
              </w:rPr>
              <w:t>ISMS Improvement</w:t>
            </w:r>
          </w:p>
        </w:tc>
        <w:tc>
          <w:tcPr>
            <w:tcW w:w="1196" w:type="pct"/>
            <w:shd w:val="clear" w:color="auto" w:fill="auto"/>
            <w:noWrap/>
            <w:vAlign w:val="center"/>
          </w:tcPr>
          <w:p w:rsidR="007E2A2B" w:rsidRPr="007A7633" w:rsidRDefault="00C23890" w:rsidP="00203D50">
            <w:pPr>
              <w:rPr>
                <w:lang w:eastAsia="en-GB"/>
              </w:rPr>
            </w:pPr>
            <w:r w:rsidRPr="007A7633">
              <w:rPr>
                <w:lang w:eastAsia="en-GB"/>
              </w:rPr>
              <w:t>ISMS Improvement</w:t>
            </w:r>
          </w:p>
        </w:tc>
        <w:tc>
          <w:tcPr>
            <w:tcW w:w="2766" w:type="pct"/>
          </w:tcPr>
          <w:p w:rsidR="007E2A2B" w:rsidRPr="00745370" w:rsidRDefault="00C23890" w:rsidP="00203D50">
            <w:pPr>
              <w:rPr>
                <w:lang w:eastAsia="en-GB"/>
              </w:rPr>
            </w:pPr>
            <w:r>
              <w:rPr>
                <w:lang w:eastAsia="en-GB"/>
              </w:rPr>
              <w:t>Managing all activities that contribute towards improvement of each ISMS Process including audit (internal and external) and   management review (ISMS Board and Management Review meetings).</w:t>
            </w:r>
          </w:p>
        </w:tc>
      </w:tr>
      <w:tr w:rsidR="002518FD" w:rsidTr="007D3D7E">
        <w:trPr>
          <w:trHeight w:val="300"/>
        </w:trPr>
        <w:tc>
          <w:tcPr>
            <w:tcW w:w="288" w:type="pct"/>
            <w:vMerge w:val="restart"/>
            <w:vAlign w:val="center"/>
          </w:tcPr>
          <w:p w:rsidR="007E2A2B" w:rsidRDefault="00C23890" w:rsidP="00203D50">
            <w:pPr>
              <w:jc w:val="center"/>
              <w:rPr>
                <w:lang w:eastAsia="en-GB"/>
              </w:rPr>
            </w:pPr>
            <w:r>
              <w:rPr>
                <w:lang w:eastAsia="en-GB"/>
              </w:rPr>
              <w:t>05</w:t>
            </w:r>
          </w:p>
        </w:tc>
        <w:tc>
          <w:tcPr>
            <w:tcW w:w="750" w:type="pct"/>
            <w:vMerge w:val="restart"/>
            <w:shd w:val="clear" w:color="auto" w:fill="auto"/>
            <w:noWrap/>
            <w:vAlign w:val="center"/>
          </w:tcPr>
          <w:p w:rsidR="007E2A2B" w:rsidRPr="007A7633" w:rsidRDefault="00C23890" w:rsidP="00887686">
            <w:pPr>
              <w:rPr>
                <w:lang w:eastAsia="en-GB"/>
              </w:rPr>
            </w:pPr>
            <w:r>
              <w:rPr>
                <w:lang w:eastAsia="en-GB"/>
              </w:rPr>
              <w:t>Asset and Supplier Management</w:t>
            </w:r>
          </w:p>
        </w:tc>
        <w:tc>
          <w:tcPr>
            <w:tcW w:w="1196" w:type="pct"/>
            <w:shd w:val="clear" w:color="auto" w:fill="auto"/>
            <w:noWrap/>
            <w:vAlign w:val="center"/>
          </w:tcPr>
          <w:p w:rsidR="007E2A2B" w:rsidRPr="007A7633" w:rsidRDefault="00C23890" w:rsidP="00203D50">
            <w:pPr>
              <w:rPr>
                <w:lang w:eastAsia="en-GB"/>
              </w:rPr>
            </w:pPr>
            <w:r w:rsidRPr="007A7633">
              <w:rPr>
                <w:lang w:eastAsia="en-GB"/>
              </w:rPr>
              <w:t>TRE Asset</w:t>
            </w:r>
            <w:r>
              <w:rPr>
                <w:lang w:eastAsia="en-GB"/>
              </w:rPr>
              <w:t xml:space="preserve"> and Supplier</w:t>
            </w:r>
            <w:r w:rsidRPr="007A7633">
              <w:rPr>
                <w:lang w:eastAsia="en-GB"/>
              </w:rPr>
              <w:t xml:space="preserve"> Management</w:t>
            </w:r>
          </w:p>
        </w:tc>
        <w:tc>
          <w:tcPr>
            <w:tcW w:w="2766" w:type="pct"/>
          </w:tcPr>
          <w:p w:rsidR="007E2A2B" w:rsidRPr="00745370" w:rsidRDefault="00C23890" w:rsidP="00887686">
            <w:pPr>
              <w:rPr>
                <w:lang w:eastAsia="en-GB"/>
              </w:rPr>
            </w:pPr>
            <w:r>
              <w:rPr>
                <w:lang w:eastAsia="en-GB"/>
              </w:rPr>
              <w:t>Maintaining accurate asset registers for all the information assets within scope of the ISMS, including IT infrastructure, people, documentation, buildings, suppliers and services and data. Managing the regular review and audit of</w:t>
            </w:r>
            <w:r w:rsidRPr="00887686">
              <w:rPr>
                <w:lang w:eastAsia="en-GB"/>
              </w:rPr>
              <w:t xml:space="preserve"> supplier service delivery.</w:t>
            </w:r>
          </w:p>
        </w:tc>
      </w:tr>
      <w:tr w:rsidR="002518FD" w:rsidTr="007D3D7E">
        <w:trPr>
          <w:trHeight w:val="300"/>
        </w:trPr>
        <w:tc>
          <w:tcPr>
            <w:tcW w:w="288" w:type="pct"/>
            <w:vMerge/>
            <w:vAlign w:val="center"/>
          </w:tcPr>
          <w:p w:rsidR="00887686" w:rsidRDefault="00214328" w:rsidP="00887686">
            <w:pPr>
              <w:jc w:val="center"/>
              <w:rPr>
                <w:lang w:eastAsia="en-GB"/>
              </w:rPr>
            </w:pPr>
          </w:p>
        </w:tc>
        <w:tc>
          <w:tcPr>
            <w:tcW w:w="750" w:type="pct"/>
            <w:vMerge/>
            <w:shd w:val="clear" w:color="auto" w:fill="auto"/>
            <w:noWrap/>
            <w:vAlign w:val="center"/>
          </w:tcPr>
          <w:p w:rsidR="00887686" w:rsidRDefault="00214328" w:rsidP="00887686">
            <w:pPr>
              <w:rPr>
                <w:lang w:eastAsia="en-GB"/>
              </w:rPr>
            </w:pPr>
          </w:p>
        </w:tc>
        <w:tc>
          <w:tcPr>
            <w:tcW w:w="1196" w:type="pct"/>
            <w:shd w:val="clear" w:color="auto" w:fill="auto"/>
            <w:noWrap/>
            <w:vAlign w:val="center"/>
          </w:tcPr>
          <w:p w:rsidR="00887686" w:rsidRPr="007A7633" w:rsidRDefault="00C23890" w:rsidP="00887686">
            <w:pPr>
              <w:rPr>
                <w:lang w:eastAsia="en-GB"/>
              </w:rPr>
            </w:pPr>
            <w:r w:rsidRPr="007A7633">
              <w:rPr>
                <w:lang w:eastAsia="en-GB"/>
              </w:rPr>
              <w:t>TRE Data Management</w:t>
            </w:r>
          </w:p>
        </w:tc>
        <w:tc>
          <w:tcPr>
            <w:tcW w:w="2766" w:type="pct"/>
          </w:tcPr>
          <w:p w:rsidR="00887686" w:rsidRPr="00745370" w:rsidRDefault="00C23890" w:rsidP="00887686">
            <w:pPr>
              <w:rPr>
                <w:lang w:eastAsia="en-GB"/>
              </w:rPr>
            </w:pPr>
            <w:r>
              <w:rPr>
                <w:lang w:eastAsia="en-GB"/>
              </w:rPr>
              <w:t>Liaising with the data controller and project lead in operational planning and coordination of data import and export. Data curation and maintaining the TRE Data asset register.</w:t>
            </w:r>
          </w:p>
        </w:tc>
      </w:tr>
      <w:tr w:rsidR="002518FD" w:rsidTr="007D3D7E">
        <w:trPr>
          <w:trHeight w:val="610"/>
        </w:trPr>
        <w:tc>
          <w:tcPr>
            <w:tcW w:w="288" w:type="pct"/>
            <w:vAlign w:val="center"/>
          </w:tcPr>
          <w:p w:rsidR="00887686" w:rsidRDefault="00C23890" w:rsidP="00887686">
            <w:pPr>
              <w:jc w:val="center"/>
              <w:rPr>
                <w:lang w:eastAsia="en-GB"/>
              </w:rPr>
            </w:pPr>
            <w:r>
              <w:rPr>
                <w:lang w:eastAsia="en-GB"/>
              </w:rPr>
              <w:t>06</w:t>
            </w:r>
          </w:p>
        </w:tc>
        <w:tc>
          <w:tcPr>
            <w:tcW w:w="750" w:type="pct"/>
            <w:shd w:val="clear" w:color="auto" w:fill="auto"/>
            <w:noWrap/>
            <w:vAlign w:val="center"/>
          </w:tcPr>
          <w:p w:rsidR="00887686" w:rsidRPr="007A7633" w:rsidRDefault="00C23890" w:rsidP="00887686">
            <w:pPr>
              <w:rPr>
                <w:lang w:eastAsia="en-GB"/>
              </w:rPr>
            </w:pPr>
            <w:r>
              <w:rPr>
                <w:lang w:eastAsia="en-GB"/>
              </w:rPr>
              <w:t>Information and Physical  Security</w:t>
            </w:r>
          </w:p>
        </w:tc>
        <w:tc>
          <w:tcPr>
            <w:tcW w:w="1196" w:type="pct"/>
            <w:shd w:val="clear" w:color="auto" w:fill="auto"/>
            <w:noWrap/>
            <w:vAlign w:val="center"/>
          </w:tcPr>
          <w:p w:rsidR="00887686" w:rsidRPr="007A7633" w:rsidRDefault="00C23890" w:rsidP="00887686">
            <w:pPr>
              <w:rPr>
                <w:lang w:eastAsia="en-GB"/>
              </w:rPr>
            </w:pPr>
            <w:r w:rsidRPr="007A7633">
              <w:rPr>
                <w:lang w:eastAsia="en-GB"/>
              </w:rPr>
              <w:t>TRE Physical Security</w:t>
            </w:r>
          </w:p>
        </w:tc>
        <w:tc>
          <w:tcPr>
            <w:tcW w:w="2766" w:type="pct"/>
          </w:tcPr>
          <w:p w:rsidR="00887686" w:rsidRPr="00745370" w:rsidRDefault="00C23890" w:rsidP="00887686">
            <w:pPr>
              <w:rPr>
                <w:lang w:eastAsia="en-GB"/>
              </w:rPr>
            </w:pPr>
            <w:r>
              <w:rPr>
                <w:lang w:eastAsia="en-GB"/>
              </w:rPr>
              <w:t>Ensuring the building that houses the TRE server room is adequately secure. In addition to maintaining door and safe locks, it requires collaboration with University Estates Security and enforcing the procedural controls that affect individual who enters the building.</w:t>
            </w:r>
          </w:p>
        </w:tc>
      </w:tr>
      <w:tr w:rsidR="002518FD" w:rsidTr="007D3D7E">
        <w:trPr>
          <w:trHeight w:val="300"/>
        </w:trPr>
        <w:tc>
          <w:tcPr>
            <w:tcW w:w="288" w:type="pct"/>
            <w:vAlign w:val="center"/>
          </w:tcPr>
          <w:p w:rsidR="00887686" w:rsidRDefault="00C23890" w:rsidP="00887686">
            <w:pPr>
              <w:jc w:val="center"/>
              <w:rPr>
                <w:lang w:eastAsia="en-GB"/>
              </w:rPr>
            </w:pPr>
            <w:r>
              <w:rPr>
                <w:lang w:eastAsia="en-GB"/>
              </w:rPr>
              <w:t>07</w:t>
            </w:r>
          </w:p>
        </w:tc>
        <w:tc>
          <w:tcPr>
            <w:tcW w:w="750" w:type="pct"/>
            <w:shd w:val="clear" w:color="auto" w:fill="auto"/>
            <w:noWrap/>
            <w:vAlign w:val="center"/>
          </w:tcPr>
          <w:p w:rsidR="00887686" w:rsidRPr="007A7633" w:rsidRDefault="00C23890" w:rsidP="00887686">
            <w:pPr>
              <w:rPr>
                <w:lang w:eastAsia="en-GB"/>
              </w:rPr>
            </w:pPr>
            <w:r>
              <w:rPr>
                <w:lang w:eastAsia="en-GB"/>
              </w:rPr>
              <w:t>ISMS Governance</w:t>
            </w:r>
          </w:p>
        </w:tc>
        <w:tc>
          <w:tcPr>
            <w:tcW w:w="1196" w:type="pct"/>
            <w:shd w:val="clear" w:color="auto" w:fill="auto"/>
            <w:noWrap/>
            <w:vAlign w:val="center"/>
          </w:tcPr>
          <w:p w:rsidR="00887686" w:rsidRPr="007A7633" w:rsidRDefault="00C23890" w:rsidP="00887686">
            <w:pPr>
              <w:rPr>
                <w:lang w:eastAsia="en-GB"/>
              </w:rPr>
            </w:pPr>
            <w:r w:rsidRPr="007A7633">
              <w:rPr>
                <w:lang w:eastAsia="en-GB"/>
              </w:rPr>
              <w:t>TRE Information Governance</w:t>
            </w:r>
          </w:p>
        </w:tc>
        <w:tc>
          <w:tcPr>
            <w:tcW w:w="2766" w:type="pct"/>
          </w:tcPr>
          <w:p w:rsidR="00887686" w:rsidRPr="00745370" w:rsidRDefault="00C23890" w:rsidP="00887686">
            <w:pPr>
              <w:rPr>
                <w:lang w:eastAsia="en-GB"/>
              </w:rPr>
            </w:pPr>
            <w:r>
              <w:rPr>
                <w:lang w:eastAsia="en-GB"/>
              </w:rPr>
              <w:t>Providing support during the completion of data sharing agreements, contracts, privacy impact assessments and data flow definitions. Ensuring the data coming into the TRE, and the people who are granted access to that data correspond with the requirements set by the data controller.</w:t>
            </w:r>
          </w:p>
        </w:tc>
      </w:tr>
      <w:tr w:rsidR="002518FD" w:rsidTr="007D3D7E">
        <w:trPr>
          <w:trHeight w:val="300"/>
        </w:trPr>
        <w:tc>
          <w:tcPr>
            <w:tcW w:w="288" w:type="pct"/>
            <w:vAlign w:val="center"/>
          </w:tcPr>
          <w:p w:rsidR="00887686" w:rsidRDefault="00C23890" w:rsidP="00887686">
            <w:pPr>
              <w:jc w:val="center"/>
              <w:rPr>
                <w:lang w:eastAsia="en-GB"/>
              </w:rPr>
            </w:pPr>
            <w:r>
              <w:rPr>
                <w:lang w:eastAsia="en-GB"/>
              </w:rPr>
              <w:t>08</w:t>
            </w:r>
          </w:p>
        </w:tc>
        <w:tc>
          <w:tcPr>
            <w:tcW w:w="750" w:type="pct"/>
            <w:shd w:val="clear" w:color="auto" w:fill="auto"/>
            <w:noWrap/>
            <w:vAlign w:val="center"/>
          </w:tcPr>
          <w:p w:rsidR="00887686" w:rsidRPr="007A7633" w:rsidRDefault="00C23890" w:rsidP="00887686">
            <w:pPr>
              <w:rPr>
                <w:lang w:eastAsia="en-GB"/>
              </w:rPr>
            </w:pPr>
            <w:r>
              <w:rPr>
                <w:lang w:eastAsia="en-GB"/>
              </w:rPr>
              <w:t>Communications</w:t>
            </w:r>
          </w:p>
        </w:tc>
        <w:tc>
          <w:tcPr>
            <w:tcW w:w="1196" w:type="pct"/>
            <w:shd w:val="clear" w:color="auto" w:fill="auto"/>
            <w:noWrap/>
            <w:vAlign w:val="center"/>
          </w:tcPr>
          <w:p w:rsidR="00887686" w:rsidRPr="007A7633" w:rsidRDefault="00C23890" w:rsidP="00887686">
            <w:pPr>
              <w:rPr>
                <w:lang w:eastAsia="en-GB"/>
              </w:rPr>
            </w:pPr>
            <w:r w:rsidRPr="007A7633">
              <w:rPr>
                <w:lang w:eastAsia="en-GB"/>
              </w:rPr>
              <w:t>ISMS Communication</w:t>
            </w:r>
          </w:p>
        </w:tc>
        <w:tc>
          <w:tcPr>
            <w:tcW w:w="2766" w:type="pct"/>
          </w:tcPr>
          <w:p w:rsidR="00887686" w:rsidRPr="00745370" w:rsidRDefault="00C23890" w:rsidP="00887686">
            <w:pPr>
              <w:rPr>
                <w:lang w:eastAsia="en-GB"/>
              </w:rPr>
            </w:pPr>
            <w:r>
              <w:rPr>
                <w:lang w:eastAsia="en-GB"/>
              </w:rPr>
              <w:t>Overseeing the communication with ISMS stakeholders, making sure all in-scope people and suppliers are kept up to date and notified of any required actions.</w:t>
            </w:r>
          </w:p>
        </w:tc>
      </w:tr>
      <w:tr w:rsidR="002518FD" w:rsidTr="007D3D7E">
        <w:trPr>
          <w:trHeight w:val="300"/>
        </w:trPr>
        <w:tc>
          <w:tcPr>
            <w:tcW w:w="288" w:type="pct"/>
            <w:vAlign w:val="center"/>
          </w:tcPr>
          <w:p w:rsidR="00887686" w:rsidRDefault="00C23890" w:rsidP="00887686">
            <w:pPr>
              <w:jc w:val="center"/>
              <w:rPr>
                <w:lang w:eastAsia="en-GB"/>
              </w:rPr>
            </w:pPr>
            <w:r>
              <w:rPr>
                <w:lang w:eastAsia="en-GB"/>
              </w:rPr>
              <w:t>09</w:t>
            </w:r>
          </w:p>
        </w:tc>
        <w:tc>
          <w:tcPr>
            <w:tcW w:w="750" w:type="pct"/>
            <w:shd w:val="clear" w:color="auto" w:fill="auto"/>
            <w:noWrap/>
            <w:vAlign w:val="center"/>
          </w:tcPr>
          <w:p w:rsidR="00887686" w:rsidRPr="007A7633" w:rsidRDefault="00C23890" w:rsidP="00887686">
            <w:pPr>
              <w:rPr>
                <w:lang w:eastAsia="en-GB"/>
              </w:rPr>
            </w:pPr>
            <w:r>
              <w:rPr>
                <w:lang w:eastAsia="en-GB"/>
              </w:rPr>
              <w:t>TRE System Admin</w:t>
            </w:r>
          </w:p>
        </w:tc>
        <w:tc>
          <w:tcPr>
            <w:tcW w:w="1196" w:type="pct"/>
            <w:shd w:val="clear" w:color="auto" w:fill="auto"/>
            <w:noWrap/>
            <w:vAlign w:val="center"/>
          </w:tcPr>
          <w:p w:rsidR="00887686" w:rsidRPr="007A7633" w:rsidRDefault="00C23890" w:rsidP="00887686">
            <w:pPr>
              <w:rPr>
                <w:lang w:eastAsia="en-GB"/>
              </w:rPr>
            </w:pPr>
            <w:r w:rsidRPr="007A7633">
              <w:rPr>
                <w:lang w:eastAsia="en-GB"/>
              </w:rPr>
              <w:t>TRE Infrastructure and Security Management</w:t>
            </w:r>
          </w:p>
        </w:tc>
        <w:tc>
          <w:tcPr>
            <w:tcW w:w="2766" w:type="pct"/>
          </w:tcPr>
          <w:p w:rsidR="00887686" w:rsidRPr="00745370" w:rsidRDefault="00C23890" w:rsidP="00887686">
            <w:pPr>
              <w:rPr>
                <w:lang w:eastAsia="en-GB"/>
              </w:rPr>
            </w:pPr>
            <w:r>
              <w:rPr>
                <w:lang w:eastAsia="en-GB"/>
              </w:rPr>
              <w:t>Ensuring the core TRE infrastructure meets the ISMS requirements to maintain the confidentiality, integrity and availability of the TRE data. Closely aligned with TRE Operations in conducting Change Management and Access Control.</w:t>
            </w:r>
          </w:p>
        </w:tc>
      </w:tr>
    </w:tbl>
    <w:p w:rsidR="007E2A2B" w:rsidRDefault="00214328" w:rsidP="00203D50">
      <w:pPr>
        <w:pStyle w:val="ISMSNormal"/>
        <w:rPr>
          <w:lang w:val="en-GB"/>
        </w:rPr>
      </w:pPr>
    </w:p>
    <w:p w:rsidR="007E2A2B" w:rsidRDefault="00214328" w:rsidP="00203D50">
      <w:pPr>
        <w:pStyle w:val="ISMSNormal"/>
        <w:rPr>
          <w:lang w:val="en-GB"/>
        </w:rPr>
        <w:sectPr w:rsidR="007E2A2B" w:rsidSect="000D455D">
          <w:headerReference w:type="even" r:id="rId17"/>
          <w:headerReference w:type="default" r:id="rId18"/>
          <w:footerReference w:type="default" r:id="rId19"/>
          <w:headerReference w:type="first" r:id="rId20"/>
          <w:pgSz w:w="16838" w:h="11906" w:orient="landscape"/>
          <w:pgMar w:top="1440" w:right="1440" w:bottom="1440" w:left="1440" w:header="709" w:footer="709" w:gutter="0"/>
          <w:cols w:space="708"/>
          <w:docGrid w:linePitch="360"/>
        </w:sectPr>
      </w:pPr>
    </w:p>
    <w:p w:rsidR="007E2A2B" w:rsidRDefault="00C23890" w:rsidP="007E2A2B">
      <w:pPr>
        <w:pStyle w:val="ISMSHeading2"/>
      </w:pPr>
      <w:bookmarkStart w:id="237" w:name="_Toc256000227"/>
      <w:bookmarkStart w:id="238" w:name="_Toc256000209"/>
      <w:bookmarkStart w:id="239" w:name="_Toc256000191"/>
      <w:bookmarkStart w:id="240" w:name="_Toc256000173"/>
      <w:bookmarkStart w:id="241" w:name="_Toc256000155"/>
      <w:bookmarkStart w:id="242" w:name="_Toc256000137"/>
      <w:bookmarkStart w:id="243" w:name="_Toc256000125"/>
      <w:bookmarkStart w:id="244" w:name="_Toc256000107"/>
      <w:bookmarkStart w:id="245" w:name="_Toc256000089"/>
      <w:bookmarkStart w:id="246" w:name="_Toc256000071"/>
      <w:bookmarkStart w:id="247" w:name="_Toc256000053"/>
      <w:bookmarkStart w:id="248" w:name="_Toc256000035"/>
      <w:bookmarkStart w:id="249" w:name="_Toc256000017"/>
      <w:bookmarkStart w:id="250" w:name="_Toc507579060"/>
      <w:bookmarkStart w:id="251" w:name="_Toc510689484"/>
      <w:bookmarkStart w:id="252" w:name="_Toc957740"/>
      <w:r>
        <w:lastRenderedPageBreak/>
        <w:t>Use of Q-Pulse</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7E2A2B" w:rsidRDefault="00C23890" w:rsidP="00203D50">
      <w:pPr>
        <w:pStyle w:val="ISMSNormal"/>
        <w:rPr>
          <w:lang w:eastAsia="en-GB"/>
        </w:rPr>
      </w:pPr>
      <w:r>
        <w:rPr>
          <w:lang w:val="en-GB"/>
        </w:rPr>
        <w:t xml:space="preserve">The ISMS will be managed in Q-Pulse </w:t>
      </w:r>
      <w:r w:rsidRPr="001914C3">
        <w:rPr>
          <w:lang w:eastAsia="en-GB"/>
        </w:rPr>
        <w:t xml:space="preserve">a software application </w:t>
      </w:r>
      <w:r>
        <w:rPr>
          <w:lang w:eastAsia="en-GB"/>
        </w:rPr>
        <w:t xml:space="preserve">focused on quality, compliance and improvement </w:t>
      </w:r>
      <w:r w:rsidRPr="001914C3">
        <w:rPr>
          <w:lang w:eastAsia="en-GB"/>
        </w:rPr>
        <w:t xml:space="preserve">that </w:t>
      </w:r>
      <w:r>
        <w:rPr>
          <w:lang w:eastAsia="en-GB"/>
        </w:rPr>
        <w:t xml:space="preserve">is used to manage the ISMS </w:t>
      </w:r>
      <w:r>
        <w:t>in line with regulatory and stakeholder requirements</w:t>
      </w:r>
      <w:r>
        <w:rPr>
          <w:lang w:eastAsia="en-GB"/>
        </w:rPr>
        <w:t>.</w:t>
      </w:r>
      <w:r w:rsidRPr="001914C3">
        <w:rPr>
          <w:lang w:eastAsia="en-GB"/>
        </w:rPr>
        <w:t> </w:t>
      </w:r>
    </w:p>
    <w:p w:rsidR="007E2A2B" w:rsidRDefault="00214328" w:rsidP="00203D50">
      <w:pPr>
        <w:pStyle w:val="ISMSNormal"/>
        <w:rPr>
          <w:lang w:eastAsia="en-GB"/>
        </w:rPr>
      </w:pPr>
    </w:p>
    <w:p w:rsidR="007E2A2B" w:rsidRPr="001914C3" w:rsidRDefault="00C23890" w:rsidP="00203D50">
      <w:pPr>
        <w:pStyle w:val="ISMSNormal"/>
        <w:rPr>
          <w:lang w:eastAsia="en-GB"/>
        </w:rPr>
      </w:pPr>
      <w:r w:rsidRPr="001914C3">
        <w:rPr>
          <w:lang w:eastAsia="en-GB"/>
        </w:rPr>
        <w:t xml:space="preserve">Q-Pulse consists of a number of modules. The most commonly used modules </w:t>
      </w:r>
      <w:r>
        <w:rPr>
          <w:lang w:eastAsia="en-GB"/>
        </w:rPr>
        <w:t>are</w:t>
      </w:r>
      <w:r w:rsidRPr="001914C3">
        <w:rPr>
          <w:lang w:eastAsia="en-GB"/>
        </w:rPr>
        <w:t>: </w:t>
      </w:r>
    </w:p>
    <w:p w:rsidR="007E2A2B" w:rsidRPr="001914C3" w:rsidRDefault="00C23890" w:rsidP="00203D50">
      <w:pPr>
        <w:pStyle w:val="ListParagraph"/>
        <w:rPr>
          <w:lang w:eastAsia="en-GB"/>
        </w:rPr>
      </w:pPr>
      <w:r w:rsidRPr="008938EC">
        <w:t>Documents</w:t>
      </w:r>
      <w:r w:rsidRPr="001914C3">
        <w:rPr>
          <w:lang w:eastAsia="en-GB"/>
        </w:rPr>
        <w:t xml:space="preserve">: Used for </w:t>
      </w:r>
      <w:r>
        <w:rPr>
          <w:lang w:eastAsia="en-GB"/>
        </w:rPr>
        <w:t xml:space="preserve">reading, </w:t>
      </w:r>
      <w:r w:rsidRPr="001914C3">
        <w:rPr>
          <w:lang w:eastAsia="en-GB"/>
        </w:rPr>
        <w:t xml:space="preserve">approving, reviewing and securely storing all documentation. </w:t>
      </w:r>
    </w:p>
    <w:p w:rsidR="007E2A2B" w:rsidRPr="001914C3" w:rsidRDefault="00C23890" w:rsidP="00203D50">
      <w:pPr>
        <w:pStyle w:val="ListParagraph"/>
        <w:rPr>
          <w:lang w:eastAsia="en-GB"/>
        </w:rPr>
      </w:pPr>
      <w:r>
        <w:t>Actions:</w:t>
      </w:r>
      <w:r w:rsidRPr="001914C3">
        <w:rPr>
          <w:lang w:eastAsia="en-GB"/>
        </w:rPr>
        <w:t xml:space="preserve"> Used for raising and managing all non-conformances and improvement ideas. </w:t>
      </w:r>
    </w:p>
    <w:p w:rsidR="007E2A2B" w:rsidRPr="001914C3" w:rsidRDefault="00C23890" w:rsidP="00203D50">
      <w:pPr>
        <w:pStyle w:val="ListParagraph"/>
        <w:rPr>
          <w:lang w:eastAsia="en-GB"/>
        </w:rPr>
      </w:pPr>
      <w:r w:rsidRPr="008938EC">
        <w:t>Audit</w:t>
      </w:r>
      <w:r w:rsidRPr="001914C3">
        <w:rPr>
          <w:lang w:eastAsia="en-GB"/>
        </w:rPr>
        <w:t xml:space="preserve">: Used to manage all stages of any audit occurring in </w:t>
      </w:r>
      <w:r>
        <w:rPr>
          <w:lang w:eastAsia="en-GB"/>
        </w:rPr>
        <w:t xml:space="preserve">the </w:t>
      </w:r>
      <w:r w:rsidRPr="001914C3">
        <w:rPr>
          <w:lang w:eastAsia="en-GB"/>
        </w:rPr>
        <w:t xml:space="preserve">organisation. </w:t>
      </w:r>
    </w:p>
    <w:p w:rsidR="007E2A2B" w:rsidRPr="001914C3" w:rsidRDefault="00C23890" w:rsidP="00203D50">
      <w:pPr>
        <w:pStyle w:val="ISMSNormal"/>
        <w:rPr>
          <w:lang w:eastAsia="en-GB"/>
        </w:rPr>
      </w:pPr>
      <w:r w:rsidRPr="001914C3">
        <w:rPr>
          <w:lang w:eastAsia="en-GB"/>
        </w:rPr>
        <w:t> </w:t>
      </w:r>
    </w:p>
    <w:p w:rsidR="007E2A2B" w:rsidRDefault="00C23890" w:rsidP="00203D50">
      <w:pPr>
        <w:pStyle w:val="ISMSNormal"/>
        <w:rPr>
          <w:lang w:eastAsia="en-GB"/>
        </w:rPr>
      </w:pPr>
      <w:r w:rsidRPr="001914C3">
        <w:rPr>
          <w:lang w:eastAsia="en-GB"/>
        </w:rPr>
        <w:t xml:space="preserve">Other modules </w:t>
      </w:r>
      <w:r w:rsidRPr="008938EC">
        <w:t xml:space="preserve">include Assets, Suppliers, </w:t>
      </w:r>
      <w:r>
        <w:t>TRE Projects,</w:t>
      </w:r>
      <w:r w:rsidRPr="008938EC">
        <w:t xml:space="preserve"> People</w:t>
      </w:r>
      <w:r>
        <w:t xml:space="preserve"> and TRE User Accounts</w:t>
      </w:r>
      <w:r w:rsidRPr="008938EC">
        <w:t xml:space="preserve">, Training </w:t>
      </w:r>
      <w:r>
        <w:t>and Qualifications a</w:t>
      </w:r>
      <w:r w:rsidRPr="008938EC">
        <w:t>nd Analysis</w:t>
      </w:r>
      <w:r w:rsidRPr="001914C3">
        <w:rPr>
          <w:lang w:eastAsia="en-GB"/>
        </w:rPr>
        <w:t xml:space="preserve">. </w:t>
      </w:r>
    </w:p>
    <w:p w:rsidR="007E2A2B" w:rsidRDefault="00214328" w:rsidP="00203D50">
      <w:pPr>
        <w:pStyle w:val="ISMSNormal"/>
        <w:rPr>
          <w:lang w:eastAsia="en-GB"/>
        </w:rPr>
      </w:pPr>
    </w:p>
    <w:p w:rsidR="007E2A2B" w:rsidRPr="00533A66" w:rsidRDefault="00C23890" w:rsidP="00203D50">
      <w:pPr>
        <w:pStyle w:val="ISMSNormal"/>
        <w:rPr>
          <w:lang w:val="en-GB"/>
        </w:rPr>
      </w:pPr>
      <w:r>
        <w:t>Q-Pulse will be used to document all actions, audits, documents, assets and people under the scope of the ISMS.</w:t>
      </w:r>
    </w:p>
    <w:p w:rsidR="007E2A2B" w:rsidRDefault="00214328" w:rsidP="00203D50">
      <w:pPr>
        <w:pStyle w:val="ISMSNormal"/>
        <w:rPr>
          <w:lang w:val="en-GB"/>
        </w:rPr>
      </w:pPr>
    </w:p>
    <w:p w:rsidR="007E2A2B" w:rsidRDefault="00C23890" w:rsidP="007E2A2B">
      <w:pPr>
        <w:pStyle w:val="ISMSHeading1"/>
      </w:pPr>
      <w:bookmarkStart w:id="253" w:name="_Toc256000228"/>
      <w:bookmarkStart w:id="254" w:name="_Toc256000210"/>
      <w:bookmarkStart w:id="255" w:name="_Toc256000192"/>
      <w:bookmarkStart w:id="256" w:name="_Toc256000174"/>
      <w:bookmarkStart w:id="257" w:name="_Toc256000156"/>
      <w:bookmarkStart w:id="258" w:name="_Toc256000138"/>
      <w:bookmarkStart w:id="259" w:name="_Toc256000126"/>
      <w:bookmarkStart w:id="260" w:name="_Toc256000108"/>
      <w:bookmarkStart w:id="261" w:name="_Toc256000090"/>
      <w:bookmarkStart w:id="262" w:name="_Toc256000072"/>
      <w:bookmarkStart w:id="263" w:name="_Toc256000054"/>
      <w:bookmarkStart w:id="264" w:name="_Toc256000036"/>
      <w:bookmarkStart w:id="265" w:name="_Toc256000018"/>
      <w:bookmarkStart w:id="266" w:name="_Toc507579061"/>
      <w:bookmarkStart w:id="267" w:name="_Toc510689485"/>
      <w:bookmarkStart w:id="268" w:name="_Toc957741"/>
      <w:r w:rsidRPr="00356EA2">
        <w:t>Cross-references</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sdt>
      <w:sdtPr>
        <w:rPr>
          <w:lang w:val="en-GB"/>
        </w:rPr>
        <w:tag w:val="QPulse_DocRelatedDocuments"/>
        <w:id w:val="88361616"/>
        <w:lock w:val="contentLocked"/>
      </w:sdtPr>
      <w:sdtEndPr/>
      <w:sdtContent>
        <w:p w:rsidR="007E2A2B" w:rsidRDefault="00214328" w:rsidP="00203D50">
          <w:pPr>
            <w:pStyle w:val="ISMSNormal"/>
            <w:rPr>
              <w:lang w:val="en-GB"/>
            </w:rPr>
          </w:pPr>
        </w:p>
        <w:tbl>
          <w:tblPr>
            <w:tblStyle w:val="TableProfessional"/>
            <w:tblW w:w="0" w:type="auto"/>
            <w:tblLayout w:type="fixed"/>
            <w:tblLook w:val="04A0" w:firstRow="1" w:lastRow="0" w:firstColumn="1" w:lastColumn="0" w:noHBand="0" w:noVBand="1"/>
          </w:tblPr>
          <w:tblGrid>
            <w:gridCol w:w="3080"/>
            <w:gridCol w:w="3081"/>
            <w:gridCol w:w="3081"/>
          </w:tblGrid>
          <w:tr w:rsidR="002518FD" w:rsidTr="002518FD">
            <w:trPr>
              <w:cnfStyle w:val="100000000000" w:firstRow="1" w:lastRow="0" w:firstColumn="0" w:lastColumn="0" w:oddVBand="0" w:evenVBand="0" w:oddHBand="0" w:evenHBand="0" w:firstRowFirstColumn="0" w:firstRowLastColumn="0" w:lastRowFirstColumn="0" w:lastRowLastColumn="0"/>
            </w:trPr>
            <w:tc>
              <w:tcPr>
                <w:tcW w:w="3080" w:type="dxa"/>
              </w:tcPr>
              <w:p w:rsidR="007E2A2B" w:rsidRPr="00DD56E0" w:rsidRDefault="00C23890" w:rsidP="00203D50">
                <w:pPr>
                  <w:pStyle w:val="ISMSNormal"/>
                  <w:rPr>
                    <w:lang w:val="en-GB"/>
                  </w:rPr>
                </w:pPr>
                <w:r>
                  <w:rPr>
                    <w:lang w:val="en-GB"/>
                  </w:rPr>
                  <w:t>Number</w:t>
                </w:r>
              </w:p>
            </w:tc>
            <w:tc>
              <w:tcPr>
                <w:tcW w:w="3081" w:type="dxa"/>
              </w:tcPr>
              <w:p w:rsidR="007E2A2B" w:rsidRPr="00DD56E0" w:rsidRDefault="00C23890" w:rsidP="00203D50">
                <w:pPr>
                  <w:pStyle w:val="ISMSNormal"/>
                  <w:rPr>
                    <w:lang w:val="en-GB"/>
                  </w:rPr>
                </w:pPr>
                <w:r>
                  <w:rPr>
                    <w:lang w:val="en-GB"/>
                  </w:rPr>
                  <w:t>Type</w:t>
                </w:r>
              </w:p>
            </w:tc>
            <w:tc>
              <w:tcPr>
                <w:tcW w:w="3081" w:type="dxa"/>
              </w:tcPr>
              <w:p w:rsidR="007E2A2B" w:rsidRPr="00DD56E0" w:rsidRDefault="00C23890" w:rsidP="00203D50">
                <w:pPr>
                  <w:pStyle w:val="ISMSNormal"/>
                  <w:rPr>
                    <w:lang w:val="en-GB"/>
                  </w:rPr>
                </w:pPr>
                <w:r>
                  <w:rPr>
                    <w:lang w:val="en-GB"/>
                  </w:rPr>
                  <w:t>Title</w:t>
                </w:r>
              </w:p>
            </w:tc>
          </w:tr>
          <w:tr w:rsidR="002518FD" w:rsidTr="002518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2518FD" w:rsidRDefault="00C23890">
                <w:r>
                  <w:t>ISMS-02-12</w:t>
                </w:r>
              </w:p>
            </w:tc>
            <w:tc>
              <w:tcPr>
                <w:tcW w:w="360" w:type="dxa"/>
              </w:tcPr>
              <w:p w:rsidR="002518FD" w:rsidRDefault="00C23890">
                <w:r>
                  <w:t>ISMS\Policy &amp; Guidance\ISMS Management - policy &amp; guidance</w:t>
                </w:r>
              </w:p>
            </w:tc>
            <w:tc>
              <w:tcPr>
                <w:tcW w:w="360" w:type="dxa"/>
              </w:tcPr>
              <w:p w:rsidR="002518FD" w:rsidRDefault="00C23890">
                <w:r>
                  <w:t>Information Security Measures</w:t>
                </w:r>
              </w:p>
            </w:tc>
          </w:tr>
          <w:tr w:rsidR="002518FD" w:rsidTr="002518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2518FD" w:rsidRDefault="00C23890">
                <w:r>
                  <w:t>ISMS-02-03</w:t>
                </w:r>
              </w:p>
            </w:tc>
            <w:tc>
              <w:tcPr>
                <w:tcW w:w="360" w:type="dxa"/>
              </w:tcPr>
              <w:p w:rsidR="002518FD" w:rsidRDefault="00C23890">
                <w:r>
                  <w:t>ISMS\Policy &amp; Guidance\ISMS Management - policy &amp; guidance</w:t>
                </w:r>
              </w:p>
            </w:tc>
            <w:tc>
              <w:tcPr>
                <w:tcW w:w="360" w:type="dxa"/>
              </w:tcPr>
              <w:p w:rsidR="002518FD" w:rsidRDefault="00C23890">
                <w:r>
                  <w:t>Index of relevant policy</w:t>
                </w:r>
              </w:p>
            </w:tc>
          </w:tr>
          <w:tr w:rsidR="002518FD" w:rsidTr="002518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2518FD" w:rsidRDefault="00C23890">
                <w:r>
                  <w:t>ISMS-02-12</w:t>
                </w:r>
              </w:p>
            </w:tc>
            <w:tc>
              <w:tcPr>
                <w:tcW w:w="360" w:type="dxa"/>
              </w:tcPr>
              <w:p w:rsidR="002518FD" w:rsidRDefault="00C23890">
                <w:r>
                  <w:t>ISMS\Policy &amp; Guidance\ISMS Management - policy &amp; guidance</w:t>
                </w:r>
              </w:p>
            </w:tc>
            <w:tc>
              <w:tcPr>
                <w:tcW w:w="360" w:type="dxa"/>
              </w:tcPr>
              <w:p w:rsidR="002518FD" w:rsidRDefault="00C23890">
                <w:r>
                  <w:t>Information Security Measures</w:t>
                </w:r>
              </w:p>
            </w:tc>
          </w:tr>
        </w:tbl>
        <w:p w:rsidR="007E2A2B" w:rsidRPr="00DD56E0" w:rsidRDefault="00214328" w:rsidP="00203D50">
          <w:pPr>
            <w:pStyle w:val="ISMSNormal"/>
            <w:rPr>
              <w:lang w:val="en-GB"/>
            </w:rPr>
          </w:pPr>
        </w:p>
      </w:sdtContent>
    </w:sdt>
    <w:p w:rsidR="007E2A2B" w:rsidRDefault="00214328" w:rsidP="00203D50">
      <w:pPr>
        <w:pStyle w:val="ISMSNormal"/>
        <w:rPr>
          <w:lang w:val="en-GB"/>
        </w:rPr>
      </w:pPr>
    </w:p>
    <w:p w:rsidR="007E2A2B" w:rsidRDefault="00C23890" w:rsidP="007E2A2B">
      <w:pPr>
        <w:pStyle w:val="ISMSHeading1"/>
      </w:pPr>
      <w:bookmarkStart w:id="269" w:name="_Toc256000229"/>
      <w:bookmarkStart w:id="270" w:name="_Toc256000211"/>
      <w:bookmarkStart w:id="271" w:name="_Toc256000193"/>
      <w:bookmarkStart w:id="272" w:name="_Toc256000175"/>
      <w:bookmarkStart w:id="273" w:name="_Toc256000157"/>
      <w:bookmarkStart w:id="274" w:name="_Toc256000139"/>
      <w:bookmarkStart w:id="275" w:name="_Toc256000127"/>
      <w:bookmarkStart w:id="276" w:name="_Toc256000109"/>
      <w:bookmarkStart w:id="277" w:name="_Toc256000091"/>
      <w:bookmarkStart w:id="278" w:name="_Toc256000073"/>
      <w:bookmarkStart w:id="279" w:name="_Toc256000055"/>
      <w:bookmarkStart w:id="280" w:name="_Toc256000037"/>
      <w:bookmarkStart w:id="281" w:name="_Toc256000019"/>
      <w:bookmarkStart w:id="282" w:name="_Toc507579062"/>
      <w:bookmarkStart w:id="283" w:name="_Toc510689486"/>
      <w:bookmarkStart w:id="284" w:name="_Toc957742"/>
      <w:r w:rsidRPr="00356EA2">
        <w:t>Appendices</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2C7566" w:rsidRDefault="00C23890" w:rsidP="007D3D7E">
      <w:pPr>
        <w:pStyle w:val="ISMSNormal"/>
      </w:pPr>
      <w:r>
        <w:rPr>
          <w:lang w:val="en-GB"/>
        </w:rPr>
        <w:t>None</w:t>
      </w:r>
      <w:bookmarkEnd w:id="17"/>
      <w:bookmarkEnd w:id="18"/>
    </w:p>
    <w:sectPr w:rsidR="002C7566" w:rsidSect="007D3D7E">
      <w:headerReference w:type="even" r:id="rId21"/>
      <w:headerReference w:type="default" r:id="rId22"/>
      <w:footerReference w:type="even" r:id="rId23"/>
      <w:footerReference w:type="default" r:id="rId24"/>
      <w:headerReference w:type="first" r:id="rId25"/>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4328" w:rsidRDefault="00214328">
      <w:r>
        <w:separator/>
      </w:r>
    </w:p>
  </w:endnote>
  <w:endnote w:type="continuationSeparator" w:id="0">
    <w:p w:rsidR="00214328" w:rsidRDefault="0021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25" w:rsidRDefault="00214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3D7E" w:rsidRDefault="00214328" w:rsidP="007D3D7E">
    <w:pPr>
      <w:pBdr>
        <w:bottom w:val="single" w:sz="6" w:space="1" w:color="auto"/>
      </w:pBdr>
      <w:spacing w:before="60"/>
      <w:rPr>
        <w:rFonts w:asciiTheme="minorHAnsi" w:hAnsiTheme="minorHAnsi" w:cstheme="minorHAnsi"/>
      </w:rPr>
    </w:pPr>
  </w:p>
  <w:p w:rsidR="007D3D7E" w:rsidRPr="002E4D92" w:rsidRDefault="00C23890" w:rsidP="007D3D7E">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Pr>
        <w:rFonts w:cstheme="minorHAnsi"/>
      </w:rPr>
      <w:t>ISMS-02-10</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Pr>
        <w:rFonts w:cstheme="minorHAnsi"/>
      </w:rPr>
      <w:t>ISMS Manual</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Pr>
        <w:rFonts w:cstheme="minorHAnsi"/>
      </w:rPr>
      <w:t>2.8</w:t>
    </w:r>
    <w:r w:rsidRPr="002E4D92">
      <w:rPr>
        <w:rFonts w:cstheme="minorHAnsi"/>
      </w:rPr>
      <w:fldChar w:fldCharType="end"/>
    </w:r>
    <w:r w:rsidRPr="002E4D92">
      <w:rPr>
        <w:rStyle w:val="PageNumber"/>
        <w:rFonts w:cstheme="minorHAnsi"/>
      </w:rPr>
      <w:t xml:space="preserve"> </w:t>
    </w:r>
  </w:p>
  <w:p w:rsidR="007E2A2B" w:rsidRPr="00B8398F" w:rsidRDefault="00C23890" w:rsidP="007D3D7E">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Pr>
        <w:rFonts w:cstheme="minorHAnsi"/>
      </w:rPr>
      <w:t>07 Oct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10</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25" w:rsidRDefault="002143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3D7E" w:rsidRDefault="00214328" w:rsidP="007D3D7E">
    <w:pPr>
      <w:pBdr>
        <w:bottom w:val="single" w:sz="6" w:space="1" w:color="auto"/>
      </w:pBdr>
      <w:spacing w:before="60"/>
      <w:rPr>
        <w:rFonts w:asciiTheme="minorHAnsi" w:hAnsiTheme="minorHAnsi" w:cstheme="minorHAnsi"/>
      </w:rPr>
    </w:pPr>
  </w:p>
  <w:p w:rsidR="007D3D7E" w:rsidRPr="002E4D92" w:rsidRDefault="00C23890" w:rsidP="007D3D7E">
    <w:pPr>
      <w:tabs>
        <w:tab w:val="right" w:pos="13948"/>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Pr>
        <w:rFonts w:cstheme="minorHAnsi"/>
      </w:rPr>
      <w:t>ISMS-02-10</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Pr>
        <w:rFonts w:cstheme="minorHAnsi"/>
      </w:rPr>
      <w:t>ISMS Manual</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Pr>
        <w:rFonts w:cstheme="minorHAnsi"/>
      </w:rPr>
      <w:t>2.8</w:t>
    </w:r>
    <w:r w:rsidRPr="002E4D92">
      <w:rPr>
        <w:rFonts w:cstheme="minorHAnsi"/>
      </w:rPr>
      <w:fldChar w:fldCharType="end"/>
    </w:r>
    <w:r w:rsidRPr="002E4D92">
      <w:rPr>
        <w:rStyle w:val="PageNumber"/>
        <w:rFonts w:cstheme="minorHAnsi"/>
      </w:rPr>
      <w:t xml:space="preserve"> </w:t>
    </w:r>
  </w:p>
  <w:p w:rsidR="007D3D7E" w:rsidRPr="00B8398F" w:rsidRDefault="00C23890" w:rsidP="007D3D7E">
    <w:pPr>
      <w:tabs>
        <w:tab w:val="right" w:pos="13948"/>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Pr>
        <w:rFonts w:cstheme="minorHAnsi"/>
      </w:rPr>
      <w:t>07 Oct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9</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10</w:t>
    </w:r>
    <w:r w:rsidRPr="002E4D92">
      <w:rPr>
        <w:rStyle w:val="PageNumber"/>
        <w:rFonts w:cstheme="minorHAns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444A" w:rsidRDefault="0021432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214328" w:rsidP="008C17CD">
    <w:pPr>
      <w:pBdr>
        <w:bottom w:val="single" w:sz="6" w:space="1" w:color="auto"/>
      </w:pBdr>
      <w:spacing w:before="60"/>
      <w:rPr>
        <w:rFonts w:asciiTheme="minorHAnsi" w:hAnsiTheme="minorHAnsi" w:cstheme="minorHAnsi"/>
      </w:rPr>
    </w:pPr>
  </w:p>
  <w:p w:rsidR="008C17CD" w:rsidRPr="002E4D92" w:rsidRDefault="00C23890"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Pr>
        <w:rFonts w:cstheme="minorHAnsi"/>
      </w:rPr>
      <w:t>ISMS-02-10</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Pr>
        <w:rFonts w:cstheme="minorHAnsi"/>
      </w:rPr>
      <w:t>ISMS Manual</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Pr>
        <w:rFonts w:cstheme="minorHAnsi"/>
      </w:rPr>
      <w:t>2.8</w:t>
    </w:r>
    <w:r w:rsidRPr="002E4D92">
      <w:rPr>
        <w:rFonts w:cstheme="minorHAnsi"/>
      </w:rPr>
      <w:fldChar w:fldCharType="end"/>
    </w:r>
    <w:r w:rsidRPr="002E4D92">
      <w:rPr>
        <w:rStyle w:val="PageNumber"/>
        <w:rFonts w:cstheme="minorHAnsi"/>
      </w:rPr>
      <w:t xml:space="preserve"> </w:t>
    </w:r>
  </w:p>
  <w:p w:rsidR="008C17CD" w:rsidRPr="002E4D92" w:rsidRDefault="00C23890"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Pr>
        <w:rFonts w:cstheme="minorHAnsi"/>
      </w:rPr>
      <w:t>07 Oct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10</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10</w:t>
    </w:r>
    <w:r w:rsidRPr="002E4D92">
      <w:rPr>
        <w:rStyle w:val="PageNumbe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4328" w:rsidRDefault="00214328">
      <w:r>
        <w:separator/>
      </w:r>
    </w:p>
  </w:footnote>
  <w:footnote w:type="continuationSeparator" w:id="0">
    <w:p w:rsidR="00214328" w:rsidRDefault="00214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25" w:rsidRDefault="00214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60751" o:spid="_x0000_s2057"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25" w:rsidRDefault="00214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60752" o:spid="_x0000_s2056"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25" w:rsidRDefault="00214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60750" o:spid="_x0000_s2055"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25" w:rsidRDefault="00214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60754" o:spid="_x0000_s2054" type="#_x0000_t136" alt="" style="position:absolute;margin-left:0;margin-top:0;width:587.25pt;height:48.9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2A2B" w:rsidRPr="00B8398F" w:rsidRDefault="00214328" w:rsidP="00B839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60755" o:spid="_x0000_s2053" type="#_x0000_t136" alt="" style="position:absolute;margin-left:0;margin-top:0;width:587.25pt;height:48.9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1C25" w:rsidRDefault="00214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60753" o:spid="_x0000_s2052" type="#_x0000_t136" alt="" style="position:absolute;margin-left:0;margin-top:0;width:587.25pt;height:48.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4D92" w:rsidRDefault="00214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60757" o:spid="_x0000_s2051" type="#_x0000_t136" alt="" style="position:absolute;margin-left:0;margin-top:0;width:587.25pt;height:48.9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4D92" w:rsidRDefault="00214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60758" o:spid="_x0000_s2050" type="#_x0000_t136" alt="" style="position:absolute;margin-left:0;margin-top:0;width:587.25pt;height:48.9pt;rotation:315;z-index:-25165004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4D92" w:rsidRDefault="002143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60756" o:spid="_x0000_s2049" type="#_x0000_t136" alt="" style="position:absolute;margin-left:0;margin-top:0;width:587.25pt;height:48.9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57BAB"/>
    <w:multiLevelType w:val="hybridMultilevel"/>
    <w:tmpl w:val="60AC14CC"/>
    <w:lvl w:ilvl="0" w:tplc="0ECABC60">
      <w:start w:val="1"/>
      <w:numFmt w:val="bullet"/>
      <w:lvlText w:val=""/>
      <w:lvlJc w:val="left"/>
      <w:pPr>
        <w:ind w:left="720" w:hanging="360"/>
      </w:pPr>
      <w:rPr>
        <w:rFonts w:ascii="Symbol" w:hAnsi="Symbol" w:hint="default"/>
      </w:rPr>
    </w:lvl>
    <w:lvl w:ilvl="1" w:tplc="5734DB94" w:tentative="1">
      <w:start w:val="1"/>
      <w:numFmt w:val="bullet"/>
      <w:lvlText w:val="o"/>
      <w:lvlJc w:val="left"/>
      <w:pPr>
        <w:ind w:left="1440" w:hanging="360"/>
      </w:pPr>
      <w:rPr>
        <w:rFonts w:ascii="Courier New" w:hAnsi="Courier New" w:cs="Courier New" w:hint="default"/>
      </w:rPr>
    </w:lvl>
    <w:lvl w:ilvl="2" w:tplc="683A1680" w:tentative="1">
      <w:start w:val="1"/>
      <w:numFmt w:val="bullet"/>
      <w:lvlText w:val=""/>
      <w:lvlJc w:val="left"/>
      <w:pPr>
        <w:ind w:left="2160" w:hanging="360"/>
      </w:pPr>
      <w:rPr>
        <w:rFonts w:ascii="Wingdings" w:hAnsi="Wingdings" w:hint="default"/>
      </w:rPr>
    </w:lvl>
    <w:lvl w:ilvl="3" w:tplc="76AE7F4E" w:tentative="1">
      <w:start w:val="1"/>
      <w:numFmt w:val="bullet"/>
      <w:lvlText w:val=""/>
      <w:lvlJc w:val="left"/>
      <w:pPr>
        <w:ind w:left="2880" w:hanging="360"/>
      </w:pPr>
      <w:rPr>
        <w:rFonts w:ascii="Symbol" w:hAnsi="Symbol" w:hint="default"/>
      </w:rPr>
    </w:lvl>
    <w:lvl w:ilvl="4" w:tplc="78B41242" w:tentative="1">
      <w:start w:val="1"/>
      <w:numFmt w:val="bullet"/>
      <w:lvlText w:val="o"/>
      <w:lvlJc w:val="left"/>
      <w:pPr>
        <w:ind w:left="3600" w:hanging="360"/>
      </w:pPr>
      <w:rPr>
        <w:rFonts w:ascii="Courier New" w:hAnsi="Courier New" w:cs="Courier New" w:hint="default"/>
      </w:rPr>
    </w:lvl>
    <w:lvl w:ilvl="5" w:tplc="D84A1E36" w:tentative="1">
      <w:start w:val="1"/>
      <w:numFmt w:val="bullet"/>
      <w:lvlText w:val=""/>
      <w:lvlJc w:val="left"/>
      <w:pPr>
        <w:ind w:left="4320" w:hanging="360"/>
      </w:pPr>
      <w:rPr>
        <w:rFonts w:ascii="Wingdings" w:hAnsi="Wingdings" w:hint="default"/>
      </w:rPr>
    </w:lvl>
    <w:lvl w:ilvl="6" w:tplc="7910C76E" w:tentative="1">
      <w:start w:val="1"/>
      <w:numFmt w:val="bullet"/>
      <w:lvlText w:val=""/>
      <w:lvlJc w:val="left"/>
      <w:pPr>
        <w:ind w:left="5040" w:hanging="360"/>
      </w:pPr>
      <w:rPr>
        <w:rFonts w:ascii="Symbol" w:hAnsi="Symbol" w:hint="default"/>
      </w:rPr>
    </w:lvl>
    <w:lvl w:ilvl="7" w:tplc="59464EF8" w:tentative="1">
      <w:start w:val="1"/>
      <w:numFmt w:val="bullet"/>
      <w:lvlText w:val="o"/>
      <w:lvlJc w:val="left"/>
      <w:pPr>
        <w:ind w:left="5760" w:hanging="360"/>
      </w:pPr>
      <w:rPr>
        <w:rFonts w:ascii="Courier New" w:hAnsi="Courier New" w:cs="Courier New" w:hint="default"/>
      </w:rPr>
    </w:lvl>
    <w:lvl w:ilvl="8" w:tplc="E4A64040"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7F29E0"/>
    <w:multiLevelType w:val="hybridMultilevel"/>
    <w:tmpl w:val="70109A8A"/>
    <w:lvl w:ilvl="0" w:tplc="F31659CA">
      <w:start w:val="1"/>
      <w:numFmt w:val="bullet"/>
      <w:lvlText w:val=""/>
      <w:lvlJc w:val="left"/>
      <w:pPr>
        <w:ind w:left="720" w:hanging="360"/>
      </w:pPr>
      <w:rPr>
        <w:rFonts w:ascii="Symbol" w:hAnsi="Symbol" w:hint="default"/>
      </w:rPr>
    </w:lvl>
    <w:lvl w:ilvl="1" w:tplc="ED0ECA12" w:tentative="1">
      <w:start w:val="1"/>
      <w:numFmt w:val="bullet"/>
      <w:lvlText w:val="o"/>
      <w:lvlJc w:val="left"/>
      <w:pPr>
        <w:ind w:left="1440" w:hanging="360"/>
      </w:pPr>
      <w:rPr>
        <w:rFonts w:ascii="Courier New" w:hAnsi="Courier New" w:cs="Courier New" w:hint="default"/>
      </w:rPr>
    </w:lvl>
    <w:lvl w:ilvl="2" w:tplc="B992857E" w:tentative="1">
      <w:start w:val="1"/>
      <w:numFmt w:val="bullet"/>
      <w:lvlText w:val=""/>
      <w:lvlJc w:val="left"/>
      <w:pPr>
        <w:ind w:left="2160" w:hanging="360"/>
      </w:pPr>
      <w:rPr>
        <w:rFonts w:ascii="Wingdings" w:hAnsi="Wingdings" w:hint="default"/>
      </w:rPr>
    </w:lvl>
    <w:lvl w:ilvl="3" w:tplc="D56E9A66" w:tentative="1">
      <w:start w:val="1"/>
      <w:numFmt w:val="bullet"/>
      <w:lvlText w:val=""/>
      <w:lvlJc w:val="left"/>
      <w:pPr>
        <w:ind w:left="2880" w:hanging="360"/>
      </w:pPr>
      <w:rPr>
        <w:rFonts w:ascii="Symbol" w:hAnsi="Symbol" w:hint="default"/>
      </w:rPr>
    </w:lvl>
    <w:lvl w:ilvl="4" w:tplc="C6925D52" w:tentative="1">
      <w:start w:val="1"/>
      <w:numFmt w:val="bullet"/>
      <w:lvlText w:val="o"/>
      <w:lvlJc w:val="left"/>
      <w:pPr>
        <w:ind w:left="3600" w:hanging="360"/>
      </w:pPr>
      <w:rPr>
        <w:rFonts w:ascii="Courier New" w:hAnsi="Courier New" w:cs="Courier New" w:hint="default"/>
      </w:rPr>
    </w:lvl>
    <w:lvl w:ilvl="5" w:tplc="AE5480F2" w:tentative="1">
      <w:start w:val="1"/>
      <w:numFmt w:val="bullet"/>
      <w:lvlText w:val=""/>
      <w:lvlJc w:val="left"/>
      <w:pPr>
        <w:ind w:left="4320" w:hanging="360"/>
      </w:pPr>
      <w:rPr>
        <w:rFonts w:ascii="Wingdings" w:hAnsi="Wingdings" w:hint="default"/>
      </w:rPr>
    </w:lvl>
    <w:lvl w:ilvl="6" w:tplc="55E8079A" w:tentative="1">
      <w:start w:val="1"/>
      <w:numFmt w:val="bullet"/>
      <w:lvlText w:val=""/>
      <w:lvlJc w:val="left"/>
      <w:pPr>
        <w:ind w:left="5040" w:hanging="360"/>
      </w:pPr>
      <w:rPr>
        <w:rFonts w:ascii="Symbol" w:hAnsi="Symbol" w:hint="default"/>
      </w:rPr>
    </w:lvl>
    <w:lvl w:ilvl="7" w:tplc="1EC85D4C" w:tentative="1">
      <w:start w:val="1"/>
      <w:numFmt w:val="bullet"/>
      <w:lvlText w:val="o"/>
      <w:lvlJc w:val="left"/>
      <w:pPr>
        <w:ind w:left="5760" w:hanging="360"/>
      </w:pPr>
      <w:rPr>
        <w:rFonts w:ascii="Courier New" w:hAnsi="Courier New" w:cs="Courier New" w:hint="default"/>
      </w:rPr>
    </w:lvl>
    <w:lvl w:ilvl="8" w:tplc="C57494A4" w:tentative="1">
      <w:start w:val="1"/>
      <w:numFmt w:val="bullet"/>
      <w:lvlText w:val=""/>
      <w:lvlJc w:val="left"/>
      <w:pPr>
        <w:ind w:left="6480" w:hanging="360"/>
      </w:pPr>
      <w:rPr>
        <w:rFonts w:ascii="Wingdings" w:hAnsi="Wingdings" w:hint="default"/>
      </w:rPr>
    </w:lvl>
  </w:abstractNum>
  <w:abstractNum w:abstractNumId="3" w15:restartNumberingAfterBreak="0">
    <w:nsid w:val="3B5A34E2"/>
    <w:multiLevelType w:val="hybridMultilevel"/>
    <w:tmpl w:val="C19E5E3A"/>
    <w:lvl w:ilvl="0" w:tplc="71F43266">
      <w:start w:val="5"/>
      <w:numFmt w:val="bullet"/>
      <w:lvlText w:val="-"/>
      <w:lvlJc w:val="left"/>
      <w:pPr>
        <w:ind w:left="720" w:hanging="360"/>
      </w:pPr>
      <w:rPr>
        <w:rFonts w:ascii="Arial" w:eastAsia="Times New Roman" w:hAnsi="Arial" w:cs="Arial" w:hint="default"/>
      </w:rPr>
    </w:lvl>
    <w:lvl w:ilvl="1" w:tplc="E60CED30" w:tentative="1">
      <w:start w:val="1"/>
      <w:numFmt w:val="bullet"/>
      <w:lvlText w:val="o"/>
      <w:lvlJc w:val="left"/>
      <w:pPr>
        <w:ind w:left="1440" w:hanging="360"/>
      </w:pPr>
      <w:rPr>
        <w:rFonts w:ascii="Courier New" w:hAnsi="Courier New" w:cs="Courier New" w:hint="default"/>
      </w:rPr>
    </w:lvl>
    <w:lvl w:ilvl="2" w:tplc="E996B844" w:tentative="1">
      <w:start w:val="1"/>
      <w:numFmt w:val="bullet"/>
      <w:lvlText w:val=""/>
      <w:lvlJc w:val="left"/>
      <w:pPr>
        <w:ind w:left="2160" w:hanging="360"/>
      </w:pPr>
      <w:rPr>
        <w:rFonts w:ascii="Wingdings" w:hAnsi="Wingdings" w:hint="default"/>
      </w:rPr>
    </w:lvl>
    <w:lvl w:ilvl="3" w:tplc="BE2E67EA" w:tentative="1">
      <w:start w:val="1"/>
      <w:numFmt w:val="bullet"/>
      <w:lvlText w:val=""/>
      <w:lvlJc w:val="left"/>
      <w:pPr>
        <w:ind w:left="2880" w:hanging="360"/>
      </w:pPr>
      <w:rPr>
        <w:rFonts w:ascii="Symbol" w:hAnsi="Symbol" w:hint="default"/>
      </w:rPr>
    </w:lvl>
    <w:lvl w:ilvl="4" w:tplc="1C6A6FCE" w:tentative="1">
      <w:start w:val="1"/>
      <w:numFmt w:val="bullet"/>
      <w:lvlText w:val="o"/>
      <w:lvlJc w:val="left"/>
      <w:pPr>
        <w:ind w:left="3600" w:hanging="360"/>
      </w:pPr>
      <w:rPr>
        <w:rFonts w:ascii="Courier New" w:hAnsi="Courier New" w:cs="Courier New" w:hint="default"/>
      </w:rPr>
    </w:lvl>
    <w:lvl w:ilvl="5" w:tplc="A3384E32" w:tentative="1">
      <w:start w:val="1"/>
      <w:numFmt w:val="bullet"/>
      <w:lvlText w:val=""/>
      <w:lvlJc w:val="left"/>
      <w:pPr>
        <w:ind w:left="4320" w:hanging="360"/>
      </w:pPr>
      <w:rPr>
        <w:rFonts w:ascii="Wingdings" w:hAnsi="Wingdings" w:hint="default"/>
      </w:rPr>
    </w:lvl>
    <w:lvl w:ilvl="6" w:tplc="2D1A8890" w:tentative="1">
      <w:start w:val="1"/>
      <w:numFmt w:val="bullet"/>
      <w:lvlText w:val=""/>
      <w:lvlJc w:val="left"/>
      <w:pPr>
        <w:ind w:left="5040" w:hanging="360"/>
      </w:pPr>
      <w:rPr>
        <w:rFonts w:ascii="Symbol" w:hAnsi="Symbol" w:hint="default"/>
      </w:rPr>
    </w:lvl>
    <w:lvl w:ilvl="7" w:tplc="8E6C681E" w:tentative="1">
      <w:start w:val="1"/>
      <w:numFmt w:val="bullet"/>
      <w:lvlText w:val="o"/>
      <w:lvlJc w:val="left"/>
      <w:pPr>
        <w:ind w:left="5760" w:hanging="360"/>
      </w:pPr>
      <w:rPr>
        <w:rFonts w:ascii="Courier New" w:hAnsi="Courier New" w:cs="Courier New" w:hint="default"/>
      </w:rPr>
    </w:lvl>
    <w:lvl w:ilvl="8" w:tplc="D2D4BBE4" w:tentative="1">
      <w:start w:val="1"/>
      <w:numFmt w:val="bullet"/>
      <w:lvlText w:val=""/>
      <w:lvlJc w:val="left"/>
      <w:pPr>
        <w:ind w:left="6480" w:hanging="360"/>
      </w:pPr>
      <w:rPr>
        <w:rFonts w:ascii="Wingdings" w:hAnsi="Wingdings" w:hint="default"/>
      </w:rPr>
    </w:lvl>
  </w:abstractNum>
  <w:abstractNum w:abstractNumId="4" w15:restartNumberingAfterBreak="0">
    <w:nsid w:val="42527614"/>
    <w:multiLevelType w:val="hybridMultilevel"/>
    <w:tmpl w:val="74D0C46E"/>
    <w:lvl w:ilvl="0" w:tplc="64DA9A8E">
      <w:start w:val="1"/>
      <w:numFmt w:val="decimal"/>
      <w:pStyle w:val="Heading2"/>
      <w:lvlText w:val="%1."/>
      <w:lvlJc w:val="left"/>
      <w:pPr>
        <w:ind w:left="5760" w:hanging="360"/>
      </w:pPr>
    </w:lvl>
    <w:lvl w:ilvl="1" w:tplc="AB4AE0B8" w:tentative="1">
      <w:start w:val="1"/>
      <w:numFmt w:val="lowerLetter"/>
      <w:lvlText w:val="%2."/>
      <w:lvlJc w:val="left"/>
      <w:pPr>
        <w:ind w:left="6480" w:hanging="360"/>
      </w:pPr>
    </w:lvl>
    <w:lvl w:ilvl="2" w:tplc="91EEDE6C" w:tentative="1">
      <w:start w:val="1"/>
      <w:numFmt w:val="lowerRoman"/>
      <w:lvlText w:val="%3."/>
      <w:lvlJc w:val="right"/>
      <w:pPr>
        <w:ind w:left="7200" w:hanging="180"/>
      </w:pPr>
    </w:lvl>
    <w:lvl w:ilvl="3" w:tplc="878A3D46" w:tentative="1">
      <w:start w:val="1"/>
      <w:numFmt w:val="decimal"/>
      <w:lvlText w:val="%4."/>
      <w:lvlJc w:val="left"/>
      <w:pPr>
        <w:ind w:left="7920" w:hanging="360"/>
      </w:pPr>
    </w:lvl>
    <w:lvl w:ilvl="4" w:tplc="1E6A0B28" w:tentative="1">
      <w:start w:val="1"/>
      <w:numFmt w:val="lowerLetter"/>
      <w:lvlText w:val="%5."/>
      <w:lvlJc w:val="left"/>
      <w:pPr>
        <w:ind w:left="8640" w:hanging="360"/>
      </w:pPr>
    </w:lvl>
    <w:lvl w:ilvl="5" w:tplc="64801D7C" w:tentative="1">
      <w:start w:val="1"/>
      <w:numFmt w:val="lowerRoman"/>
      <w:lvlText w:val="%6."/>
      <w:lvlJc w:val="right"/>
      <w:pPr>
        <w:ind w:left="9360" w:hanging="180"/>
      </w:pPr>
    </w:lvl>
    <w:lvl w:ilvl="6" w:tplc="83888FE2" w:tentative="1">
      <w:start w:val="1"/>
      <w:numFmt w:val="decimal"/>
      <w:lvlText w:val="%7."/>
      <w:lvlJc w:val="left"/>
      <w:pPr>
        <w:ind w:left="10080" w:hanging="360"/>
      </w:pPr>
    </w:lvl>
    <w:lvl w:ilvl="7" w:tplc="7182F166" w:tentative="1">
      <w:start w:val="1"/>
      <w:numFmt w:val="lowerLetter"/>
      <w:lvlText w:val="%8."/>
      <w:lvlJc w:val="left"/>
      <w:pPr>
        <w:ind w:left="10800" w:hanging="360"/>
      </w:pPr>
    </w:lvl>
    <w:lvl w:ilvl="8" w:tplc="9028C2EC" w:tentative="1">
      <w:start w:val="1"/>
      <w:numFmt w:val="lowerRoman"/>
      <w:lvlText w:val="%9."/>
      <w:lvlJc w:val="right"/>
      <w:pPr>
        <w:ind w:left="11520" w:hanging="180"/>
      </w:pPr>
    </w:lvl>
  </w:abstractNum>
  <w:abstractNum w:abstractNumId="5" w15:restartNumberingAfterBreak="0">
    <w:nsid w:val="465572C6"/>
    <w:multiLevelType w:val="hybridMultilevel"/>
    <w:tmpl w:val="E66A2990"/>
    <w:lvl w:ilvl="0" w:tplc="EDDCBA96">
      <w:start w:val="1"/>
      <w:numFmt w:val="bullet"/>
      <w:lvlText w:val=""/>
      <w:lvlJc w:val="left"/>
      <w:pPr>
        <w:ind w:left="720" w:hanging="360"/>
      </w:pPr>
      <w:rPr>
        <w:rFonts w:ascii="Symbol" w:hAnsi="Symbol" w:hint="default"/>
      </w:rPr>
    </w:lvl>
    <w:lvl w:ilvl="1" w:tplc="8744C9AE" w:tentative="1">
      <w:start w:val="1"/>
      <w:numFmt w:val="bullet"/>
      <w:lvlText w:val="o"/>
      <w:lvlJc w:val="left"/>
      <w:pPr>
        <w:ind w:left="1440" w:hanging="360"/>
      </w:pPr>
      <w:rPr>
        <w:rFonts w:ascii="Courier New" w:hAnsi="Courier New" w:hint="default"/>
      </w:rPr>
    </w:lvl>
    <w:lvl w:ilvl="2" w:tplc="CBE8FFBE" w:tentative="1">
      <w:start w:val="1"/>
      <w:numFmt w:val="bullet"/>
      <w:lvlText w:val=""/>
      <w:lvlJc w:val="left"/>
      <w:pPr>
        <w:ind w:left="2160" w:hanging="360"/>
      </w:pPr>
      <w:rPr>
        <w:rFonts w:ascii="Wingdings" w:hAnsi="Wingdings" w:hint="default"/>
      </w:rPr>
    </w:lvl>
    <w:lvl w:ilvl="3" w:tplc="AC98D0AE" w:tentative="1">
      <w:start w:val="1"/>
      <w:numFmt w:val="bullet"/>
      <w:lvlText w:val=""/>
      <w:lvlJc w:val="left"/>
      <w:pPr>
        <w:ind w:left="2880" w:hanging="360"/>
      </w:pPr>
      <w:rPr>
        <w:rFonts w:ascii="Symbol" w:hAnsi="Symbol" w:hint="default"/>
      </w:rPr>
    </w:lvl>
    <w:lvl w:ilvl="4" w:tplc="55C03B82" w:tentative="1">
      <w:start w:val="1"/>
      <w:numFmt w:val="bullet"/>
      <w:lvlText w:val="o"/>
      <w:lvlJc w:val="left"/>
      <w:pPr>
        <w:ind w:left="3600" w:hanging="360"/>
      </w:pPr>
      <w:rPr>
        <w:rFonts w:ascii="Courier New" w:hAnsi="Courier New" w:hint="default"/>
      </w:rPr>
    </w:lvl>
    <w:lvl w:ilvl="5" w:tplc="69987348" w:tentative="1">
      <w:start w:val="1"/>
      <w:numFmt w:val="bullet"/>
      <w:lvlText w:val=""/>
      <w:lvlJc w:val="left"/>
      <w:pPr>
        <w:ind w:left="4320" w:hanging="360"/>
      </w:pPr>
      <w:rPr>
        <w:rFonts w:ascii="Wingdings" w:hAnsi="Wingdings" w:hint="default"/>
      </w:rPr>
    </w:lvl>
    <w:lvl w:ilvl="6" w:tplc="29A4F480" w:tentative="1">
      <w:start w:val="1"/>
      <w:numFmt w:val="bullet"/>
      <w:lvlText w:val=""/>
      <w:lvlJc w:val="left"/>
      <w:pPr>
        <w:ind w:left="5040" w:hanging="360"/>
      </w:pPr>
      <w:rPr>
        <w:rFonts w:ascii="Symbol" w:hAnsi="Symbol" w:hint="default"/>
      </w:rPr>
    </w:lvl>
    <w:lvl w:ilvl="7" w:tplc="65480268" w:tentative="1">
      <w:start w:val="1"/>
      <w:numFmt w:val="bullet"/>
      <w:lvlText w:val="o"/>
      <w:lvlJc w:val="left"/>
      <w:pPr>
        <w:ind w:left="5760" w:hanging="360"/>
      </w:pPr>
      <w:rPr>
        <w:rFonts w:ascii="Courier New" w:hAnsi="Courier New" w:hint="default"/>
      </w:rPr>
    </w:lvl>
    <w:lvl w:ilvl="8" w:tplc="BA0A9674" w:tentative="1">
      <w:start w:val="1"/>
      <w:numFmt w:val="bullet"/>
      <w:lvlText w:val=""/>
      <w:lvlJc w:val="left"/>
      <w:pPr>
        <w:ind w:left="6480" w:hanging="360"/>
      </w:pPr>
      <w:rPr>
        <w:rFonts w:ascii="Wingdings" w:hAnsi="Wingdings" w:hint="default"/>
      </w:rPr>
    </w:lvl>
  </w:abstractNum>
  <w:abstractNum w:abstractNumId="6" w15:restartNumberingAfterBreak="0">
    <w:nsid w:val="488C5EA8"/>
    <w:multiLevelType w:val="hybridMultilevel"/>
    <w:tmpl w:val="C2F6EC74"/>
    <w:lvl w:ilvl="0" w:tplc="D7CE7482">
      <w:start w:val="3"/>
      <w:numFmt w:val="bullet"/>
      <w:lvlText w:val="-"/>
      <w:lvlJc w:val="left"/>
      <w:pPr>
        <w:ind w:left="720" w:hanging="360"/>
      </w:pPr>
      <w:rPr>
        <w:rFonts w:ascii="Arial" w:eastAsia="Times New Roman" w:hAnsi="Arial" w:cs="Arial" w:hint="default"/>
      </w:rPr>
    </w:lvl>
    <w:lvl w:ilvl="1" w:tplc="3FCC03FC" w:tentative="1">
      <w:start w:val="1"/>
      <w:numFmt w:val="bullet"/>
      <w:lvlText w:val="o"/>
      <w:lvlJc w:val="left"/>
      <w:pPr>
        <w:ind w:left="1440" w:hanging="360"/>
      </w:pPr>
      <w:rPr>
        <w:rFonts w:ascii="Courier New" w:hAnsi="Courier New" w:cs="Courier New" w:hint="default"/>
      </w:rPr>
    </w:lvl>
    <w:lvl w:ilvl="2" w:tplc="23F4BC8C" w:tentative="1">
      <w:start w:val="1"/>
      <w:numFmt w:val="bullet"/>
      <w:lvlText w:val=""/>
      <w:lvlJc w:val="left"/>
      <w:pPr>
        <w:ind w:left="2160" w:hanging="360"/>
      </w:pPr>
      <w:rPr>
        <w:rFonts w:ascii="Wingdings" w:hAnsi="Wingdings" w:hint="default"/>
      </w:rPr>
    </w:lvl>
    <w:lvl w:ilvl="3" w:tplc="F138A8CA" w:tentative="1">
      <w:start w:val="1"/>
      <w:numFmt w:val="bullet"/>
      <w:lvlText w:val=""/>
      <w:lvlJc w:val="left"/>
      <w:pPr>
        <w:ind w:left="2880" w:hanging="360"/>
      </w:pPr>
      <w:rPr>
        <w:rFonts w:ascii="Symbol" w:hAnsi="Symbol" w:hint="default"/>
      </w:rPr>
    </w:lvl>
    <w:lvl w:ilvl="4" w:tplc="C03A13F8" w:tentative="1">
      <w:start w:val="1"/>
      <w:numFmt w:val="bullet"/>
      <w:lvlText w:val="o"/>
      <w:lvlJc w:val="left"/>
      <w:pPr>
        <w:ind w:left="3600" w:hanging="360"/>
      </w:pPr>
      <w:rPr>
        <w:rFonts w:ascii="Courier New" w:hAnsi="Courier New" w:cs="Courier New" w:hint="default"/>
      </w:rPr>
    </w:lvl>
    <w:lvl w:ilvl="5" w:tplc="84B46806" w:tentative="1">
      <w:start w:val="1"/>
      <w:numFmt w:val="bullet"/>
      <w:lvlText w:val=""/>
      <w:lvlJc w:val="left"/>
      <w:pPr>
        <w:ind w:left="4320" w:hanging="360"/>
      </w:pPr>
      <w:rPr>
        <w:rFonts w:ascii="Wingdings" w:hAnsi="Wingdings" w:hint="default"/>
      </w:rPr>
    </w:lvl>
    <w:lvl w:ilvl="6" w:tplc="48C880A6" w:tentative="1">
      <w:start w:val="1"/>
      <w:numFmt w:val="bullet"/>
      <w:lvlText w:val=""/>
      <w:lvlJc w:val="left"/>
      <w:pPr>
        <w:ind w:left="5040" w:hanging="360"/>
      </w:pPr>
      <w:rPr>
        <w:rFonts w:ascii="Symbol" w:hAnsi="Symbol" w:hint="default"/>
      </w:rPr>
    </w:lvl>
    <w:lvl w:ilvl="7" w:tplc="F3BE4A9C" w:tentative="1">
      <w:start w:val="1"/>
      <w:numFmt w:val="bullet"/>
      <w:lvlText w:val="o"/>
      <w:lvlJc w:val="left"/>
      <w:pPr>
        <w:ind w:left="5760" w:hanging="360"/>
      </w:pPr>
      <w:rPr>
        <w:rFonts w:ascii="Courier New" w:hAnsi="Courier New" w:cs="Courier New" w:hint="default"/>
      </w:rPr>
    </w:lvl>
    <w:lvl w:ilvl="8" w:tplc="B204EF7C"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AB36EC38">
      <w:start w:val="3"/>
      <w:numFmt w:val="bullet"/>
      <w:pStyle w:val="ListParagraph"/>
      <w:lvlText w:val="-"/>
      <w:lvlJc w:val="left"/>
      <w:pPr>
        <w:ind w:left="720" w:hanging="360"/>
      </w:pPr>
      <w:rPr>
        <w:rFonts w:ascii="Arial" w:eastAsia="Times New Roman" w:hAnsi="Arial" w:cs="Arial" w:hint="default"/>
      </w:rPr>
    </w:lvl>
    <w:lvl w:ilvl="1" w:tplc="A2BA21CA" w:tentative="1">
      <w:start w:val="1"/>
      <w:numFmt w:val="bullet"/>
      <w:lvlText w:val="o"/>
      <w:lvlJc w:val="left"/>
      <w:pPr>
        <w:ind w:left="1440" w:hanging="360"/>
      </w:pPr>
      <w:rPr>
        <w:rFonts w:ascii="Courier New" w:hAnsi="Courier New" w:cs="Courier New" w:hint="default"/>
      </w:rPr>
    </w:lvl>
    <w:lvl w:ilvl="2" w:tplc="9E48B32A" w:tentative="1">
      <w:start w:val="1"/>
      <w:numFmt w:val="bullet"/>
      <w:lvlText w:val=""/>
      <w:lvlJc w:val="left"/>
      <w:pPr>
        <w:ind w:left="2160" w:hanging="360"/>
      </w:pPr>
      <w:rPr>
        <w:rFonts w:ascii="Wingdings" w:hAnsi="Wingdings" w:hint="default"/>
      </w:rPr>
    </w:lvl>
    <w:lvl w:ilvl="3" w:tplc="065C46E0" w:tentative="1">
      <w:start w:val="1"/>
      <w:numFmt w:val="bullet"/>
      <w:lvlText w:val=""/>
      <w:lvlJc w:val="left"/>
      <w:pPr>
        <w:ind w:left="2880" w:hanging="360"/>
      </w:pPr>
      <w:rPr>
        <w:rFonts w:ascii="Symbol" w:hAnsi="Symbol" w:hint="default"/>
      </w:rPr>
    </w:lvl>
    <w:lvl w:ilvl="4" w:tplc="872E6C64" w:tentative="1">
      <w:start w:val="1"/>
      <w:numFmt w:val="bullet"/>
      <w:lvlText w:val="o"/>
      <w:lvlJc w:val="left"/>
      <w:pPr>
        <w:ind w:left="3600" w:hanging="360"/>
      </w:pPr>
      <w:rPr>
        <w:rFonts w:ascii="Courier New" w:hAnsi="Courier New" w:cs="Courier New" w:hint="default"/>
      </w:rPr>
    </w:lvl>
    <w:lvl w:ilvl="5" w:tplc="D0B2C9E0" w:tentative="1">
      <w:start w:val="1"/>
      <w:numFmt w:val="bullet"/>
      <w:lvlText w:val=""/>
      <w:lvlJc w:val="left"/>
      <w:pPr>
        <w:ind w:left="4320" w:hanging="360"/>
      </w:pPr>
      <w:rPr>
        <w:rFonts w:ascii="Wingdings" w:hAnsi="Wingdings" w:hint="default"/>
      </w:rPr>
    </w:lvl>
    <w:lvl w:ilvl="6" w:tplc="4600FCCE" w:tentative="1">
      <w:start w:val="1"/>
      <w:numFmt w:val="bullet"/>
      <w:lvlText w:val=""/>
      <w:lvlJc w:val="left"/>
      <w:pPr>
        <w:ind w:left="5040" w:hanging="360"/>
      </w:pPr>
      <w:rPr>
        <w:rFonts w:ascii="Symbol" w:hAnsi="Symbol" w:hint="default"/>
      </w:rPr>
    </w:lvl>
    <w:lvl w:ilvl="7" w:tplc="EE6EB1AA" w:tentative="1">
      <w:start w:val="1"/>
      <w:numFmt w:val="bullet"/>
      <w:lvlText w:val="o"/>
      <w:lvlJc w:val="left"/>
      <w:pPr>
        <w:ind w:left="5760" w:hanging="360"/>
      </w:pPr>
      <w:rPr>
        <w:rFonts w:ascii="Courier New" w:hAnsi="Courier New" w:cs="Courier New" w:hint="default"/>
      </w:rPr>
    </w:lvl>
    <w:lvl w:ilvl="8" w:tplc="65F84E0A" w:tentative="1">
      <w:start w:val="1"/>
      <w:numFmt w:val="bullet"/>
      <w:lvlText w:val=""/>
      <w:lvlJc w:val="left"/>
      <w:pPr>
        <w:ind w:left="6480" w:hanging="360"/>
      </w:pPr>
      <w:rPr>
        <w:rFonts w:ascii="Wingdings" w:hAnsi="Wingdings" w:hint="default"/>
      </w:rPr>
    </w:lvl>
  </w:abstractNum>
  <w:abstractNum w:abstractNumId="8" w15:restartNumberingAfterBreak="0">
    <w:nsid w:val="56567BA5"/>
    <w:multiLevelType w:val="hybridMultilevel"/>
    <w:tmpl w:val="8CB8078E"/>
    <w:lvl w:ilvl="0" w:tplc="DAC8B67C">
      <w:numFmt w:val="bullet"/>
      <w:lvlText w:val=""/>
      <w:lvlJc w:val="left"/>
      <w:pPr>
        <w:ind w:left="720" w:hanging="360"/>
      </w:pPr>
      <w:rPr>
        <w:rFonts w:ascii="Symbol" w:eastAsia="Times New Roman" w:hAnsi="Symbol" w:cs="Arial" w:hint="default"/>
      </w:rPr>
    </w:lvl>
    <w:lvl w:ilvl="1" w:tplc="271A8980" w:tentative="1">
      <w:start w:val="1"/>
      <w:numFmt w:val="bullet"/>
      <w:lvlText w:val="o"/>
      <w:lvlJc w:val="left"/>
      <w:pPr>
        <w:ind w:left="1440" w:hanging="360"/>
      </w:pPr>
      <w:rPr>
        <w:rFonts w:ascii="Courier New" w:hAnsi="Courier New" w:cs="Courier New" w:hint="default"/>
      </w:rPr>
    </w:lvl>
    <w:lvl w:ilvl="2" w:tplc="99E463C8" w:tentative="1">
      <w:start w:val="1"/>
      <w:numFmt w:val="bullet"/>
      <w:lvlText w:val=""/>
      <w:lvlJc w:val="left"/>
      <w:pPr>
        <w:ind w:left="2160" w:hanging="360"/>
      </w:pPr>
      <w:rPr>
        <w:rFonts w:ascii="Wingdings" w:hAnsi="Wingdings" w:hint="default"/>
      </w:rPr>
    </w:lvl>
    <w:lvl w:ilvl="3" w:tplc="5876336E" w:tentative="1">
      <w:start w:val="1"/>
      <w:numFmt w:val="bullet"/>
      <w:lvlText w:val=""/>
      <w:lvlJc w:val="left"/>
      <w:pPr>
        <w:ind w:left="2880" w:hanging="360"/>
      </w:pPr>
      <w:rPr>
        <w:rFonts w:ascii="Symbol" w:hAnsi="Symbol" w:hint="default"/>
      </w:rPr>
    </w:lvl>
    <w:lvl w:ilvl="4" w:tplc="82929D66" w:tentative="1">
      <w:start w:val="1"/>
      <w:numFmt w:val="bullet"/>
      <w:lvlText w:val="o"/>
      <w:lvlJc w:val="left"/>
      <w:pPr>
        <w:ind w:left="3600" w:hanging="360"/>
      </w:pPr>
      <w:rPr>
        <w:rFonts w:ascii="Courier New" w:hAnsi="Courier New" w:cs="Courier New" w:hint="default"/>
      </w:rPr>
    </w:lvl>
    <w:lvl w:ilvl="5" w:tplc="C242F33C" w:tentative="1">
      <w:start w:val="1"/>
      <w:numFmt w:val="bullet"/>
      <w:lvlText w:val=""/>
      <w:lvlJc w:val="left"/>
      <w:pPr>
        <w:ind w:left="4320" w:hanging="360"/>
      </w:pPr>
      <w:rPr>
        <w:rFonts w:ascii="Wingdings" w:hAnsi="Wingdings" w:hint="default"/>
      </w:rPr>
    </w:lvl>
    <w:lvl w:ilvl="6" w:tplc="00C6E9F4" w:tentative="1">
      <w:start w:val="1"/>
      <w:numFmt w:val="bullet"/>
      <w:lvlText w:val=""/>
      <w:lvlJc w:val="left"/>
      <w:pPr>
        <w:ind w:left="5040" w:hanging="360"/>
      </w:pPr>
      <w:rPr>
        <w:rFonts w:ascii="Symbol" w:hAnsi="Symbol" w:hint="default"/>
      </w:rPr>
    </w:lvl>
    <w:lvl w:ilvl="7" w:tplc="BAB0958E" w:tentative="1">
      <w:start w:val="1"/>
      <w:numFmt w:val="bullet"/>
      <w:lvlText w:val="o"/>
      <w:lvlJc w:val="left"/>
      <w:pPr>
        <w:ind w:left="5760" w:hanging="360"/>
      </w:pPr>
      <w:rPr>
        <w:rFonts w:ascii="Courier New" w:hAnsi="Courier New" w:cs="Courier New" w:hint="default"/>
      </w:rPr>
    </w:lvl>
    <w:lvl w:ilvl="8" w:tplc="09EAC1AE" w:tentative="1">
      <w:start w:val="1"/>
      <w:numFmt w:val="bullet"/>
      <w:lvlText w:val=""/>
      <w:lvlJc w:val="left"/>
      <w:pPr>
        <w:ind w:left="6480" w:hanging="360"/>
      </w:pPr>
      <w:rPr>
        <w:rFonts w:ascii="Wingdings" w:hAnsi="Wingdings" w:hint="default"/>
      </w:rPr>
    </w:lvl>
  </w:abstractNum>
  <w:abstractNum w:abstractNumId="9" w15:restartNumberingAfterBreak="0">
    <w:nsid w:val="61CA3BAF"/>
    <w:multiLevelType w:val="hybridMultilevel"/>
    <w:tmpl w:val="C67885F2"/>
    <w:lvl w:ilvl="0" w:tplc="C4FCA930">
      <w:start w:val="1"/>
      <w:numFmt w:val="bullet"/>
      <w:lvlText w:val=""/>
      <w:lvlJc w:val="left"/>
      <w:pPr>
        <w:ind w:left="720" w:hanging="360"/>
      </w:pPr>
      <w:rPr>
        <w:rFonts w:ascii="Symbol" w:hAnsi="Symbol" w:hint="default"/>
      </w:rPr>
    </w:lvl>
    <w:lvl w:ilvl="1" w:tplc="0F883F96" w:tentative="1">
      <w:start w:val="1"/>
      <w:numFmt w:val="bullet"/>
      <w:lvlText w:val="o"/>
      <w:lvlJc w:val="left"/>
      <w:pPr>
        <w:ind w:left="1440" w:hanging="360"/>
      </w:pPr>
      <w:rPr>
        <w:rFonts w:ascii="Courier New" w:hAnsi="Courier New" w:cs="Courier New" w:hint="default"/>
      </w:rPr>
    </w:lvl>
    <w:lvl w:ilvl="2" w:tplc="B10C9F18" w:tentative="1">
      <w:start w:val="1"/>
      <w:numFmt w:val="bullet"/>
      <w:lvlText w:val=""/>
      <w:lvlJc w:val="left"/>
      <w:pPr>
        <w:ind w:left="2160" w:hanging="360"/>
      </w:pPr>
      <w:rPr>
        <w:rFonts w:ascii="Wingdings" w:hAnsi="Wingdings" w:hint="default"/>
      </w:rPr>
    </w:lvl>
    <w:lvl w:ilvl="3" w:tplc="DA3E0BE0" w:tentative="1">
      <w:start w:val="1"/>
      <w:numFmt w:val="bullet"/>
      <w:lvlText w:val=""/>
      <w:lvlJc w:val="left"/>
      <w:pPr>
        <w:ind w:left="2880" w:hanging="360"/>
      </w:pPr>
      <w:rPr>
        <w:rFonts w:ascii="Symbol" w:hAnsi="Symbol" w:hint="default"/>
      </w:rPr>
    </w:lvl>
    <w:lvl w:ilvl="4" w:tplc="ED1A7F3E" w:tentative="1">
      <w:start w:val="1"/>
      <w:numFmt w:val="bullet"/>
      <w:lvlText w:val="o"/>
      <w:lvlJc w:val="left"/>
      <w:pPr>
        <w:ind w:left="3600" w:hanging="360"/>
      </w:pPr>
      <w:rPr>
        <w:rFonts w:ascii="Courier New" w:hAnsi="Courier New" w:cs="Courier New" w:hint="default"/>
      </w:rPr>
    </w:lvl>
    <w:lvl w:ilvl="5" w:tplc="F8E63EC8" w:tentative="1">
      <w:start w:val="1"/>
      <w:numFmt w:val="bullet"/>
      <w:lvlText w:val=""/>
      <w:lvlJc w:val="left"/>
      <w:pPr>
        <w:ind w:left="4320" w:hanging="360"/>
      </w:pPr>
      <w:rPr>
        <w:rFonts w:ascii="Wingdings" w:hAnsi="Wingdings" w:hint="default"/>
      </w:rPr>
    </w:lvl>
    <w:lvl w:ilvl="6" w:tplc="E68E6E66" w:tentative="1">
      <w:start w:val="1"/>
      <w:numFmt w:val="bullet"/>
      <w:lvlText w:val=""/>
      <w:lvlJc w:val="left"/>
      <w:pPr>
        <w:ind w:left="5040" w:hanging="360"/>
      </w:pPr>
      <w:rPr>
        <w:rFonts w:ascii="Symbol" w:hAnsi="Symbol" w:hint="default"/>
      </w:rPr>
    </w:lvl>
    <w:lvl w:ilvl="7" w:tplc="E068955C" w:tentative="1">
      <w:start w:val="1"/>
      <w:numFmt w:val="bullet"/>
      <w:lvlText w:val="o"/>
      <w:lvlJc w:val="left"/>
      <w:pPr>
        <w:ind w:left="5760" w:hanging="360"/>
      </w:pPr>
      <w:rPr>
        <w:rFonts w:ascii="Courier New" w:hAnsi="Courier New" w:cs="Courier New" w:hint="default"/>
      </w:rPr>
    </w:lvl>
    <w:lvl w:ilvl="8" w:tplc="5C14002E" w:tentative="1">
      <w:start w:val="1"/>
      <w:numFmt w:val="bullet"/>
      <w:lvlText w:val=""/>
      <w:lvlJc w:val="left"/>
      <w:pPr>
        <w:ind w:left="6480" w:hanging="360"/>
      </w:pPr>
      <w:rPr>
        <w:rFonts w:ascii="Wingdings" w:hAnsi="Wingdings" w:hint="default"/>
      </w:rPr>
    </w:lvl>
  </w:abstractNum>
  <w:abstractNum w:abstractNumId="10" w15:restartNumberingAfterBreak="0">
    <w:nsid w:val="62651720"/>
    <w:multiLevelType w:val="multilevel"/>
    <w:tmpl w:val="F202D3F4"/>
    <w:lvl w:ilvl="0">
      <w:start w:val="1"/>
      <w:numFmt w:val="decimal"/>
      <w:lvlText w:val="%1."/>
      <w:lvlJc w:val="left"/>
      <w:pPr>
        <w:ind w:left="720" w:hanging="360"/>
      </w:pPr>
    </w:lvl>
    <w:lvl w:ilvl="1">
      <w:start w:val="1"/>
      <w:numFmt w:val="decimal"/>
      <w:lvlText w:val="%1.%2."/>
      <w:lvlJc w:val="left"/>
      <w:pPr>
        <w:ind w:left="18" w:hanging="432"/>
      </w:pPr>
      <w:rPr>
        <w:rFonts w:hint="default"/>
      </w:rPr>
    </w:lvl>
    <w:lvl w:ilvl="2">
      <w:start w:val="1"/>
      <w:numFmt w:val="decimal"/>
      <w:lvlText w:val="%1.%2.%3."/>
      <w:lvlJc w:val="left"/>
      <w:pPr>
        <w:ind w:left="450" w:hanging="504"/>
      </w:pPr>
    </w:lvl>
    <w:lvl w:ilvl="3">
      <w:start w:val="1"/>
      <w:numFmt w:val="decimal"/>
      <w:lvlText w:val="%1.%2.%3.%4."/>
      <w:lvlJc w:val="left"/>
      <w:pPr>
        <w:ind w:left="954" w:hanging="648"/>
      </w:pPr>
    </w:lvl>
    <w:lvl w:ilvl="4">
      <w:start w:val="1"/>
      <w:numFmt w:val="decimal"/>
      <w:lvlText w:val="%1.%2.%3.%4.%5."/>
      <w:lvlJc w:val="left"/>
      <w:pPr>
        <w:ind w:left="1458" w:hanging="792"/>
      </w:pPr>
    </w:lvl>
    <w:lvl w:ilvl="5">
      <w:start w:val="1"/>
      <w:numFmt w:val="decimal"/>
      <w:lvlText w:val="%1.%2.%3.%4.%5.%6."/>
      <w:lvlJc w:val="left"/>
      <w:pPr>
        <w:ind w:left="1962" w:hanging="936"/>
      </w:pPr>
    </w:lvl>
    <w:lvl w:ilvl="6">
      <w:start w:val="1"/>
      <w:numFmt w:val="decimal"/>
      <w:lvlText w:val="%1.%2.%3.%4.%5.%6.%7."/>
      <w:lvlJc w:val="left"/>
      <w:pPr>
        <w:ind w:left="2466" w:hanging="1080"/>
      </w:pPr>
    </w:lvl>
    <w:lvl w:ilvl="7">
      <w:start w:val="1"/>
      <w:numFmt w:val="decimal"/>
      <w:lvlText w:val="%1.%2.%3.%4.%5.%6.%7.%8."/>
      <w:lvlJc w:val="left"/>
      <w:pPr>
        <w:ind w:left="2970" w:hanging="1224"/>
      </w:pPr>
    </w:lvl>
    <w:lvl w:ilvl="8">
      <w:start w:val="1"/>
      <w:numFmt w:val="decimal"/>
      <w:lvlText w:val="%1.%2.%3.%4.%5.%6.%7.%8.%9."/>
      <w:lvlJc w:val="left"/>
      <w:pPr>
        <w:ind w:left="3546" w:hanging="1440"/>
      </w:pPr>
    </w:lvl>
  </w:abstractNum>
  <w:abstractNum w:abstractNumId="11" w15:restartNumberingAfterBreak="0">
    <w:nsid w:val="713305A9"/>
    <w:multiLevelType w:val="hybridMultilevel"/>
    <w:tmpl w:val="ADC4D506"/>
    <w:lvl w:ilvl="0" w:tplc="57445BE8">
      <w:start w:val="1"/>
      <w:numFmt w:val="bullet"/>
      <w:lvlText w:val=""/>
      <w:lvlJc w:val="left"/>
      <w:pPr>
        <w:ind w:left="360" w:hanging="360"/>
      </w:pPr>
      <w:rPr>
        <w:rFonts w:ascii="Symbol" w:hAnsi="Symbol" w:hint="default"/>
      </w:rPr>
    </w:lvl>
    <w:lvl w:ilvl="1" w:tplc="6486F7A8">
      <w:start w:val="1"/>
      <w:numFmt w:val="bullet"/>
      <w:lvlText w:val="o"/>
      <w:lvlJc w:val="left"/>
      <w:pPr>
        <w:ind w:left="1080" w:hanging="360"/>
      </w:pPr>
      <w:rPr>
        <w:rFonts w:ascii="Courier New" w:hAnsi="Courier New" w:cs="Courier New" w:hint="default"/>
      </w:rPr>
    </w:lvl>
    <w:lvl w:ilvl="2" w:tplc="801C20BE" w:tentative="1">
      <w:start w:val="1"/>
      <w:numFmt w:val="bullet"/>
      <w:lvlText w:val=""/>
      <w:lvlJc w:val="left"/>
      <w:pPr>
        <w:ind w:left="1800" w:hanging="360"/>
      </w:pPr>
      <w:rPr>
        <w:rFonts w:ascii="Wingdings" w:hAnsi="Wingdings" w:hint="default"/>
      </w:rPr>
    </w:lvl>
    <w:lvl w:ilvl="3" w:tplc="7644A3CA" w:tentative="1">
      <w:start w:val="1"/>
      <w:numFmt w:val="bullet"/>
      <w:lvlText w:val=""/>
      <w:lvlJc w:val="left"/>
      <w:pPr>
        <w:ind w:left="2520" w:hanging="360"/>
      </w:pPr>
      <w:rPr>
        <w:rFonts w:ascii="Symbol" w:hAnsi="Symbol" w:hint="default"/>
      </w:rPr>
    </w:lvl>
    <w:lvl w:ilvl="4" w:tplc="F4CE1684" w:tentative="1">
      <w:start w:val="1"/>
      <w:numFmt w:val="bullet"/>
      <w:lvlText w:val="o"/>
      <w:lvlJc w:val="left"/>
      <w:pPr>
        <w:ind w:left="3240" w:hanging="360"/>
      </w:pPr>
      <w:rPr>
        <w:rFonts w:ascii="Courier New" w:hAnsi="Courier New" w:cs="Courier New" w:hint="default"/>
      </w:rPr>
    </w:lvl>
    <w:lvl w:ilvl="5" w:tplc="41C0C4D6" w:tentative="1">
      <w:start w:val="1"/>
      <w:numFmt w:val="bullet"/>
      <w:lvlText w:val=""/>
      <w:lvlJc w:val="left"/>
      <w:pPr>
        <w:ind w:left="3960" w:hanging="360"/>
      </w:pPr>
      <w:rPr>
        <w:rFonts w:ascii="Wingdings" w:hAnsi="Wingdings" w:hint="default"/>
      </w:rPr>
    </w:lvl>
    <w:lvl w:ilvl="6" w:tplc="CA06D49E" w:tentative="1">
      <w:start w:val="1"/>
      <w:numFmt w:val="bullet"/>
      <w:lvlText w:val=""/>
      <w:lvlJc w:val="left"/>
      <w:pPr>
        <w:ind w:left="4680" w:hanging="360"/>
      </w:pPr>
      <w:rPr>
        <w:rFonts w:ascii="Symbol" w:hAnsi="Symbol" w:hint="default"/>
      </w:rPr>
    </w:lvl>
    <w:lvl w:ilvl="7" w:tplc="51CA183E" w:tentative="1">
      <w:start w:val="1"/>
      <w:numFmt w:val="bullet"/>
      <w:lvlText w:val="o"/>
      <w:lvlJc w:val="left"/>
      <w:pPr>
        <w:ind w:left="5400" w:hanging="360"/>
      </w:pPr>
      <w:rPr>
        <w:rFonts w:ascii="Courier New" w:hAnsi="Courier New" w:cs="Courier New" w:hint="default"/>
      </w:rPr>
    </w:lvl>
    <w:lvl w:ilvl="8" w:tplc="7B88A45A" w:tentative="1">
      <w:start w:val="1"/>
      <w:numFmt w:val="bullet"/>
      <w:lvlText w:val=""/>
      <w:lvlJc w:val="left"/>
      <w:pPr>
        <w:ind w:left="6120" w:hanging="360"/>
      </w:pPr>
      <w:rPr>
        <w:rFonts w:ascii="Wingdings" w:hAnsi="Wingdings" w:hint="default"/>
      </w:rPr>
    </w:lvl>
  </w:abstractNum>
  <w:abstractNum w:abstractNumId="12" w15:restartNumberingAfterBreak="0">
    <w:nsid w:val="787E41E8"/>
    <w:multiLevelType w:val="hybridMultilevel"/>
    <w:tmpl w:val="5BBEDE86"/>
    <w:lvl w:ilvl="0" w:tplc="CE60B560">
      <w:start w:val="1"/>
      <w:numFmt w:val="decimal"/>
      <w:lvlText w:val="%1."/>
      <w:lvlJc w:val="left"/>
      <w:pPr>
        <w:ind w:left="4680" w:hanging="360"/>
      </w:pPr>
    </w:lvl>
    <w:lvl w:ilvl="1" w:tplc="DAEAD0D4" w:tentative="1">
      <w:start w:val="1"/>
      <w:numFmt w:val="lowerLetter"/>
      <w:lvlText w:val="%2."/>
      <w:lvlJc w:val="left"/>
      <w:pPr>
        <w:ind w:left="5400" w:hanging="360"/>
      </w:pPr>
    </w:lvl>
    <w:lvl w:ilvl="2" w:tplc="EFD41AA2" w:tentative="1">
      <w:start w:val="1"/>
      <w:numFmt w:val="lowerRoman"/>
      <w:lvlText w:val="%3."/>
      <w:lvlJc w:val="right"/>
      <w:pPr>
        <w:ind w:left="6120" w:hanging="180"/>
      </w:pPr>
    </w:lvl>
    <w:lvl w:ilvl="3" w:tplc="42425E34" w:tentative="1">
      <w:start w:val="1"/>
      <w:numFmt w:val="decimal"/>
      <w:lvlText w:val="%4."/>
      <w:lvlJc w:val="left"/>
      <w:pPr>
        <w:ind w:left="6840" w:hanging="360"/>
      </w:pPr>
    </w:lvl>
    <w:lvl w:ilvl="4" w:tplc="7FC42B2A" w:tentative="1">
      <w:start w:val="1"/>
      <w:numFmt w:val="lowerLetter"/>
      <w:lvlText w:val="%5."/>
      <w:lvlJc w:val="left"/>
      <w:pPr>
        <w:ind w:left="7560" w:hanging="360"/>
      </w:pPr>
    </w:lvl>
    <w:lvl w:ilvl="5" w:tplc="5D4A3EF4" w:tentative="1">
      <w:start w:val="1"/>
      <w:numFmt w:val="lowerRoman"/>
      <w:lvlText w:val="%6."/>
      <w:lvlJc w:val="right"/>
      <w:pPr>
        <w:ind w:left="8280" w:hanging="180"/>
      </w:pPr>
    </w:lvl>
    <w:lvl w:ilvl="6" w:tplc="7EE472E6" w:tentative="1">
      <w:start w:val="1"/>
      <w:numFmt w:val="decimal"/>
      <w:lvlText w:val="%7."/>
      <w:lvlJc w:val="left"/>
      <w:pPr>
        <w:ind w:left="9000" w:hanging="360"/>
      </w:pPr>
    </w:lvl>
    <w:lvl w:ilvl="7" w:tplc="3D3ED4E0" w:tentative="1">
      <w:start w:val="1"/>
      <w:numFmt w:val="lowerLetter"/>
      <w:lvlText w:val="%8."/>
      <w:lvlJc w:val="left"/>
      <w:pPr>
        <w:ind w:left="9720" w:hanging="360"/>
      </w:pPr>
    </w:lvl>
    <w:lvl w:ilvl="8" w:tplc="35123D00" w:tentative="1">
      <w:start w:val="1"/>
      <w:numFmt w:val="lowerRoman"/>
      <w:lvlText w:val="%9."/>
      <w:lvlJc w:val="right"/>
      <w:pPr>
        <w:ind w:left="10440" w:hanging="180"/>
      </w:pPr>
    </w:lvl>
  </w:abstractNum>
  <w:abstractNum w:abstractNumId="13" w15:restartNumberingAfterBreak="0">
    <w:nsid w:val="7F537122"/>
    <w:multiLevelType w:val="hybridMultilevel"/>
    <w:tmpl w:val="0798B86E"/>
    <w:lvl w:ilvl="0" w:tplc="B56434EA">
      <w:start w:val="1"/>
      <w:numFmt w:val="bullet"/>
      <w:lvlText w:val=""/>
      <w:lvlJc w:val="left"/>
      <w:pPr>
        <w:ind w:left="720" w:hanging="360"/>
      </w:pPr>
      <w:rPr>
        <w:rFonts w:ascii="Symbol" w:hAnsi="Symbol" w:hint="default"/>
      </w:rPr>
    </w:lvl>
    <w:lvl w:ilvl="1" w:tplc="419205D4">
      <w:start w:val="1"/>
      <w:numFmt w:val="bullet"/>
      <w:lvlText w:val="o"/>
      <w:lvlJc w:val="left"/>
      <w:pPr>
        <w:ind w:left="1440" w:hanging="360"/>
      </w:pPr>
      <w:rPr>
        <w:rFonts w:ascii="Courier New" w:hAnsi="Courier New" w:cs="Courier New" w:hint="default"/>
      </w:rPr>
    </w:lvl>
    <w:lvl w:ilvl="2" w:tplc="EBD884B8">
      <w:start w:val="1"/>
      <w:numFmt w:val="bullet"/>
      <w:lvlText w:val=""/>
      <w:lvlJc w:val="left"/>
      <w:pPr>
        <w:ind w:left="2160" w:hanging="360"/>
      </w:pPr>
      <w:rPr>
        <w:rFonts w:ascii="Wingdings" w:hAnsi="Wingdings" w:hint="default"/>
      </w:rPr>
    </w:lvl>
    <w:lvl w:ilvl="3" w:tplc="F314C69E">
      <w:start w:val="1"/>
      <w:numFmt w:val="bullet"/>
      <w:lvlText w:val=""/>
      <w:lvlJc w:val="left"/>
      <w:pPr>
        <w:ind w:left="2880" w:hanging="360"/>
      </w:pPr>
      <w:rPr>
        <w:rFonts w:ascii="Symbol" w:hAnsi="Symbol" w:hint="default"/>
      </w:rPr>
    </w:lvl>
    <w:lvl w:ilvl="4" w:tplc="462EC2AA">
      <w:start w:val="1"/>
      <w:numFmt w:val="bullet"/>
      <w:lvlText w:val="o"/>
      <w:lvlJc w:val="left"/>
      <w:pPr>
        <w:ind w:left="3600" w:hanging="360"/>
      </w:pPr>
      <w:rPr>
        <w:rFonts w:ascii="Courier New" w:hAnsi="Courier New" w:cs="Courier New" w:hint="default"/>
      </w:rPr>
    </w:lvl>
    <w:lvl w:ilvl="5" w:tplc="7C0C5304">
      <w:start w:val="1"/>
      <w:numFmt w:val="bullet"/>
      <w:lvlText w:val=""/>
      <w:lvlJc w:val="left"/>
      <w:pPr>
        <w:ind w:left="4320" w:hanging="360"/>
      </w:pPr>
      <w:rPr>
        <w:rFonts w:ascii="Wingdings" w:hAnsi="Wingdings" w:hint="default"/>
      </w:rPr>
    </w:lvl>
    <w:lvl w:ilvl="6" w:tplc="37C26332">
      <w:start w:val="1"/>
      <w:numFmt w:val="bullet"/>
      <w:lvlText w:val=""/>
      <w:lvlJc w:val="left"/>
      <w:pPr>
        <w:ind w:left="5040" w:hanging="360"/>
      </w:pPr>
      <w:rPr>
        <w:rFonts w:ascii="Symbol" w:hAnsi="Symbol" w:hint="default"/>
      </w:rPr>
    </w:lvl>
    <w:lvl w:ilvl="7" w:tplc="E462479E">
      <w:start w:val="1"/>
      <w:numFmt w:val="bullet"/>
      <w:lvlText w:val="o"/>
      <w:lvlJc w:val="left"/>
      <w:pPr>
        <w:ind w:left="5760" w:hanging="360"/>
      </w:pPr>
      <w:rPr>
        <w:rFonts w:ascii="Courier New" w:hAnsi="Courier New" w:cs="Courier New" w:hint="default"/>
      </w:rPr>
    </w:lvl>
    <w:lvl w:ilvl="8" w:tplc="CE9CE47C">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5"/>
  </w:num>
  <w:num w:numId="5">
    <w:abstractNumId w:val="6"/>
  </w:num>
  <w:num w:numId="6">
    <w:abstractNumId w:val="3"/>
  </w:num>
  <w:num w:numId="7">
    <w:abstractNumId w:val="7"/>
  </w:num>
  <w:num w:numId="8">
    <w:abstractNumId w:val="2"/>
  </w:num>
  <w:num w:numId="9">
    <w:abstractNumId w:val="0"/>
  </w:num>
  <w:num w:numId="10">
    <w:abstractNumId w:val="9"/>
  </w:num>
  <w:num w:numId="11">
    <w:abstractNumId w:val="13"/>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3:46"/>
    <w:docVar w:name="InternalQPulse_CurrentUserName" w:val="Document Management Process Owner,  "/>
    <w:docVar w:name="InternalQPulse_DatabaseAlias" w:val="Default"/>
    <w:docVar w:name="InternalQPulse_DocActiveDate" w:val="07/10/2019"/>
    <w:docVar w:name="InternalQPulse_DocAuthor" w:val="ISMS Management Process Owner,  "/>
    <w:docVar w:name="InternalQPulse_DocChangeDetails" w:val="Implemented CR159"/>
    <w:docVar w:name="InternalQPulse_DocLastReviewDate" w:val="09/10/2017"/>
    <w:docVar w:name="InternalQPulse_DocLastReviewDetails" w:val="No significant process change required, only minor changes to clarify scope are needed."/>
    <w:docVar w:name="InternalQPulse_DocLastReviewOwner" w:val="ISMS Management Process Owner,  "/>
    <w:docVar w:name="InternalQPulse_DocNumber" w:val="ISMS-02-10"/>
    <w:docVar w:name="InternalQPulse_DocOwner" w:val="ISMS Management Process Owner,  "/>
    <w:docVar w:name="InternalQPulse_DocReviewDate" w:val="06/06/2020"/>
    <w:docVar w:name="InternalQPulse_DocRevisionNumber" w:val="2.8"/>
    <w:docVar w:name="InternalQPulse_DocStatus" w:val="Active"/>
    <w:docVar w:name="InternalQPulse_DocTitle" w:val="ISMS Manual"/>
    <w:docVar w:name="InternalQPulse_DocType" w:val="ISMS\Policy &amp; Guidance\ISMS Management - policy &amp; guidance"/>
    <w:docVar w:name="InternalQPulse_LanguageID" w:val="0"/>
    <w:docVar w:name="QPulse_CurrentDateTime" w:val="19/03/2020 17:53:46"/>
    <w:docVar w:name="QPulse_CurrentUserName" w:val="Document Management Process Owner,  "/>
    <w:docVar w:name="QPulse_DatabaseAlias" w:val="Default"/>
    <w:docVar w:name="QPulse_DocActiveDate" w:val="07/10/2019"/>
    <w:docVar w:name="QPulse_DocAuthor" w:val="ISMS Management Process Owner,  "/>
    <w:docVar w:name="QPulse_DocChangeDetails" w:val="Implemented CR159"/>
    <w:docVar w:name="QPulse_DocLastReviewDate" w:val="09/10/2017"/>
    <w:docVar w:name="QPulse_DocLastReviewDetails" w:val="No significant process change required, only minor changes to clarify scope are needed."/>
    <w:docVar w:name="QPulse_DocLastReviewOwner" w:val="ISMS Management Process Owner,  "/>
    <w:docVar w:name="QPulse_DocNumber" w:val="ISMS-02-10"/>
    <w:docVar w:name="QPulse_DocOwner" w:val="ISMS Management Process Owner,  "/>
    <w:docVar w:name="QPulse_DocReviewDate" w:val="06/06/2020"/>
    <w:docVar w:name="QPulse_DocRevisionNumber" w:val="2.8"/>
    <w:docVar w:name="QPulse_DocStatus" w:val="Active"/>
    <w:docVar w:name="QPulse_DocTitle" w:val="ISMS Manual"/>
    <w:docVar w:name="QPulse_DocType" w:val="ISMS\Policy &amp; Guidance\ISMS Management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329af78d-dfe2-4c17-8df6-a6eec552bbaf"/>
  </w:docVars>
  <w:rsids>
    <w:rsidRoot w:val="002518FD"/>
    <w:rsid w:val="00214328"/>
    <w:rsid w:val="002518FD"/>
    <w:rsid w:val="009B1B76"/>
    <w:rsid w:val="00B52A1E"/>
    <w:rsid w:val="00C238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294A8-EA56-824D-92C5-B4FE1F196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2678</Words>
  <Characters>14733</Characters>
  <Application>Microsoft Office Word</Application>
  <DocSecurity>0</DocSecurity>
  <Lines>460</Lines>
  <Paragraphs>316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2020-04-14T15:00:00Z</dcterms:modified>
</cp:coreProperties>
</file>