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02E4F" w14:textId="77777777" w:rsidR="00F64866" w:rsidRDefault="00CC4885" w:rsidP="00A35784">
      <w:r w:rsidRPr="009D002B">
        <w:rPr>
          <w:noProof/>
          <w:lang w:eastAsia="en-GB"/>
        </w:rPr>
        <w:drawing>
          <wp:anchor distT="0" distB="0" distL="114300" distR="114300" simplePos="0" relativeHeight="251658240" behindDoc="0" locked="0" layoutInCell="1" allowOverlap="0" wp14:anchorId="3140CEF4" wp14:editId="1E5045BA">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53FD7047" w14:textId="77777777" w:rsidR="00E41AC5" w:rsidRPr="009D002B" w:rsidRDefault="00C07D8C" w:rsidP="00A35784"/>
    <w:p w14:paraId="3CC93CFE" w14:textId="77777777" w:rsidR="00F64866" w:rsidRPr="005B6D5E" w:rsidRDefault="00CC4885" w:rsidP="005B6D5E">
      <w:pPr>
        <w:pStyle w:val="ISMSNormal"/>
        <w:jc w:val="center"/>
        <w:rPr>
          <w:b/>
        </w:rPr>
      </w:pPr>
      <w:r>
        <w:rPr>
          <w:b/>
        </w:rPr>
        <w:t>POLICY AND GUIDANCE</w:t>
      </w:r>
    </w:p>
    <w:p w14:paraId="0F35B704" w14:textId="77777777" w:rsidR="00F64866" w:rsidRPr="005B6D5E" w:rsidRDefault="00CC4885" w:rsidP="005B6D5E">
      <w:pPr>
        <w:pStyle w:val="ISMSNormal"/>
        <w:jc w:val="center"/>
        <w:rPr>
          <w:b/>
        </w:rPr>
      </w:pPr>
      <w:r w:rsidRPr="005B6D5E">
        <w:rPr>
          <w:b/>
        </w:rPr>
        <w:t>Do not Photocopy</w:t>
      </w:r>
    </w:p>
    <w:p w14:paraId="1ABAC6A8" w14:textId="77777777" w:rsidR="00F64866" w:rsidRPr="005B6D5E" w:rsidRDefault="00C07D8C" w:rsidP="005B6D5E">
      <w:pPr>
        <w:pStyle w:val="ISMSNormal"/>
        <w:jc w:val="center"/>
        <w:rPr>
          <w:b/>
        </w:rPr>
      </w:pPr>
    </w:p>
    <w:p w14:paraId="0A63E956" w14:textId="77777777" w:rsidR="000154F2" w:rsidRPr="00F06990" w:rsidRDefault="00CC4885" w:rsidP="000154F2">
      <w:pPr>
        <w:pStyle w:val="ISMSNormal"/>
        <w:jc w:val="center"/>
        <w:rPr>
          <w:b/>
        </w:rPr>
      </w:pPr>
      <w:r>
        <w:rPr>
          <w:b/>
        </w:rPr>
        <w:t xml:space="preserve">Document Information Classification: </w:t>
      </w:r>
      <w:r w:rsidRPr="00AE1A55">
        <w:rPr>
          <w:b/>
        </w:rPr>
        <w:t>Unrestricted</w:t>
      </w:r>
    </w:p>
    <w:p w14:paraId="35FB349A" w14:textId="77777777" w:rsidR="00F64866" w:rsidRPr="00A214A6" w:rsidRDefault="00C07D8C"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2"/>
        <w:gridCol w:w="5559"/>
      </w:tblGrid>
      <w:tr w:rsidR="0076580A" w14:paraId="4A1362EF" w14:textId="77777777" w:rsidTr="00727201">
        <w:trPr>
          <w:jc w:val="center"/>
        </w:trPr>
        <w:tc>
          <w:tcPr>
            <w:tcW w:w="1912" w:type="pct"/>
            <w:tcBorders>
              <w:top w:val="single" w:sz="8" w:space="0" w:color="auto"/>
            </w:tcBorders>
          </w:tcPr>
          <w:p w14:paraId="011DBFCE" w14:textId="77777777" w:rsidR="00F64866" w:rsidRPr="005B6D5E" w:rsidRDefault="00CC4885"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6D53FCBA" w14:textId="77777777" w:rsidR="00F64866" w:rsidRPr="005B6D5E" w:rsidRDefault="00CC488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Information Security Measures</w:t>
            </w:r>
            <w:r w:rsidRPr="005B6D5E">
              <w:rPr>
                <w:b/>
                <w:lang w:eastAsia="en-GB"/>
              </w:rPr>
              <w:fldChar w:fldCharType="end"/>
            </w:r>
          </w:p>
        </w:tc>
      </w:tr>
      <w:tr w:rsidR="0076580A" w14:paraId="50682B98" w14:textId="77777777" w:rsidTr="00727201">
        <w:trPr>
          <w:jc w:val="center"/>
        </w:trPr>
        <w:tc>
          <w:tcPr>
            <w:tcW w:w="1912" w:type="pct"/>
          </w:tcPr>
          <w:p w14:paraId="64C73779" w14:textId="77777777" w:rsidR="00F64866" w:rsidRPr="005B6D5E" w:rsidRDefault="00CC4885" w:rsidP="005B6D5E">
            <w:pPr>
              <w:pStyle w:val="ISMSNormal"/>
              <w:spacing w:before="120" w:after="120"/>
              <w:rPr>
                <w:b/>
                <w:lang w:eastAsia="en-GB"/>
              </w:rPr>
            </w:pPr>
            <w:r w:rsidRPr="005B6D5E">
              <w:rPr>
                <w:b/>
                <w:lang w:eastAsia="en-GB"/>
              </w:rPr>
              <w:t>Effective Date:</w:t>
            </w:r>
          </w:p>
        </w:tc>
        <w:tc>
          <w:tcPr>
            <w:tcW w:w="3088" w:type="pct"/>
          </w:tcPr>
          <w:p w14:paraId="49A81631" w14:textId="77777777" w:rsidR="00F64866" w:rsidRPr="005B6D5E" w:rsidRDefault="00CC488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09 May 2019</w:t>
            </w:r>
            <w:r w:rsidRPr="005B6D5E">
              <w:rPr>
                <w:b/>
                <w:lang w:eastAsia="en-GB"/>
              </w:rPr>
              <w:fldChar w:fldCharType="end"/>
            </w:r>
          </w:p>
        </w:tc>
      </w:tr>
      <w:tr w:rsidR="0076580A" w14:paraId="0F815EDB" w14:textId="77777777" w:rsidTr="00727201">
        <w:trPr>
          <w:jc w:val="center"/>
        </w:trPr>
        <w:tc>
          <w:tcPr>
            <w:tcW w:w="1912" w:type="pct"/>
          </w:tcPr>
          <w:p w14:paraId="475D3F3C" w14:textId="77777777" w:rsidR="00F64866" w:rsidRPr="005B6D5E" w:rsidRDefault="00CC4885" w:rsidP="005B6D5E">
            <w:pPr>
              <w:pStyle w:val="ISMSNormal"/>
              <w:spacing w:before="120" w:after="120"/>
              <w:rPr>
                <w:b/>
                <w:lang w:eastAsia="en-GB"/>
              </w:rPr>
            </w:pPr>
            <w:r w:rsidRPr="005B6D5E">
              <w:rPr>
                <w:b/>
                <w:lang w:eastAsia="en-GB"/>
              </w:rPr>
              <w:t>Reference Number:</w:t>
            </w:r>
          </w:p>
        </w:tc>
        <w:tc>
          <w:tcPr>
            <w:tcW w:w="3088" w:type="pct"/>
          </w:tcPr>
          <w:p w14:paraId="5F4FB28B" w14:textId="77777777" w:rsidR="00F64866" w:rsidRPr="005B6D5E" w:rsidRDefault="00CC488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ISMS-02-12</w:t>
            </w:r>
            <w:r w:rsidRPr="005B6D5E">
              <w:rPr>
                <w:b/>
                <w:lang w:eastAsia="en-GB"/>
              </w:rPr>
              <w:fldChar w:fldCharType="end"/>
            </w:r>
          </w:p>
        </w:tc>
      </w:tr>
      <w:tr w:rsidR="0076580A" w14:paraId="268866EC" w14:textId="77777777" w:rsidTr="00727201">
        <w:trPr>
          <w:jc w:val="center"/>
        </w:trPr>
        <w:tc>
          <w:tcPr>
            <w:tcW w:w="1912" w:type="pct"/>
          </w:tcPr>
          <w:p w14:paraId="7120C1A9" w14:textId="77777777" w:rsidR="00F64866" w:rsidRPr="005B6D5E" w:rsidRDefault="00CC4885" w:rsidP="005B6D5E">
            <w:pPr>
              <w:pStyle w:val="ISMSNormal"/>
              <w:spacing w:before="120" w:after="120"/>
              <w:rPr>
                <w:b/>
                <w:lang w:eastAsia="en-GB"/>
              </w:rPr>
            </w:pPr>
            <w:r w:rsidRPr="005B6D5E">
              <w:rPr>
                <w:b/>
                <w:lang w:eastAsia="en-GB"/>
              </w:rPr>
              <w:t>Version Number:</w:t>
            </w:r>
          </w:p>
        </w:tc>
        <w:tc>
          <w:tcPr>
            <w:tcW w:w="3088" w:type="pct"/>
          </w:tcPr>
          <w:p w14:paraId="10B262E3" w14:textId="77777777" w:rsidR="00F64866" w:rsidRPr="005B6D5E" w:rsidRDefault="00CC488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2.8</w:t>
            </w:r>
            <w:r w:rsidRPr="005B6D5E">
              <w:rPr>
                <w:b/>
                <w:lang w:eastAsia="en-GB"/>
              </w:rPr>
              <w:fldChar w:fldCharType="end"/>
            </w:r>
          </w:p>
        </w:tc>
      </w:tr>
      <w:tr w:rsidR="0076580A" w14:paraId="07F5D616" w14:textId="77777777" w:rsidTr="00727201">
        <w:trPr>
          <w:jc w:val="center"/>
        </w:trPr>
        <w:tc>
          <w:tcPr>
            <w:tcW w:w="1912" w:type="pct"/>
          </w:tcPr>
          <w:p w14:paraId="59E13803" w14:textId="77777777" w:rsidR="00F64866" w:rsidRPr="005B6D5E" w:rsidRDefault="00CC4885" w:rsidP="005B6D5E">
            <w:pPr>
              <w:pStyle w:val="ISMSNormal"/>
              <w:spacing w:before="120" w:after="120"/>
              <w:rPr>
                <w:b/>
                <w:lang w:eastAsia="en-GB"/>
              </w:rPr>
            </w:pPr>
            <w:r w:rsidRPr="005B6D5E">
              <w:rPr>
                <w:b/>
                <w:lang w:eastAsia="en-GB"/>
              </w:rPr>
              <w:t>Owner:</w:t>
            </w:r>
          </w:p>
        </w:tc>
        <w:tc>
          <w:tcPr>
            <w:tcW w:w="3088" w:type="pct"/>
          </w:tcPr>
          <w:p w14:paraId="302EA17C" w14:textId="77777777" w:rsidR="00F64866" w:rsidRPr="005B6D5E" w:rsidRDefault="00CC488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ISMS Management </w:t>
            </w:r>
            <w:r w:rsidRPr="005B6D5E">
              <w:rPr>
                <w:b/>
                <w:lang w:eastAsia="en-GB"/>
              </w:rPr>
              <w:t xml:space="preserve">Process Owner,  </w:t>
            </w:r>
            <w:r w:rsidRPr="005B6D5E">
              <w:rPr>
                <w:b/>
                <w:lang w:eastAsia="en-GB"/>
              </w:rPr>
              <w:fldChar w:fldCharType="end"/>
            </w:r>
          </w:p>
        </w:tc>
      </w:tr>
      <w:tr w:rsidR="0076580A" w14:paraId="6E9E042D" w14:textId="77777777" w:rsidTr="00727201">
        <w:trPr>
          <w:jc w:val="center"/>
        </w:trPr>
        <w:tc>
          <w:tcPr>
            <w:tcW w:w="1912" w:type="pct"/>
            <w:tcBorders>
              <w:bottom w:val="single" w:sz="8" w:space="0" w:color="auto"/>
            </w:tcBorders>
          </w:tcPr>
          <w:p w14:paraId="7D22BAC4" w14:textId="77777777" w:rsidR="00F64866" w:rsidRPr="005B6D5E" w:rsidRDefault="00CC4885"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3863FAEC" w14:textId="77777777" w:rsidR="00F64866" w:rsidRPr="005B6D5E" w:rsidRDefault="00CC488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17 Apr 2021</w:t>
            </w:r>
            <w:r w:rsidRPr="005B6D5E">
              <w:rPr>
                <w:b/>
                <w:lang w:eastAsia="en-GB"/>
              </w:rPr>
              <w:fldChar w:fldCharType="end"/>
            </w:r>
          </w:p>
        </w:tc>
      </w:tr>
    </w:tbl>
    <w:p w14:paraId="3F132763" w14:textId="77777777" w:rsidR="00F64866" w:rsidRPr="00A214A6" w:rsidRDefault="00C07D8C" w:rsidP="00A35784"/>
    <w:p w14:paraId="5CDAD050" w14:textId="77777777" w:rsidR="00F64866" w:rsidRPr="00A214A6" w:rsidRDefault="00CC4885" w:rsidP="00A35784">
      <w:r w:rsidRPr="00A214A6">
        <w:br w:type="page"/>
      </w:r>
    </w:p>
    <w:p w14:paraId="5176749D" w14:textId="77777777" w:rsidR="00A04182" w:rsidRPr="009D002B" w:rsidRDefault="00C07D8C"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486485EC" w14:textId="77777777" w:rsidR="002C7566" w:rsidRDefault="00CC4885" w:rsidP="00A35784">
          <w:pPr>
            <w:pStyle w:val="TOCHeading"/>
          </w:pPr>
          <w:r w:rsidRPr="00A35784">
            <w:t>Table of Contents</w:t>
          </w:r>
        </w:p>
        <w:p w14:paraId="5372953C" w14:textId="77777777" w:rsidR="006735AF" w:rsidRPr="006735AF" w:rsidRDefault="00C07D8C" w:rsidP="006735AF">
          <w:pPr>
            <w:rPr>
              <w:lang w:val="en-US" w:eastAsia="ja-JP"/>
            </w:rPr>
          </w:pPr>
        </w:p>
        <w:p w14:paraId="6DD40B37" w14:textId="77777777" w:rsidR="0076580A" w:rsidRDefault="00CC4885">
          <w:pPr>
            <w:pStyle w:val="TOC1"/>
            <w:tabs>
              <w:tab w:val="left" w:pos="480"/>
              <w:tab w:val="right" w:leader="dot" w:pos="9011"/>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104"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_Toc256000104 \h </w:instrText>
            </w:r>
            <w:r>
              <w:fldChar w:fldCharType="separate"/>
            </w:r>
            <w:r>
              <w:t>3</w:t>
            </w:r>
            <w:r>
              <w:fldChar w:fldCharType="end"/>
            </w:r>
          </w:hyperlink>
        </w:p>
        <w:p w14:paraId="7ABF36D0" w14:textId="77777777" w:rsidR="0076580A" w:rsidRDefault="00C07D8C">
          <w:pPr>
            <w:pStyle w:val="TOC1"/>
            <w:tabs>
              <w:tab w:val="left" w:pos="480"/>
              <w:tab w:val="right" w:leader="dot" w:pos="9011"/>
            </w:tabs>
            <w:rPr>
              <w:rFonts w:asciiTheme="minorHAnsi" w:hAnsiTheme="minorHAnsi"/>
              <w:noProof/>
            </w:rPr>
          </w:pPr>
          <w:hyperlink w:anchor="_Toc256000105" w:history="1">
            <w:r w:rsidR="00CC4885">
              <w:rPr>
                <w:rStyle w:val="Hyperlink"/>
              </w:rPr>
              <w:t>2.</w:t>
            </w:r>
            <w:r w:rsidR="00CC4885">
              <w:rPr>
                <w:rFonts w:asciiTheme="minorHAnsi" w:hAnsiTheme="minorHAnsi"/>
                <w:noProof/>
              </w:rPr>
              <w:tab/>
            </w:r>
            <w:r w:rsidR="00CC4885" w:rsidRPr="005C0B3A">
              <w:rPr>
                <w:rStyle w:val="Hyperlink"/>
              </w:rPr>
              <w:t>Scope</w:t>
            </w:r>
            <w:r w:rsidR="00CC4885">
              <w:tab/>
            </w:r>
            <w:r w:rsidR="00CC4885">
              <w:fldChar w:fldCharType="begin"/>
            </w:r>
            <w:r w:rsidR="00CC4885">
              <w:instrText xml:space="preserve"> PAGEREF _Toc256000105 \h </w:instrText>
            </w:r>
            <w:r w:rsidR="00CC4885">
              <w:fldChar w:fldCharType="separate"/>
            </w:r>
            <w:r w:rsidR="00CC4885">
              <w:t>3</w:t>
            </w:r>
            <w:r w:rsidR="00CC4885">
              <w:fldChar w:fldCharType="end"/>
            </w:r>
          </w:hyperlink>
        </w:p>
        <w:p w14:paraId="14A6B0E4" w14:textId="77777777" w:rsidR="0076580A" w:rsidRDefault="00C07D8C">
          <w:pPr>
            <w:pStyle w:val="TOC1"/>
            <w:tabs>
              <w:tab w:val="left" w:pos="480"/>
              <w:tab w:val="right" w:leader="dot" w:pos="9011"/>
            </w:tabs>
            <w:rPr>
              <w:rFonts w:asciiTheme="minorHAnsi" w:hAnsiTheme="minorHAnsi"/>
              <w:noProof/>
            </w:rPr>
          </w:pPr>
          <w:hyperlink w:anchor="_Toc256000106" w:history="1">
            <w:r w:rsidR="00CC4885">
              <w:rPr>
                <w:rStyle w:val="Hyperlink"/>
              </w:rPr>
              <w:t>3.</w:t>
            </w:r>
            <w:r w:rsidR="00CC4885">
              <w:rPr>
                <w:rFonts w:asciiTheme="minorHAnsi" w:hAnsiTheme="minorHAnsi"/>
                <w:noProof/>
              </w:rPr>
              <w:tab/>
            </w:r>
            <w:r w:rsidR="00CC4885" w:rsidRPr="00766C7E">
              <w:rPr>
                <w:rStyle w:val="Hyperlink"/>
              </w:rPr>
              <w:t>Responsibilities</w:t>
            </w:r>
            <w:r w:rsidR="00CC4885">
              <w:tab/>
            </w:r>
            <w:r w:rsidR="00CC4885">
              <w:fldChar w:fldCharType="begin"/>
            </w:r>
            <w:r w:rsidR="00CC4885">
              <w:instrText xml:space="preserve"> PAGEREF _Toc256000106 \h </w:instrText>
            </w:r>
            <w:r w:rsidR="00CC4885">
              <w:fldChar w:fldCharType="separate"/>
            </w:r>
            <w:r w:rsidR="00CC4885">
              <w:t>3</w:t>
            </w:r>
            <w:r w:rsidR="00CC4885">
              <w:fldChar w:fldCharType="end"/>
            </w:r>
          </w:hyperlink>
        </w:p>
        <w:p w14:paraId="59DCE0E3" w14:textId="77777777" w:rsidR="0076580A" w:rsidRDefault="00C07D8C">
          <w:pPr>
            <w:pStyle w:val="TOC1"/>
            <w:tabs>
              <w:tab w:val="left" w:pos="480"/>
              <w:tab w:val="right" w:leader="dot" w:pos="9011"/>
            </w:tabs>
            <w:rPr>
              <w:rFonts w:asciiTheme="minorHAnsi" w:hAnsiTheme="minorHAnsi"/>
              <w:noProof/>
            </w:rPr>
          </w:pPr>
          <w:hyperlink w:anchor="_Toc256000107" w:history="1">
            <w:r w:rsidR="00CC4885">
              <w:rPr>
                <w:rStyle w:val="Hyperlink"/>
              </w:rPr>
              <w:t>4.</w:t>
            </w:r>
            <w:r w:rsidR="00CC4885">
              <w:rPr>
                <w:rFonts w:asciiTheme="minorHAnsi" w:hAnsiTheme="minorHAnsi"/>
                <w:noProof/>
              </w:rPr>
              <w:tab/>
            </w:r>
            <w:r w:rsidR="00CC4885">
              <w:rPr>
                <w:rStyle w:val="Hyperlink"/>
              </w:rPr>
              <w:t>Policy</w:t>
            </w:r>
            <w:r w:rsidR="00CC4885">
              <w:tab/>
            </w:r>
            <w:r w:rsidR="00CC4885">
              <w:fldChar w:fldCharType="begin"/>
            </w:r>
            <w:r w:rsidR="00CC4885">
              <w:instrText xml:space="preserve"> PAGEREF _Toc256000107 \h </w:instrText>
            </w:r>
            <w:r w:rsidR="00CC4885">
              <w:fldChar w:fldCharType="separate"/>
            </w:r>
            <w:r w:rsidR="00CC4885">
              <w:t>3</w:t>
            </w:r>
            <w:r w:rsidR="00CC4885">
              <w:fldChar w:fldCharType="end"/>
            </w:r>
          </w:hyperlink>
        </w:p>
        <w:p w14:paraId="09AC37F0" w14:textId="77777777" w:rsidR="0076580A" w:rsidRDefault="00C07D8C">
          <w:pPr>
            <w:pStyle w:val="TOC2"/>
            <w:tabs>
              <w:tab w:val="left" w:pos="880"/>
              <w:tab w:val="right" w:leader="dot" w:pos="9011"/>
            </w:tabs>
            <w:rPr>
              <w:rFonts w:asciiTheme="minorHAnsi" w:hAnsiTheme="minorHAnsi"/>
              <w:noProof/>
            </w:rPr>
          </w:pPr>
          <w:hyperlink w:anchor="_Toc256000108" w:history="1">
            <w:r w:rsidR="00CC4885">
              <w:rPr>
                <w:rStyle w:val="Hyperlink"/>
              </w:rPr>
              <w:t>4.1.</w:t>
            </w:r>
            <w:r w:rsidR="00CC4885">
              <w:rPr>
                <w:rFonts w:asciiTheme="minorHAnsi" w:hAnsiTheme="minorHAnsi"/>
                <w:noProof/>
              </w:rPr>
              <w:tab/>
            </w:r>
            <w:r w:rsidR="00CC4885">
              <w:rPr>
                <w:rStyle w:val="Hyperlink"/>
              </w:rPr>
              <w:t>SMART Classification</w:t>
            </w:r>
            <w:r w:rsidR="00CC4885">
              <w:tab/>
            </w:r>
            <w:r w:rsidR="00CC4885">
              <w:fldChar w:fldCharType="begin"/>
            </w:r>
            <w:r w:rsidR="00CC4885">
              <w:instrText xml:space="preserve"> PAGEREF _Toc256000108 \h </w:instrText>
            </w:r>
            <w:r w:rsidR="00CC4885">
              <w:fldChar w:fldCharType="separate"/>
            </w:r>
            <w:r w:rsidR="00CC4885">
              <w:t>3</w:t>
            </w:r>
            <w:r w:rsidR="00CC4885">
              <w:fldChar w:fldCharType="end"/>
            </w:r>
          </w:hyperlink>
        </w:p>
        <w:p w14:paraId="2EEAB300" w14:textId="77777777" w:rsidR="0076580A" w:rsidRDefault="00C07D8C">
          <w:pPr>
            <w:pStyle w:val="TOC2"/>
            <w:tabs>
              <w:tab w:val="left" w:pos="880"/>
              <w:tab w:val="right" w:leader="dot" w:pos="9011"/>
            </w:tabs>
            <w:rPr>
              <w:rFonts w:asciiTheme="minorHAnsi" w:hAnsiTheme="minorHAnsi"/>
              <w:noProof/>
            </w:rPr>
          </w:pPr>
          <w:hyperlink w:anchor="_Toc256000109" w:history="1">
            <w:r w:rsidR="00CC4885">
              <w:rPr>
                <w:rStyle w:val="Hyperlink"/>
              </w:rPr>
              <w:t>4.2.</w:t>
            </w:r>
            <w:r w:rsidR="00CC4885">
              <w:rPr>
                <w:rFonts w:asciiTheme="minorHAnsi" w:hAnsiTheme="minorHAnsi"/>
                <w:noProof/>
              </w:rPr>
              <w:tab/>
            </w:r>
            <w:r w:rsidR="00CC4885">
              <w:rPr>
                <w:rStyle w:val="Hyperlink"/>
              </w:rPr>
              <w:t>Reporting and Review</w:t>
            </w:r>
            <w:r w:rsidR="00CC4885">
              <w:tab/>
            </w:r>
            <w:r w:rsidR="00CC4885">
              <w:fldChar w:fldCharType="begin"/>
            </w:r>
            <w:r w:rsidR="00CC4885">
              <w:instrText xml:space="preserve"> PAGEREF _Toc256000109 \h </w:instrText>
            </w:r>
            <w:r w:rsidR="00CC4885">
              <w:fldChar w:fldCharType="separate"/>
            </w:r>
            <w:r w:rsidR="00CC4885">
              <w:t>3</w:t>
            </w:r>
            <w:r w:rsidR="00CC4885">
              <w:fldChar w:fldCharType="end"/>
            </w:r>
          </w:hyperlink>
        </w:p>
        <w:p w14:paraId="7CE1E568" w14:textId="77777777" w:rsidR="0076580A" w:rsidRDefault="00C07D8C">
          <w:pPr>
            <w:pStyle w:val="TOC2"/>
            <w:tabs>
              <w:tab w:val="left" w:pos="880"/>
              <w:tab w:val="right" w:leader="dot" w:pos="9011"/>
            </w:tabs>
            <w:rPr>
              <w:rFonts w:asciiTheme="minorHAnsi" w:hAnsiTheme="minorHAnsi"/>
              <w:noProof/>
            </w:rPr>
          </w:pPr>
          <w:hyperlink w:anchor="_Toc256000110" w:history="1">
            <w:r w:rsidR="00CC4885">
              <w:rPr>
                <w:rStyle w:val="Hyperlink"/>
              </w:rPr>
              <w:t>4.3.</w:t>
            </w:r>
            <w:r w:rsidR="00CC4885">
              <w:rPr>
                <w:rFonts w:asciiTheme="minorHAnsi" w:hAnsiTheme="minorHAnsi"/>
                <w:noProof/>
              </w:rPr>
              <w:tab/>
            </w:r>
            <w:r w:rsidR="00CC4885" w:rsidRPr="00340808">
              <w:rPr>
                <w:rStyle w:val="Hyperlink"/>
              </w:rPr>
              <w:t xml:space="preserve">Resources </w:t>
            </w:r>
            <w:r w:rsidR="00CC4885">
              <w:rPr>
                <w:rStyle w:val="Hyperlink"/>
              </w:rPr>
              <w:t xml:space="preserve">needed </w:t>
            </w:r>
            <w:r w:rsidR="00CC4885" w:rsidRPr="00340808">
              <w:rPr>
                <w:rStyle w:val="Hyperlink"/>
              </w:rPr>
              <w:t>to meet objectives and contingencies</w:t>
            </w:r>
            <w:r w:rsidR="00CC4885">
              <w:tab/>
            </w:r>
            <w:r w:rsidR="00CC4885">
              <w:fldChar w:fldCharType="begin"/>
            </w:r>
            <w:r w:rsidR="00CC4885">
              <w:instrText xml:space="preserve"> PAGEREF _Toc256000110 \h </w:instrText>
            </w:r>
            <w:r w:rsidR="00CC4885">
              <w:fldChar w:fldCharType="separate"/>
            </w:r>
            <w:r w:rsidR="00CC4885">
              <w:t>5</w:t>
            </w:r>
            <w:r w:rsidR="00CC4885">
              <w:fldChar w:fldCharType="end"/>
            </w:r>
          </w:hyperlink>
        </w:p>
        <w:p w14:paraId="012AC1E5" w14:textId="77777777" w:rsidR="0076580A" w:rsidRDefault="00C07D8C">
          <w:pPr>
            <w:pStyle w:val="TOC1"/>
            <w:tabs>
              <w:tab w:val="left" w:pos="480"/>
              <w:tab w:val="right" w:leader="dot" w:pos="9011"/>
            </w:tabs>
            <w:rPr>
              <w:rFonts w:asciiTheme="minorHAnsi" w:hAnsiTheme="minorHAnsi"/>
              <w:noProof/>
            </w:rPr>
          </w:pPr>
          <w:hyperlink w:anchor="_Toc256000111" w:history="1">
            <w:r w:rsidR="00CC4885">
              <w:rPr>
                <w:rStyle w:val="Hyperlink"/>
              </w:rPr>
              <w:t>5.</w:t>
            </w:r>
            <w:r w:rsidR="00CC4885">
              <w:rPr>
                <w:rFonts w:asciiTheme="minorHAnsi" w:hAnsiTheme="minorHAnsi"/>
                <w:noProof/>
              </w:rPr>
              <w:tab/>
            </w:r>
            <w:r w:rsidR="00CC4885">
              <w:rPr>
                <w:rStyle w:val="Hyperlink"/>
              </w:rPr>
              <w:t>Cross-referenced ISMS Documents</w:t>
            </w:r>
            <w:r w:rsidR="00CC4885">
              <w:tab/>
            </w:r>
            <w:r w:rsidR="00CC4885">
              <w:fldChar w:fldCharType="begin"/>
            </w:r>
            <w:r w:rsidR="00CC4885">
              <w:instrText xml:space="preserve"> PAGEREF _Toc256000111 \h </w:instrText>
            </w:r>
            <w:r w:rsidR="00CC4885">
              <w:fldChar w:fldCharType="separate"/>
            </w:r>
            <w:r w:rsidR="00CC4885">
              <w:t>7</w:t>
            </w:r>
            <w:r w:rsidR="00CC4885">
              <w:fldChar w:fldCharType="end"/>
            </w:r>
          </w:hyperlink>
        </w:p>
        <w:p w14:paraId="605D0C16" w14:textId="77777777" w:rsidR="0076580A" w:rsidRDefault="00C07D8C">
          <w:pPr>
            <w:pStyle w:val="TOC1"/>
            <w:tabs>
              <w:tab w:val="left" w:pos="480"/>
              <w:tab w:val="right" w:leader="dot" w:pos="9011"/>
            </w:tabs>
            <w:rPr>
              <w:rFonts w:asciiTheme="minorHAnsi" w:hAnsiTheme="minorHAnsi"/>
              <w:noProof/>
            </w:rPr>
          </w:pPr>
          <w:hyperlink w:anchor="_Toc256000112" w:history="1">
            <w:r w:rsidR="00CC4885">
              <w:rPr>
                <w:rStyle w:val="Hyperlink"/>
              </w:rPr>
              <w:t>6.</w:t>
            </w:r>
            <w:r w:rsidR="00CC4885">
              <w:rPr>
                <w:rFonts w:asciiTheme="minorHAnsi" w:hAnsiTheme="minorHAnsi"/>
                <w:noProof/>
              </w:rPr>
              <w:tab/>
            </w:r>
            <w:r w:rsidR="00CC4885" w:rsidRPr="005C0B3A">
              <w:rPr>
                <w:rStyle w:val="Hyperlink"/>
              </w:rPr>
              <w:t>Appendices</w:t>
            </w:r>
            <w:r w:rsidR="00CC4885">
              <w:tab/>
            </w:r>
            <w:r w:rsidR="00CC4885">
              <w:fldChar w:fldCharType="begin"/>
            </w:r>
            <w:r w:rsidR="00CC4885">
              <w:instrText xml:space="preserve"> PAGEREF _Toc256000112 \h </w:instrText>
            </w:r>
            <w:r w:rsidR="00CC4885">
              <w:fldChar w:fldCharType="separate"/>
            </w:r>
            <w:r w:rsidR="00CC4885">
              <w:t>7</w:t>
            </w:r>
            <w:r w:rsidR="00CC4885">
              <w:fldChar w:fldCharType="end"/>
            </w:r>
          </w:hyperlink>
        </w:p>
        <w:p w14:paraId="6CA5940A" w14:textId="77777777" w:rsidR="0076580A" w:rsidRDefault="00CC4885" w:rsidP="006735AF">
          <w:pPr>
            <w:pStyle w:val="TOCHeading"/>
            <w:jc w:val="left"/>
          </w:pPr>
          <w:r>
            <w:fldChar w:fldCharType="end"/>
          </w:r>
        </w:p>
      </w:sdtContent>
    </w:sdt>
    <w:p w14:paraId="272D2617" w14:textId="77777777" w:rsidR="00DF3320" w:rsidRDefault="00CC4885" w:rsidP="00DF3320">
      <w:pPr>
        <w:pStyle w:val="ISMSHeading1"/>
      </w:pPr>
      <w:r>
        <w:br w:type="page"/>
      </w:r>
      <w:bookmarkStart w:id="0" w:name="_Toc256000104"/>
      <w:bookmarkStart w:id="1" w:name="_Toc256000095"/>
      <w:bookmarkStart w:id="2" w:name="_Toc256000006"/>
      <w:bookmarkStart w:id="3" w:name="_Toc256000083"/>
      <w:bookmarkStart w:id="4" w:name="_Toc256000074"/>
      <w:bookmarkStart w:id="5" w:name="_Toc256000066"/>
      <w:bookmarkStart w:id="6" w:name="_Toc256000058"/>
      <w:bookmarkStart w:id="7" w:name="_Toc256000050"/>
      <w:bookmarkStart w:id="8" w:name="_Toc256000042"/>
      <w:bookmarkStart w:id="9" w:name="_Toc256000034"/>
      <w:bookmarkStart w:id="10" w:name="_Toc256000026"/>
      <w:bookmarkStart w:id="11" w:name="_Toc256000000"/>
      <w:bookmarkStart w:id="12" w:name="_Toc481579862"/>
      <w:bookmarkStart w:id="13" w:name="_Toc497745638"/>
      <w:bookmarkStart w:id="14" w:name="_Toc511637469"/>
      <w:bookmarkStart w:id="15" w:name="_Toc523741923"/>
      <w:bookmarkStart w:id="16" w:name="_Toc958010"/>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0A1B0DE9" w14:textId="77777777" w:rsidR="00DF3320" w:rsidRDefault="00CC4885" w:rsidP="00DF3320">
      <w:pPr>
        <w:pStyle w:val="ISMSNormal"/>
      </w:pPr>
      <w:r>
        <w:t xml:space="preserve">Information security is achieved by implementing a suitable set of controls that need to be reviewed and improved, where necessary, to ensure that the specific security and business objectives of the organization are met. </w:t>
      </w:r>
    </w:p>
    <w:p w14:paraId="4AF1570C" w14:textId="77777777" w:rsidR="00DF3320" w:rsidRPr="00766C7E" w:rsidRDefault="00CC4885" w:rsidP="00DF3320">
      <w:pPr>
        <w:pStyle w:val="ISMSNormal"/>
      </w:pPr>
      <w:r w:rsidRPr="00766C7E">
        <w:t>This document define</w:t>
      </w:r>
      <w:r>
        <w:t>s</w:t>
      </w:r>
      <w:r w:rsidRPr="00766C7E">
        <w:t xml:space="preserve"> the </w:t>
      </w:r>
      <w:r>
        <w:t xml:space="preserve">quality and information security measures, established from the key ISMS objectives, to assess the effectiveness of the existing controls and support </w:t>
      </w:r>
      <w:r w:rsidRPr="00766C7E">
        <w:t xml:space="preserve">the </w:t>
      </w:r>
      <w:r>
        <w:t xml:space="preserve">ISMS </w:t>
      </w:r>
      <w:r w:rsidRPr="00766C7E">
        <w:t>management review process.</w:t>
      </w:r>
    </w:p>
    <w:p w14:paraId="27A53211" w14:textId="77777777" w:rsidR="00DF3320" w:rsidRPr="00766C7E" w:rsidRDefault="00C07D8C" w:rsidP="00DF3320">
      <w:pPr>
        <w:pStyle w:val="ISMSNormal"/>
      </w:pPr>
    </w:p>
    <w:p w14:paraId="077E6D54" w14:textId="77777777" w:rsidR="00DF3320" w:rsidRPr="005C0B3A" w:rsidRDefault="00CC4885" w:rsidP="00DF3320">
      <w:pPr>
        <w:pStyle w:val="ISMSHeading1"/>
        <w:rPr>
          <w:rFonts w:cs="Arial"/>
        </w:rPr>
      </w:pPr>
      <w:bookmarkStart w:id="17" w:name="_Toc256000105"/>
      <w:bookmarkStart w:id="18" w:name="_Toc256000096"/>
      <w:bookmarkStart w:id="19" w:name="_Toc256000007"/>
      <w:bookmarkStart w:id="20" w:name="_Toc256000084"/>
      <w:bookmarkStart w:id="21" w:name="_Toc256000075"/>
      <w:bookmarkStart w:id="22" w:name="_Toc256000067"/>
      <w:bookmarkStart w:id="23" w:name="_Toc256000059"/>
      <w:bookmarkStart w:id="24" w:name="_Toc256000051"/>
      <w:bookmarkStart w:id="25" w:name="_Toc256000043"/>
      <w:bookmarkStart w:id="26" w:name="_Toc256000035"/>
      <w:bookmarkStart w:id="27" w:name="_Toc256000027"/>
      <w:bookmarkStart w:id="28" w:name="_Toc256000019"/>
      <w:bookmarkStart w:id="29" w:name="_Toc256000013"/>
      <w:bookmarkStart w:id="30" w:name="_Toc256000001"/>
      <w:bookmarkStart w:id="31" w:name="_Toc481571061"/>
      <w:bookmarkStart w:id="32" w:name="_Toc490557912"/>
      <w:bookmarkStart w:id="33" w:name="_Toc497745639"/>
      <w:bookmarkStart w:id="34" w:name="_Toc511637470"/>
      <w:bookmarkStart w:id="35" w:name="_Toc523741924"/>
      <w:bookmarkStart w:id="36" w:name="_Toc958011"/>
      <w:r w:rsidRPr="005C0B3A">
        <w:t>Scope</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1834D701" w14:textId="77777777" w:rsidR="00DF3320" w:rsidRPr="00766C7E" w:rsidRDefault="00CC4885" w:rsidP="00DF3320">
      <w:pPr>
        <w:pStyle w:val="ISMSNormal"/>
      </w:pPr>
      <w:r w:rsidRPr="00766C7E">
        <w:t>Th</w:t>
      </w:r>
      <w:r>
        <w:t xml:space="preserve">is policy </w:t>
      </w:r>
      <w:r w:rsidRPr="00766C7E">
        <w:t>cover</w:t>
      </w:r>
      <w:r>
        <w:t>s</w:t>
      </w:r>
      <w:r w:rsidRPr="00766C7E">
        <w:t xml:space="preserve"> the production and communication of S.M.A.R.T Quality and Information Security </w:t>
      </w:r>
      <w:r>
        <w:t>Measures based upon the ISMS key objectives identified in the ISMS Manual – ISMS-02-10.</w:t>
      </w:r>
    </w:p>
    <w:p w14:paraId="3E2910A3" w14:textId="77777777" w:rsidR="00DF3320" w:rsidRPr="00766C7E" w:rsidRDefault="00C07D8C" w:rsidP="00DF3320">
      <w:pPr>
        <w:pStyle w:val="ISMSNormal"/>
      </w:pPr>
    </w:p>
    <w:p w14:paraId="48701DCC" w14:textId="77777777" w:rsidR="00DF3320" w:rsidRPr="00766C7E" w:rsidRDefault="00CC4885" w:rsidP="00DF3320">
      <w:pPr>
        <w:pStyle w:val="ISMSHeading1"/>
      </w:pPr>
      <w:bookmarkStart w:id="37" w:name="_Toc256000106"/>
      <w:bookmarkStart w:id="38" w:name="_Toc256000097"/>
      <w:bookmarkStart w:id="39" w:name="_Toc256000008"/>
      <w:bookmarkStart w:id="40" w:name="_Toc256000085"/>
      <w:bookmarkStart w:id="41" w:name="_Toc256000076"/>
      <w:bookmarkStart w:id="42" w:name="_Toc256000068"/>
      <w:bookmarkStart w:id="43" w:name="_Toc256000060"/>
      <w:bookmarkStart w:id="44" w:name="_Toc256000052"/>
      <w:bookmarkStart w:id="45" w:name="_Toc256000044"/>
      <w:bookmarkStart w:id="46" w:name="_Toc256000036"/>
      <w:bookmarkStart w:id="47" w:name="_Toc256000028"/>
      <w:bookmarkStart w:id="48" w:name="_Toc256000012"/>
      <w:bookmarkStart w:id="49" w:name="_Toc256000020"/>
      <w:bookmarkStart w:id="50" w:name="_Toc256000014"/>
      <w:bookmarkStart w:id="51" w:name="_Toc256000002"/>
      <w:bookmarkStart w:id="52" w:name="_Toc481571062"/>
      <w:bookmarkStart w:id="53" w:name="_Toc490557913"/>
      <w:bookmarkStart w:id="54" w:name="_Toc497745640"/>
      <w:bookmarkStart w:id="55" w:name="_Toc511637471"/>
      <w:bookmarkStart w:id="56" w:name="_Toc523741925"/>
      <w:bookmarkStart w:id="57" w:name="_Toc958012"/>
      <w:r w:rsidRPr="00766C7E">
        <w:t>Responsibilities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1033FA1F" w14:textId="77777777" w:rsidR="00DF3320" w:rsidRPr="005C0B3A" w:rsidRDefault="00CC4885" w:rsidP="00DF3320">
      <w:pPr>
        <w:pStyle w:val="ISMSNormal"/>
        <w:rPr>
          <w:b/>
          <w:bCs/>
        </w:rPr>
      </w:pPr>
      <w:r>
        <w:t xml:space="preserve">The </w:t>
      </w:r>
      <w:r w:rsidRPr="005C0B3A">
        <w:t>Information Security Steering Group (ISSG)</w:t>
      </w:r>
      <w:r>
        <w:t xml:space="preserve"> is responsible for:</w:t>
      </w:r>
    </w:p>
    <w:p w14:paraId="350F3707" w14:textId="77777777" w:rsidR="00DF3320" w:rsidRPr="00744150" w:rsidRDefault="00CC4885" w:rsidP="00DF3320">
      <w:pPr>
        <w:pStyle w:val="ListParagraph"/>
        <w:rPr>
          <w:b/>
          <w:bCs/>
        </w:rPr>
      </w:pPr>
      <w:r w:rsidRPr="00744150">
        <w:t>Establish</w:t>
      </w:r>
      <w:r>
        <w:t>ing</w:t>
      </w:r>
      <w:r w:rsidRPr="00744150">
        <w:t xml:space="preserve"> the </w:t>
      </w:r>
      <w:r>
        <w:t xml:space="preserve">measures </w:t>
      </w:r>
    </w:p>
    <w:p w14:paraId="23BED120" w14:textId="77777777" w:rsidR="00DF3320" w:rsidRPr="00744150" w:rsidRDefault="00CC4885" w:rsidP="00DF3320">
      <w:pPr>
        <w:pStyle w:val="ListParagraph"/>
        <w:rPr>
          <w:b/>
          <w:bCs/>
        </w:rPr>
      </w:pPr>
      <w:r>
        <w:t>Reviewing the suitability of the measures in assessing the effectiveness of existing controls</w:t>
      </w:r>
    </w:p>
    <w:p w14:paraId="6A697A56" w14:textId="77777777" w:rsidR="00DF3320" w:rsidRPr="005A3FBF" w:rsidRDefault="00C07D8C" w:rsidP="00DF3320">
      <w:pPr>
        <w:pStyle w:val="ISMSNormal"/>
        <w:rPr>
          <w:b/>
        </w:rPr>
      </w:pPr>
    </w:p>
    <w:p w14:paraId="6B871A8B" w14:textId="77777777" w:rsidR="00DF3320" w:rsidRPr="005C0B3A" w:rsidRDefault="00CC4885" w:rsidP="00DF3320">
      <w:pPr>
        <w:pStyle w:val="ISMSNormal"/>
        <w:rPr>
          <w:b/>
        </w:rPr>
      </w:pPr>
      <w:r>
        <w:t xml:space="preserve">The </w:t>
      </w:r>
      <w:r w:rsidRPr="005C0B3A">
        <w:t>Information Security Manager (ISM)</w:t>
      </w:r>
      <w:r>
        <w:t xml:space="preserve"> is responsible for:</w:t>
      </w:r>
    </w:p>
    <w:p w14:paraId="39123684" w14:textId="77777777" w:rsidR="00DF3320" w:rsidRPr="00744150" w:rsidRDefault="00CC4885" w:rsidP="00DF3320">
      <w:pPr>
        <w:pStyle w:val="ListParagraph"/>
        <w:rPr>
          <w:b/>
          <w:bCs/>
        </w:rPr>
      </w:pPr>
      <w:r w:rsidRPr="00744150">
        <w:t xml:space="preserve">Distribution and communication of the </w:t>
      </w:r>
      <w:r>
        <w:t>measures</w:t>
      </w:r>
    </w:p>
    <w:p w14:paraId="0AC22EB6" w14:textId="77777777" w:rsidR="00DF3320" w:rsidRPr="00744150" w:rsidRDefault="00CC4885" w:rsidP="00DF3320">
      <w:pPr>
        <w:pStyle w:val="ListParagraph"/>
        <w:rPr>
          <w:b/>
          <w:bCs/>
        </w:rPr>
      </w:pPr>
      <w:r w:rsidRPr="00744150">
        <w:t>Management and collection of data for presentation to the ISSG</w:t>
      </w:r>
    </w:p>
    <w:p w14:paraId="5686BDE7" w14:textId="77777777" w:rsidR="00DF3320" w:rsidRPr="00766C7E" w:rsidRDefault="00C07D8C" w:rsidP="00DF3320">
      <w:pPr>
        <w:pStyle w:val="ListParagraph"/>
        <w:numPr>
          <w:ilvl w:val="0"/>
          <w:numId w:val="0"/>
        </w:numPr>
        <w:spacing w:after="120"/>
        <w:ind w:left="720"/>
      </w:pPr>
    </w:p>
    <w:p w14:paraId="0A303331" w14:textId="77777777" w:rsidR="00DF3320" w:rsidRPr="00870129" w:rsidRDefault="00CC4885" w:rsidP="00DF3320">
      <w:pPr>
        <w:pStyle w:val="ISMSHeading1"/>
      </w:pPr>
      <w:bookmarkStart w:id="58" w:name="_Toc256000107"/>
      <w:bookmarkStart w:id="59" w:name="_Toc256000098"/>
      <w:bookmarkStart w:id="60" w:name="_Toc256000009"/>
      <w:bookmarkStart w:id="61" w:name="_Toc256000086"/>
      <w:bookmarkStart w:id="62" w:name="_Toc256000077"/>
      <w:bookmarkStart w:id="63" w:name="_Toc256000069"/>
      <w:bookmarkStart w:id="64" w:name="_Toc256000061"/>
      <w:bookmarkStart w:id="65" w:name="_Toc256000053"/>
      <w:bookmarkStart w:id="66" w:name="_Toc256000045"/>
      <w:bookmarkStart w:id="67" w:name="_Toc256000037"/>
      <w:bookmarkStart w:id="68" w:name="_Toc256000029"/>
      <w:bookmarkStart w:id="69" w:name="_Toc256000018"/>
      <w:bookmarkStart w:id="70" w:name="_Toc256000021"/>
      <w:bookmarkStart w:id="71" w:name="_Toc256000015"/>
      <w:bookmarkStart w:id="72" w:name="_Toc256000003"/>
      <w:bookmarkStart w:id="73" w:name="_Toc481571063"/>
      <w:bookmarkStart w:id="74" w:name="_Toc490557914"/>
      <w:bookmarkStart w:id="75" w:name="_Toc497745641"/>
      <w:bookmarkStart w:id="76" w:name="_Toc511637472"/>
      <w:bookmarkStart w:id="77" w:name="_Toc523741926"/>
      <w:bookmarkStart w:id="78" w:name="_Toc958013"/>
      <w:r>
        <w:t>Policy</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628A455" w14:textId="77777777" w:rsidR="00DF3320" w:rsidRPr="00870129" w:rsidRDefault="00CC4885" w:rsidP="00DF3320">
      <w:pPr>
        <w:pStyle w:val="ISMSHeading2"/>
      </w:pPr>
      <w:bookmarkStart w:id="79" w:name="_Toc256000108"/>
      <w:bookmarkStart w:id="80" w:name="_Toc256000099"/>
      <w:bookmarkStart w:id="81" w:name="_Toc256000010"/>
      <w:bookmarkStart w:id="82" w:name="_Toc256000087"/>
      <w:bookmarkStart w:id="83" w:name="_Toc256000078"/>
      <w:bookmarkStart w:id="84" w:name="_Toc256000070"/>
      <w:bookmarkStart w:id="85" w:name="_Toc256000062"/>
      <w:bookmarkStart w:id="86" w:name="_Toc256000054"/>
      <w:bookmarkStart w:id="87" w:name="_Toc256000046"/>
      <w:bookmarkStart w:id="88" w:name="_Toc256000038"/>
      <w:bookmarkStart w:id="89" w:name="_Toc256000030"/>
      <w:bookmarkStart w:id="90" w:name="_Toc511637473"/>
      <w:bookmarkStart w:id="91" w:name="_Toc523741927"/>
      <w:bookmarkStart w:id="92" w:name="_Toc958014"/>
      <w:r>
        <w:t>SMART Classification</w:t>
      </w:r>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1035404D" w14:textId="77777777" w:rsidR="00DF3320" w:rsidRPr="00766C7E" w:rsidRDefault="00CC4885" w:rsidP="00DF3320">
      <w:pPr>
        <w:pStyle w:val="ISMSNormal"/>
      </w:pPr>
      <w:r w:rsidRPr="00766C7E">
        <w:t xml:space="preserve">Each </w:t>
      </w:r>
      <w:r>
        <w:t>measure</w:t>
      </w:r>
      <w:r w:rsidRPr="00766C7E">
        <w:t>, whether for Quality (Q) or Information Security (IS), will follow the S.M.A.R.T classification system:</w:t>
      </w:r>
    </w:p>
    <w:p w14:paraId="65F08158" w14:textId="77777777" w:rsidR="00DF3320" w:rsidRPr="00766C7E" w:rsidRDefault="00CC4885" w:rsidP="00DF3320">
      <w:pPr>
        <w:pStyle w:val="ListParagraph"/>
        <w:numPr>
          <w:ilvl w:val="0"/>
          <w:numId w:val="8"/>
        </w:numPr>
      </w:pPr>
      <w:r w:rsidRPr="00766C7E">
        <w:t>S – Specific</w:t>
      </w:r>
    </w:p>
    <w:p w14:paraId="569EEFB9" w14:textId="77777777" w:rsidR="00DF3320" w:rsidRPr="00766C7E" w:rsidRDefault="00CC4885" w:rsidP="00DF3320">
      <w:pPr>
        <w:pStyle w:val="ListParagraph"/>
        <w:numPr>
          <w:ilvl w:val="0"/>
          <w:numId w:val="8"/>
        </w:numPr>
      </w:pPr>
      <w:r w:rsidRPr="00766C7E">
        <w:t>M – Measurable</w:t>
      </w:r>
    </w:p>
    <w:p w14:paraId="2A5F757C" w14:textId="77777777" w:rsidR="00DF3320" w:rsidRPr="00766C7E" w:rsidRDefault="00CC4885" w:rsidP="00DF3320">
      <w:pPr>
        <w:pStyle w:val="ListParagraph"/>
        <w:numPr>
          <w:ilvl w:val="0"/>
          <w:numId w:val="8"/>
        </w:numPr>
      </w:pPr>
      <w:r w:rsidRPr="00766C7E">
        <w:t>A – Assignable</w:t>
      </w:r>
    </w:p>
    <w:p w14:paraId="2B2AD164" w14:textId="77777777" w:rsidR="00DF3320" w:rsidRPr="00766C7E" w:rsidRDefault="00CC4885" w:rsidP="00DF3320">
      <w:pPr>
        <w:pStyle w:val="ListParagraph"/>
        <w:numPr>
          <w:ilvl w:val="0"/>
          <w:numId w:val="8"/>
        </w:numPr>
      </w:pPr>
      <w:r w:rsidRPr="00766C7E">
        <w:t>R – Realistic</w:t>
      </w:r>
    </w:p>
    <w:p w14:paraId="24AFBDC6" w14:textId="77777777" w:rsidR="00DF3320" w:rsidRPr="00766C7E" w:rsidRDefault="00CC4885" w:rsidP="00DF3320">
      <w:pPr>
        <w:pStyle w:val="ListParagraph"/>
        <w:numPr>
          <w:ilvl w:val="0"/>
          <w:numId w:val="8"/>
        </w:numPr>
      </w:pPr>
      <w:r w:rsidRPr="00766C7E">
        <w:t>T – Time-Based</w:t>
      </w:r>
    </w:p>
    <w:p w14:paraId="0510239C" w14:textId="77777777" w:rsidR="00DF3320" w:rsidRDefault="00C07D8C" w:rsidP="00DF3320">
      <w:pPr>
        <w:pStyle w:val="ISMSNormal"/>
        <w:rPr>
          <w:b/>
        </w:rPr>
      </w:pPr>
    </w:p>
    <w:p w14:paraId="5732C082" w14:textId="77777777" w:rsidR="00DF3320" w:rsidRDefault="00CC4885" w:rsidP="00DF3320">
      <w:pPr>
        <w:pStyle w:val="ISMSHeading2"/>
      </w:pPr>
      <w:bookmarkStart w:id="93" w:name="_Toc256000109"/>
      <w:bookmarkStart w:id="94" w:name="_Toc256000100"/>
      <w:bookmarkStart w:id="95" w:name="_Toc256000011"/>
      <w:bookmarkStart w:id="96" w:name="_Toc256000088"/>
      <w:bookmarkStart w:id="97" w:name="_Toc256000079"/>
      <w:bookmarkStart w:id="98" w:name="_Toc256000071"/>
      <w:bookmarkStart w:id="99" w:name="_Toc256000063"/>
      <w:bookmarkStart w:id="100" w:name="_Toc256000055"/>
      <w:bookmarkStart w:id="101" w:name="_Toc256000047"/>
      <w:bookmarkStart w:id="102" w:name="_Toc256000039"/>
      <w:bookmarkStart w:id="103" w:name="_Toc256000031"/>
      <w:bookmarkStart w:id="104" w:name="_Toc511637474"/>
      <w:bookmarkStart w:id="105" w:name="_Toc523741928"/>
      <w:bookmarkStart w:id="106" w:name="_Toc958015"/>
      <w:r>
        <w:t>Reporting and Review</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511014D7" w14:textId="77777777" w:rsidR="00DF3320" w:rsidRDefault="00CC4885" w:rsidP="00DF3320">
      <w:pPr>
        <w:pStyle w:val="ISMSNormal"/>
        <w:rPr>
          <w:lang w:val="en-GB"/>
        </w:rPr>
      </w:pPr>
      <w:r>
        <w:rPr>
          <w:lang w:val="en-GB"/>
        </w:rPr>
        <w:t>Measures will be calculated on a bi-monthly basis and reported to the ISSG at the management review meetings.</w:t>
      </w:r>
    </w:p>
    <w:p w14:paraId="70FC5F3C" w14:textId="77777777" w:rsidR="00DF3320" w:rsidRDefault="00C07D8C" w:rsidP="00DF3320">
      <w:pPr>
        <w:pStyle w:val="ISMSNormal"/>
        <w:rPr>
          <w:lang w:val="en-GB"/>
        </w:rPr>
      </w:pPr>
    </w:p>
    <w:p w14:paraId="1CDE668D" w14:textId="77777777" w:rsidR="00DF3320" w:rsidRDefault="00CC4885" w:rsidP="00DF3320">
      <w:r>
        <w:t>T</w:t>
      </w:r>
      <w:r w:rsidRPr="00A71F8B">
        <w:t>o ensure the security and business objectives can continue to be met</w:t>
      </w:r>
      <w:r>
        <w:t xml:space="preserve"> the management review meetings will determine any necessary updates to the measures.</w:t>
      </w:r>
    </w:p>
    <w:p w14:paraId="1B10FC7A" w14:textId="77777777" w:rsidR="00DF3320" w:rsidRDefault="00C07D8C" w:rsidP="00DF3320"/>
    <w:p w14:paraId="75B29235" w14:textId="77777777" w:rsidR="00DF3320" w:rsidRDefault="00CC4885" w:rsidP="00DF3320">
      <w:r>
        <w:t>An annual full review of the measures by the ISSG will also be completed.</w:t>
      </w:r>
    </w:p>
    <w:p w14:paraId="5E9FFCCE" w14:textId="77777777" w:rsidR="00DF3320" w:rsidRPr="00870129" w:rsidRDefault="00C07D8C" w:rsidP="00DF3320">
      <w:pPr>
        <w:pStyle w:val="ISMSNormal"/>
        <w:rPr>
          <w:lang w:val="en-GB"/>
        </w:rPr>
      </w:pPr>
    </w:p>
    <w:p w14:paraId="3AB246EC" w14:textId="77777777" w:rsidR="00DF3320" w:rsidRDefault="00C07D8C" w:rsidP="00DF3320">
      <w:pPr>
        <w:pStyle w:val="ISMSNormal"/>
        <w:sectPr w:rsidR="00DF3320" w:rsidSect="00767408">
          <w:headerReference w:type="even" r:id="rId10"/>
          <w:headerReference w:type="default" r:id="rId11"/>
          <w:footerReference w:type="even" r:id="rId12"/>
          <w:footerReference w:type="default" r:id="rId13"/>
          <w:headerReference w:type="first" r:id="rId14"/>
          <w:footerReference w:type="first" r:id="rId15"/>
          <w:pgSz w:w="11901" w:h="16817"/>
          <w:pgMar w:top="1440" w:right="1440" w:bottom="1440" w:left="1440" w:header="709" w:footer="709" w:gutter="0"/>
          <w:cols w:space="708"/>
          <w:titlePg/>
          <w:docGrid w:linePitch="360"/>
        </w:sectPr>
      </w:pPr>
    </w:p>
    <w:p w14:paraId="6457AEA3" w14:textId="77777777" w:rsidR="00DF3320" w:rsidRDefault="00C07D8C" w:rsidP="00DF3320"/>
    <w:tbl>
      <w:tblPr>
        <w:tblW w:w="5000" w:type="pct"/>
        <w:tblCellMar>
          <w:left w:w="0" w:type="dxa"/>
          <w:right w:w="0" w:type="dxa"/>
        </w:tblCellMar>
        <w:tblLook w:val="04A0" w:firstRow="1" w:lastRow="0" w:firstColumn="1" w:lastColumn="0" w:noHBand="0" w:noVBand="1"/>
      </w:tblPr>
      <w:tblGrid>
        <w:gridCol w:w="526"/>
        <w:gridCol w:w="2648"/>
        <w:gridCol w:w="8086"/>
        <w:gridCol w:w="2662"/>
      </w:tblGrid>
      <w:tr w:rsidR="0076580A" w14:paraId="3557D1C6" w14:textId="77777777" w:rsidTr="00203D50">
        <w:trPr>
          <w:trHeight w:val="300"/>
        </w:trPr>
        <w:tc>
          <w:tcPr>
            <w:tcW w:w="189"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12D39A6E" w14:textId="77777777" w:rsidR="00DF3320" w:rsidRPr="00870129" w:rsidRDefault="00CC4885" w:rsidP="00203D50">
            <w:pPr>
              <w:rPr>
                <w:b/>
              </w:rPr>
            </w:pPr>
            <w:r w:rsidRPr="00870129">
              <w:rPr>
                <w:b/>
                <w:color w:val="000000"/>
                <w:lang w:eastAsia="en-GB"/>
              </w:rPr>
              <w:t>No</w:t>
            </w:r>
          </w:p>
        </w:tc>
        <w:tc>
          <w:tcPr>
            <w:tcW w:w="951" w:type="pct"/>
            <w:tcBorders>
              <w:top w:val="single" w:sz="8" w:space="0" w:color="auto"/>
              <w:left w:val="nil"/>
              <w:bottom w:val="single" w:sz="8"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5AD82110" w14:textId="77777777" w:rsidR="00DF3320" w:rsidRPr="00870129" w:rsidRDefault="00CC4885" w:rsidP="00203D50">
            <w:pPr>
              <w:rPr>
                <w:b/>
              </w:rPr>
            </w:pPr>
            <w:r w:rsidRPr="00870129">
              <w:rPr>
                <w:b/>
                <w:color w:val="000000"/>
                <w:lang w:eastAsia="en-GB"/>
              </w:rPr>
              <w:t>Key Objective</w:t>
            </w:r>
          </w:p>
        </w:tc>
        <w:tc>
          <w:tcPr>
            <w:tcW w:w="290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30793802" w14:textId="77777777" w:rsidR="00DF3320" w:rsidRPr="00870129" w:rsidRDefault="00CC4885" w:rsidP="00203D50">
            <w:pPr>
              <w:rPr>
                <w:b/>
              </w:rPr>
            </w:pPr>
            <w:r w:rsidRPr="00870129">
              <w:rPr>
                <w:b/>
                <w:color w:val="000000"/>
                <w:lang w:eastAsia="en-GB"/>
              </w:rPr>
              <w:t>Measure</w:t>
            </w:r>
          </w:p>
        </w:tc>
        <w:tc>
          <w:tcPr>
            <w:tcW w:w="95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08" w:type="dxa"/>
              <w:right w:w="108" w:type="dxa"/>
            </w:tcMar>
            <w:vAlign w:val="center"/>
          </w:tcPr>
          <w:p w14:paraId="35666C5C" w14:textId="77777777" w:rsidR="00DF3320" w:rsidRPr="00870129" w:rsidRDefault="00CC4885" w:rsidP="00203D50">
            <w:pPr>
              <w:jc w:val="center"/>
              <w:rPr>
                <w:b/>
                <w:color w:val="000000"/>
                <w:lang w:eastAsia="en-GB"/>
              </w:rPr>
            </w:pPr>
            <w:r w:rsidRPr="00870129">
              <w:rPr>
                <w:b/>
                <w:color w:val="000000"/>
                <w:lang w:eastAsia="en-GB"/>
              </w:rPr>
              <w:t>Assigned To</w:t>
            </w:r>
          </w:p>
        </w:tc>
      </w:tr>
      <w:tr w:rsidR="0076580A" w14:paraId="224DCEE0" w14:textId="77777777" w:rsidTr="00203D50">
        <w:trPr>
          <w:trHeight w:val="300"/>
        </w:trPr>
        <w:tc>
          <w:tcPr>
            <w:tcW w:w="189" w:type="pct"/>
            <w:vMerge w:val="restart"/>
            <w:tcBorders>
              <w:top w:val="nil"/>
              <w:left w:val="single" w:sz="8" w:space="0" w:color="auto"/>
              <w:right w:val="single" w:sz="8" w:space="0" w:color="auto"/>
            </w:tcBorders>
            <w:tcMar>
              <w:top w:w="0" w:type="dxa"/>
              <w:left w:w="108" w:type="dxa"/>
              <w:bottom w:w="0" w:type="dxa"/>
              <w:right w:w="108" w:type="dxa"/>
            </w:tcMar>
            <w:vAlign w:val="center"/>
            <w:hideMark/>
          </w:tcPr>
          <w:p w14:paraId="0517764B" w14:textId="77777777" w:rsidR="00DF3320" w:rsidRPr="00164752" w:rsidRDefault="00CC4885" w:rsidP="00203D50">
            <w:pPr>
              <w:jc w:val="center"/>
            </w:pPr>
            <w:r w:rsidRPr="00164752">
              <w:rPr>
                <w:color w:val="000000"/>
                <w:lang w:eastAsia="en-GB"/>
              </w:rPr>
              <w:t>1</w:t>
            </w:r>
          </w:p>
        </w:tc>
        <w:tc>
          <w:tcPr>
            <w:tcW w:w="951" w:type="pct"/>
            <w:vMerge w:val="restart"/>
            <w:tcBorders>
              <w:top w:val="nil"/>
              <w:left w:val="nil"/>
              <w:right w:val="single" w:sz="4" w:space="0" w:color="auto"/>
            </w:tcBorders>
            <w:tcMar>
              <w:top w:w="0" w:type="dxa"/>
              <w:left w:w="108" w:type="dxa"/>
              <w:bottom w:w="0" w:type="dxa"/>
              <w:right w:w="108" w:type="dxa"/>
            </w:tcMar>
            <w:vAlign w:val="center"/>
            <w:hideMark/>
          </w:tcPr>
          <w:p w14:paraId="7021DB28" w14:textId="77777777" w:rsidR="00DF3320" w:rsidRPr="00D034BC" w:rsidRDefault="00CC4885" w:rsidP="00203D50">
            <w:pPr>
              <w:rPr>
                <w:color w:val="000000"/>
                <w:lang w:eastAsia="en-GB"/>
              </w:rPr>
            </w:pPr>
            <w:r w:rsidRPr="00D034BC">
              <w:rPr>
                <w:color w:val="000000"/>
                <w:lang w:eastAsia="en-GB"/>
              </w:rPr>
              <w:t>Ensure staff are adequately trained to comply with applicable laws and regulations</w:t>
            </w:r>
          </w:p>
        </w:tc>
        <w:tc>
          <w:tcPr>
            <w:tcW w:w="29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E18B69" w14:textId="77777777" w:rsidR="00DF3320" w:rsidRPr="00164752" w:rsidRDefault="00CC4885" w:rsidP="00203D50">
            <w:pPr>
              <w:spacing w:line="276" w:lineRule="auto"/>
            </w:pPr>
            <w:r w:rsidRPr="00164752">
              <w:rPr>
                <w:color w:val="000000"/>
                <w:lang w:eastAsia="en-GB"/>
              </w:rPr>
              <w:t>All new staff complete their CHI induction within 1 month of start date.</w:t>
            </w:r>
          </w:p>
        </w:tc>
        <w:tc>
          <w:tcPr>
            <w:tcW w:w="95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0AE1AFB" w14:textId="77777777" w:rsidR="00DF3320" w:rsidRPr="00164752" w:rsidRDefault="00CC4885" w:rsidP="00203D50">
            <w:pPr>
              <w:spacing w:line="276" w:lineRule="auto"/>
              <w:jc w:val="center"/>
              <w:rPr>
                <w:color w:val="000000"/>
                <w:lang w:eastAsia="en-GB"/>
              </w:rPr>
            </w:pPr>
            <w:r>
              <w:rPr>
                <w:color w:val="000000"/>
                <w:lang w:eastAsia="en-GB"/>
              </w:rPr>
              <w:t>Staff Induction and Exit Process Owner</w:t>
            </w:r>
          </w:p>
        </w:tc>
      </w:tr>
      <w:tr w:rsidR="0076580A" w14:paraId="0B4AC116" w14:textId="77777777" w:rsidTr="00203D50">
        <w:trPr>
          <w:trHeight w:val="300"/>
        </w:trPr>
        <w:tc>
          <w:tcPr>
            <w:tcW w:w="189" w:type="pct"/>
            <w:vMerge/>
            <w:tcBorders>
              <w:left w:val="single" w:sz="8" w:space="0" w:color="auto"/>
              <w:right w:val="single" w:sz="8" w:space="0" w:color="auto"/>
            </w:tcBorders>
            <w:tcMar>
              <w:left w:w="108" w:type="dxa"/>
              <w:right w:w="108" w:type="dxa"/>
            </w:tcMar>
            <w:vAlign w:val="center"/>
            <w:hideMark/>
          </w:tcPr>
          <w:p w14:paraId="1E0629FD" w14:textId="77777777" w:rsidR="00DF3320" w:rsidRPr="00164752" w:rsidRDefault="00C07D8C" w:rsidP="00203D50">
            <w:pPr>
              <w:jc w:val="center"/>
            </w:pPr>
          </w:p>
        </w:tc>
        <w:tc>
          <w:tcPr>
            <w:tcW w:w="951" w:type="pct"/>
            <w:vMerge/>
            <w:tcBorders>
              <w:left w:val="nil"/>
              <w:right w:val="single" w:sz="4" w:space="0" w:color="auto"/>
            </w:tcBorders>
            <w:tcMar>
              <w:left w:w="108" w:type="dxa"/>
              <w:right w:w="108" w:type="dxa"/>
            </w:tcMar>
            <w:vAlign w:val="center"/>
            <w:hideMark/>
          </w:tcPr>
          <w:p w14:paraId="6D8594BE" w14:textId="77777777" w:rsidR="00DF3320" w:rsidRPr="00164752" w:rsidRDefault="00C07D8C" w:rsidP="00203D50"/>
        </w:tc>
        <w:tc>
          <w:tcPr>
            <w:tcW w:w="29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8A821F4" w14:textId="77777777" w:rsidR="00DF3320" w:rsidRPr="00164752" w:rsidRDefault="00CC4885" w:rsidP="00203D50">
            <w:pPr>
              <w:spacing w:line="276" w:lineRule="auto"/>
            </w:pPr>
            <w:r w:rsidRPr="00164752">
              <w:rPr>
                <w:color w:val="000000"/>
                <w:lang w:eastAsia="en-GB"/>
              </w:rPr>
              <w:t>&gt;9</w:t>
            </w:r>
            <w:r>
              <w:rPr>
                <w:color w:val="000000"/>
                <w:lang w:eastAsia="en-GB"/>
              </w:rPr>
              <w:t>0</w:t>
            </w:r>
            <w:r w:rsidRPr="00164752">
              <w:rPr>
                <w:color w:val="000000"/>
                <w:lang w:eastAsia="en-GB"/>
              </w:rPr>
              <w:t>% of staff read and acknowledge ISMS documents within 1 month of notification.</w:t>
            </w:r>
          </w:p>
        </w:tc>
        <w:tc>
          <w:tcPr>
            <w:tcW w:w="95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52B5AE5" w14:textId="77777777" w:rsidR="00DF3320" w:rsidRPr="00164752" w:rsidRDefault="00CC4885" w:rsidP="00203D50">
            <w:pPr>
              <w:spacing w:line="276" w:lineRule="auto"/>
              <w:jc w:val="center"/>
              <w:rPr>
                <w:color w:val="000000"/>
                <w:lang w:eastAsia="en-GB"/>
              </w:rPr>
            </w:pPr>
            <w:r w:rsidRPr="00164752">
              <w:rPr>
                <w:color w:val="000000"/>
                <w:lang w:eastAsia="en-GB"/>
              </w:rPr>
              <w:t>ISM</w:t>
            </w:r>
          </w:p>
        </w:tc>
      </w:tr>
      <w:tr w:rsidR="0076580A" w14:paraId="126CF950" w14:textId="77777777" w:rsidTr="00203D50">
        <w:trPr>
          <w:trHeight w:val="648"/>
        </w:trPr>
        <w:tc>
          <w:tcPr>
            <w:tcW w:w="189" w:type="pct"/>
            <w:vMerge/>
            <w:tcBorders>
              <w:left w:val="single" w:sz="8" w:space="0" w:color="auto"/>
              <w:bottom w:val="single" w:sz="4" w:space="0" w:color="auto"/>
              <w:right w:val="single" w:sz="8" w:space="0" w:color="auto"/>
            </w:tcBorders>
            <w:tcMar>
              <w:top w:w="0" w:type="dxa"/>
              <w:left w:w="108" w:type="dxa"/>
              <w:bottom w:w="0" w:type="dxa"/>
              <w:right w:w="108" w:type="dxa"/>
            </w:tcMar>
            <w:vAlign w:val="center"/>
          </w:tcPr>
          <w:p w14:paraId="4DDE1DD1" w14:textId="77777777" w:rsidR="00DF3320" w:rsidRPr="00164752" w:rsidRDefault="00C07D8C" w:rsidP="00203D50">
            <w:pPr>
              <w:jc w:val="center"/>
              <w:rPr>
                <w:color w:val="000000"/>
                <w:lang w:eastAsia="en-GB"/>
              </w:rPr>
            </w:pPr>
          </w:p>
        </w:tc>
        <w:tc>
          <w:tcPr>
            <w:tcW w:w="951" w:type="pct"/>
            <w:vMerge/>
            <w:tcBorders>
              <w:left w:val="nil"/>
              <w:bottom w:val="single" w:sz="4" w:space="0" w:color="auto"/>
              <w:right w:val="single" w:sz="4" w:space="0" w:color="auto"/>
            </w:tcBorders>
            <w:tcMar>
              <w:top w:w="0" w:type="dxa"/>
              <w:left w:w="108" w:type="dxa"/>
              <w:bottom w:w="0" w:type="dxa"/>
              <w:right w:w="108" w:type="dxa"/>
            </w:tcMar>
            <w:vAlign w:val="center"/>
          </w:tcPr>
          <w:p w14:paraId="5D2AB6F0" w14:textId="77777777" w:rsidR="00DF3320" w:rsidRPr="00164752" w:rsidRDefault="00C07D8C" w:rsidP="00203D50">
            <w:pPr>
              <w:rPr>
                <w:color w:val="000000"/>
                <w:lang w:eastAsia="en-GB"/>
              </w:rPr>
            </w:pPr>
          </w:p>
        </w:tc>
        <w:tc>
          <w:tcPr>
            <w:tcW w:w="29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B8F120" w14:textId="77777777" w:rsidR="00DF3320" w:rsidRDefault="00CC4885" w:rsidP="00203D50">
            <w:pPr>
              <w:spacing w:line="276" w:lineRule="auto"/>
              <w:rPr>
                <w:color w:val="000000"/>
                <w:lang w:eastAsia="en-GB"/>
              </w:rPr>
            </w:pPr>
            <w:r>
              <w:rPr>
                <w:color w:val="000000"/>
                <w:lang w:eastAsia="en-GB"/>
              </w:rPr>
              <w:t xml:space="preserve">All staff have completed Data protection training within 1 month of start date or renewal </w:t>
            </w:r>
          </w:p>
        </w:tc>
        <w:tc>
          <w:tcPr>
            <w:tcW w:w="95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4072D98" w14:textId="77777777" w:rsidR="00DF3320" w:rsidRPr="00F71675" w:rsidRDefault="00CC4885" w:rsidP="00203D50">
            <w:pPr>
              <w:jc w:val="center"/>
            </w:pPr>
            <w:r>
              <w:t>TRE Information Governance Process Owner</w:t>
            </w:r>
          </w:p>
        </w:tc>
      </w:tr>
      <w:tr w:rsidR="0076580A" w14:paraId="535C45B8" w14:textId="77777777" w:rsidTr="00203D50">
        <w:trPr>
          <w:trHeight w:val="1211"/>
        </w:trPr>
        <w:tc>
          <w:tcPr>
            <w:tcW w:w="18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A52469" w14:textId="77777777" w:rsidR="00DF3320" w:rsidRPr="00164752" w:rsidRDefault="00CC4885" w:rsidP="00203D50">
            <w:pPr>
              <w:jc w:val="center"/>
            </w:pPr>
            <w:r w:rsidRPr="00164752">
              <w:rPr>
                <w:color w:val="000000"/>
                <w:lang w:eastAsia="en-GB"/>
              </w:rPr>
              <w:t>2</w:t>
            </w:r>
          </w:p>
        </w:tc>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72D2BE" w14:textId="77777777" w:rsidR="00DF3320" w:rsidRPr="00164752" w:rsidRDefault="00CC4885" w:rsidP="00203D50">
            <w:r w:rsidRPr="00164752">
              <w:rPr>
                <w:color w:val="000000"/>
                <w:lang w:eastAsia="en-GB"/>
              </w:rPr>
              <w:t>Take reasonable measures to prevent unauthorised access to the TRE</w:t>
            </w:r>
          </w:p>
        </w:tc>
        <w:tc>
          <w:tcPr>
            <w:tcW w:w="2904" w:type="pc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030BB3F2" w14:textId="77777777" w:rsidR="00DF3320" w:rsidRPr="00164752" w:rsidRDefault="00CC4885" w:rsidP="00203D50">
            <w:pPr>
              <w:spacing w:line="276" w:lineRule="auto"/>
            </w:pPr>
            <w:r>
              <w:rPr>
                <w:color w:val="000000"/>
                <w:lang w:eastAsia="en-GB"/>
              </w:rPr>
              <w:t>No more than 3</w:t>
            </w:r>
            <w:r w:rsidRPr="00164752">
              <w:rPr>
                <w:color w:val="000000"/>
                <w:lang w:eastAsia="en-GB"/>
              </w:rPr>
              <w:t xml:space="preserve"> event</w:t>
            </w:r>
            <w:r>
              <w:rPr>
                <w:color w:val="000000"/>
                <w:lang w:eastAsia="en-GB"/>
              </w:rPr>
              <w:t>s</w:t>
            </w:r>
            <w:r w:rsidRPr="00164752">
              <w:rPr>
                <w:color w:val="000000"/>
                <w:lang w:eastAsia="en-GB"/>
              </w:rPr>
              <w:t xml:space="preserve"> specific to physical security </w:t>
            </w:r>
            <w:r>
              <w:rPr>
                <w:color w:val="000000"/>
                <w:lang w:eastAsia="en-GB"/>
              </w:rPr>
              <w:t xml:space="preserve">are </w:t>
            </w:r>
            <w:r w:rsidRPr="00164752">
              <w:rPr>
                <w:color w:val="000000"/>
                <w:lang w:eastAsia="en-GB"/>
              </w:rPr>
              <w:t xml:space="preserve">reported </w:t>
            </w:r>
            <w:r>
              <w:rPr>
                <w:color w:val="000000"/>
                <w:lang w:eastAsia="en-GB"/>
              </w:rPr>
              <w:t>every 2 months</w:t>
            </w:r>
            <w:r w:rsidRPr="00164752">
              <w:rPr>
                <w:color w:val="000000"/>
                <w:lang w:eastAsia="en-GB"/>
              </w:rPr>
              <w:t>.</w:t>
            </w:r>
          </w:p>
        </w:tc>
        <w:tc>
          <w:tcPr>
            <w:tcW w:w="956" w:type="pct"/>
            <w:tcBorders>
              <w:top w:val="single" w:sz="4" w:space="0" w:color="auto"/>
              <w:left w:val="single" w:sz="4" w:space="0" w:color="auto"/>
              <w:right w:val="single" w:sz="4" w:space="0" w:color="auto"/>
            </w:tcBorders>
            <w:tcMar>
              <w:left w:w="108" w:type="dxa"/>
              <w:right w:w="108" w:type="dxa"/>
            </w:tcMar>
            <w:vAlign w:val="center"/>
          </w:tcPr>
          <w:p w14:paraId="7302F41F" w14:textId="77777777" w:rsidR="00DF3320" w:rsidRPr="00F71675" w:rsidRDefault="00CC4885" w:rsidP="00203D50">
            <w:pPr>
              <w:jc w:val="center"/>
              <w:rPr>
                <w:color w:val="000000"/>
                <w:lang w:eastAsia="en-GB"/>
              </w:rPr>
            </w:pPr>
            <w:r w:rsidRPr="00F71675">
              <w:t>ISMS Event and Incident Management Process Owner</w:t>
            </w:r>
          </w:p>
        </w:tc>
      </w:tr>
      <w:tr w:rsidR="0076580A" w14:paraId="448A9122" w14:textId="77777777" w:rsidTr="00203D50">
        <w:trPr>
          <w:trHeight w:val="863"/>
        </w:trPr>
        <w:tc>
          <w:tcPr>
            <w:tcW w:w="1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EB8960" w14:textId="77777777" w:rsidR="00DF3320" w:rsidRPr="00164752" w:rsidRDefault="00CC4885" w:rsidP="00203D50">
            <w:pPr>
              <w:jc w:val="center"/>
            </w:pPr>
            <w:r w:rsidRPr="00164752">
              <w:rPr>
                <w:color w:val="000000"/>
                <w:lang w:eastAsia="en-GB"/>
              </w:rPr>
              <w:t>3</w:t>
            </w:r>
          </w:p>
        </w:tc>
        <w:tc>
          <w:tcPr>
            <w:tcW w:w="951" w:type="pct"/>
            <w:tcBorders>
              <w:top w:val="single" w:sz="4" w:space="0" w:color="auto"/>
              <w:left w:val="nil"/>
              <w:bottom w:val="single" w:sz="8" w:space="0" w:color="auto"/>
              <w:right w:val="single" w:sz="4" w:space="0" w:color="auto"/>
            </w:tcBorders>
            <w:tcMar>
              <w:top w:w="0" w:type="dxa"/>
              <w:left w:w="108" w:type="dxa"/>
              <w:bottom w:w="0" w:type="dxa"/>
              <w:right w:w="108" w:type="dxa"/>
            </w:tcMar>
            <w:vAlign w:val="center"/>
            <w:hideMark/>
          </w:tcPr>
          <w:p w14:paraId="0801E013" w14:textId="77777777" w:rsidR="00DF3320" w:rsidRPr="00164752" w:rsidRDefault="00CC4885" w:rsidP="00203D50">
            <w:r>
              <w:rPr>
                <w:color w:val="000000"/>
                <w:lang w:eastAsia="en-GB"/>
              </w:rPr>
              <w:t>Maintain c</w:t>
            </w:r>
            <w:r w:rsidRPr="00164752">
              <w:rPr>
                <w:color w:val="000000"/>
                <w:lang w:eastAsia="en-GB"/>
              </w:rPr>
              <w:t>onfidentiality of information</w:t>
            </w:r>
          </w:p>
        </w:tc>
        <w:tc>
          <w:tcPr>
            <w:tcW w:w="2904" w:type="pct"/>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AFDF538" w14:textId="77777777" w:rsidR="00DF3320" w:rsidRPr="00164752" w:rsidRDefault="00CC4885" w:rsidP="00203D50">
            <w:pPr>
              <w:spacing w:line="276" w:lineRule="auto"/>
            </w:pPr>
            <w:r w:rsidRPr="00164752">
              <w:rPr>
                <w:color w:val="000000"/>
                <w:lang w:eastAsia="en-GB"/>
              </w:rPr>
              <w:t xml:space="preserve">Assessment completed for all data imports and exports </w:t>
            </w:r>
            <w:r>
              <w:rPr>
                <w:color w:val="000000"/>
                <w:lang w:eastAsia="en-GB"/>
              </w:rPr>
              <w:t xml:space="preserve">prior to use </w:t>
            </w:r>
            <w:r w:rsidRPr="00164752">
              <w:rPr>
                <w:color w:val="000000"/>
                <w:lang w:eastAsia="en-GB"/>
              </w:rPr>
              <w:t>to prevent the disclosure of personal or identifiable information via linkage of information</w:t>
            </w:r>
          </w:p>
        </w:tc>
        <w:tc>
          <w:tcPr>
            <w:tcW w:w="956" w:type="pct"/>
            <w:tcBorders>
              <w:top w:val="single" w:sz="4" w:space="0" w:color="auto"/>
              <w:left w:val="single" w:sz="4" w:space="0" w:color="auto"/>
              <w:right w:val="single" w:sz="4" w:space="0" w:color="auto"/>
            </w:tcBorders>
            <w:tcMar>
              <w:left w:w="108" w:type="dxa"/>
              <w:right w:w="108" w:type="dxa"/>
            </w:tcMar>
            <w:vAlign w:val="center"/>
          </w:tcPr>
          <w:p w14:paraId="0BB547A7" w14:textId="77777777" w:rsidR="00DF3320" w:rsidRPr="00F71675" w:rsidRDefault="00CC4885" w:rsidP="00203D50">
            <w:pPr>
              <w:spacing w:line="276" w:lineRule="auto"/>
              <w:jc w:val="center"/>
              <w:rPr>
                <w:color w:val="000000"/>
                <w:lang w:eastAsia="en-GB"/>
              </w:rPr>
            </w:pPr>
            <w:r>
              <w:t>TRE Information Governance Process Owner</w:t>
            </w:r>
          </w:p>
        </w:tc>
      </w:tr>
      <w:tr w:rsidR="0076580A" w14:paraId="2F70355E" w14:textId="77777777" w:rsidTr="00203D50">
        <w:trPr>
          <w:trHeight w:val="300"/>
        </w:trPr>
        <w:tc>
          <w:tcPr>
            <w:tcW w:w="18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EE996D" w14:textId="77777777" w:rsidR="00DF3320" w:rsidRPr="00164752" w:rsidRDefault="00CC4885" w:rsidP="00203D50">
            <w:pPr>
              <w:jc w:val="center"/>
            </w:pPr>
            <w:r w:rsidRPr="00164752">
              <w:rPr>
                <w:color w:val="000000"/>
                <w:lang w:eastAsia="en-GB"/>
              </w:rPr>
              <w:t>4</w:t>
            </w:r>
          </w:p>
        </w:tc>
        <w:tc>
          <w:tcPr>
            <w:tcW w:w="951" w:type="pct"/>
            <w:tcBorders>
              <w:top w:val="nil"/>
              <w:left w:val="nil"/>
              <w:bottom w:val="single" w:sz="8" w:space="0" w:color="auto"/>
              <w:right w:val="single" w:sz="4" w:space="0" w:color="auto"/>
            </w:tcBorders>
            <w:tcMar>
              <w:top w:w="0" w:type="dxa"/>
              <w:left w:w="108" w:type="dxa"/>
              <w:bottom w:w="0" w:type="dxa"/>
              <w:right w:w="108" w:type="dxa"/>
            </w:tcMar>
            <w:vAlign w:val="center"/>
            <w:hideMark/>
          </w:tcPr>
          <w:p w14:paraId="6680966E" w14:textId="77777777" w:rsidR="00DF3320" w:rsidRPr="00164752" w:rsidRDefault="00CC4885" w:rsidP="00203D50">
            <w:r w:rsidRPr="00164752">
              <w:rPr>
                <w:color w:val="000000"/>
                <w:lang w:eastAsia="en-GB"/>
              </w:rPr>
              <w:t xml:space="preserve">Integrity of </w:t>
            </w:r>
            <w:r>
              <w:rPr>
                <w:color w:val="000000"/>
                <w:lang w:eastAsia="en-GB"/>
              </w:rPr>
              <w:t xml:space="preserve">imported </w:t>
            </w:r>
            <w:r w:rsidRPr="00164752">
              <w:rPr>
                <w:color w:val="000000"/>
                <w:lang w:eastAsia="en-GB"/>
              </w:rPr>
              <w:t>information will be maintained</w:t>
            </w:r>
          </w:p>
        </w:tc>
        <w:tc>
          <w:tcPr>
            <w:tcW w:w="29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17DDC3" w14:textId="77777777" w:rsidR="00DF3320" w:rsidRPr="00164752" w:rsidRDefault="00CC4885" w:rsidP="00203D50">
            <w:pPr>
              <w:spacing w:line="276" w:lineRule="auto"/>
            </w:pPr>
            <w:r w:rsidRPr="00164752">
              <w:rPr>
                <w:color w:val="000000"/>
                <w:lang w:eastAsia="en-GB"/>
              </w:rPr>
              <w:t>Checksum (file signature) tests are completed for</w:t>
            </w:r>
            <w:r>
              <w:rPr>
                <w:color w:val="000000"/>
                <w:lang w:eastAsia="en-GB"/>
              </w:rPr>
              <w:t xml:space="preserve"> all new raw datasets prior to use</w:t>
            </w:r>
          </w:p>
        </w:tc>
        <w:tc>
          <w:tcPr>
            <w:tcW w:w="95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4A37FF2" w14:textId="77777777" w:rsidR="00DF3320" w:rsidRPr="00F71675" w:rsidRDefault="00CC4885" w:rsidP="00203D50">
            <w:pPr>
              <w:spacing w:line="276" w:lineRule="auto"/>
              <w:jc w:val="center"/>
              <w:rPr>
                <w:color w:val="000000"/>
                <w:lang w:eastAsia="en-GB"/>
              </w:rPr>
            </w:pPr>
            <w:r w:rsidRPr="00F71675">
              <w:rPr>
                <w:color w:val="000000"/>
                <w:lang w:eastAsia="en-GB"/>
              </w:rPr>
              <w:t>ISM</w:t>
            </w:r>
          </w:p>
        </w:tc>
      </w:tr>
      <w:tr w:rsidR="0076580A" w14:paraId="2D9253CB" w14:textId="77777777" w:rsidTr="00203D50">
        <w:trPr>
          <w:trHeight w:val="300"/>
        </w:trPr>
        <w:tc>
          <w:tcPr>
            <w:tcW w:w="189"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BC1170" w14:textId="77777777" w:rsidR="00DF3320" w:rsidRPr="00164752" w:rsidRDefault="00CC4885" w:rsidP="00203D50">
            <w:pPr>
              <w:jc w:val="center"/>
            </w:pPr>
            <w:r w:rsidRPr="00164752">
              <w:rPr>
                <w:color w:val="000000"/>
                <w:lang w:eastAsia="en-GB"/>
              </w:rPr>
              <w:t>5</w:t>
            </w:r>
          </w:p>
        </w:tc>
        <w:tc>
          <w:tcPr>
            <w:tcW w:w="951" w:type="pct"/>
            <w:vMerge w:val="restart"/>
            <w:tcBorders>
              <w:top w:val="nil"/>
              <w:left w:val="nil"/>
              <w:bottom w:val="single" w:sz="8" w:space="0" w:color="auto"/>
              <w:right w:val="single" w:sz="4" w:space="0" w:color="auto"/>
            </w:tcBorders>
            <w:tcMar>
              <w:top w:w="0" w:type="dxa"/>
              <w:left w:w="108" w:type="dxa"/>
              <w:bottom w:w="0" w:type="dxa"/>
              <w:right w:w="108" w:type="dxa"/>
            </w:tcMar>
            <w:vAlign w:val="center"/>
            <w:hideMark/>
          </w:tcPr>
          <w:p w14:paraId="0FF60208" w14:textId="77777777" w:rsidR="00DF3320" w:rsidRPr="00164752" w:rsidRDefault="00CC4885" w:rsidP="00203D50">
            <w:r w:rsidRPr="00164752">
              <w:rPr>
                <w:color w:val="000000"/>
                <w:lang w:eastAsia="en-GB"/>
              </w:rPr>
              <w:t>Deliver services that meet the needs of our users</w:t>
            </w:r>
          </w:p>
        </w:tc>
        <w:tc>
          <w:tcPr>
            <w:tcW w:w="29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BB8A89F" w14:textId="77777777" w:rsidR="00DF3320" w:rsidRPr="00164752" w:rsidRDefault="00CC4885" w:rsidP="00203D50">
            <w:pPr>
              <w:spacing w:line="276" w:lineRule="auto"/>
            </w:pPr>
            <w:r w:rsidRPr="00164752">
              <w:rPr>
                <w:color w:val="000000"/>
                <w:lang w:eastAsia="en-GB"/>
              </w:rPr>
              <w:t xml:space="preserve">Availability – </w:t>
            </w:r>
            <w:r>
              <w:rPr>
                <w:color w:val="000000"/>
                <w:lang w:eastAsia="en-GB"/>
              </w:rPr>
              <w:t>TRE service availability 99% Mon-Fri 09:00 to 17:00 (excluding planned outages)</w:t>
            </w:r>
          </w:p>
        </w:tc>
        <w:tc>
          <w:tcPr>
            <w:tcW w:w="95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629D30D" w14:textId="77777777" w:rsidR="00DF3320" w:rsidRPr="00F71675" w:rsidRDefault="00CC4885" w:rsidP="00203D50">
            <w:pPr>
              <w:spacing w:line="276" w:lineRule="auto"/>
              <w:jc w:val="center"/>
              <w:rPr>
                <w:color w:val="000000"/>
                <w:lang w:eastAsia="en-GB"/>
              </w:rPr>
            </w:pPr>
            <w:r w:rsidRPr="00F71675">
              <w:rPr>
                <w:color w:val="000000"/>
                <w:lang w:eastAsia="en-GB"/>
              </w:rPr>
              <w:t>ISM</w:t>
            </w:r>
          </w:p>
        </w:tc>
      </w:tr>
      <w:tr w:rsidR="0076580A" w14:paraId="4D4FE0FC" w14:textId="77777777" w:rsidTr="00203D50">
        <w:trPr>
          <w:trHeight w:val="300"/>
        </w:trPr>
        <w:tc>
          <w:tcPr>
            <w:tcW w:w="189" w:type="pct"/>
            <w:vMerge/>
            <w:tcBorders>
              <w:top w:val="nil"/>
              <w:left w:val="single" w:sz="8" w:space="0" w:color="auto"/>
              <w:bottom w:val="single" w:sz="8" w:space="0" w:color="auto"/>
              <w:right w:val="single" w:sz="8" w:space="0" w:color="auto"/>
            </w:tcBorders>
            <w:tcMar>
              <w:left w:w="108" w:type="dxa"/>
              <w:right w:w="108" w:type="dxa"/>
            </w:tcMar>
            <w:vAlign w:val="center"/>
            <w:hideMark/>
          </w:tcPr>
          <w:p w14:paraId="61A563D1" w14:textId="77777777" w:rsidR="00DF3320" w:rsidRPr="00164752" w:rsidRDefault="00C07D8C" w:rsidP="00203D50">
            <w:pPr>
              <w:jc w:val="center"/>
            </w:pPr>
          </w:p>
        </w:tc>
        <w:tc>
          <w:tcPr>
            <w:tcW w:w="951" w:type="pct"/>
            <w:vMerge/>
            <w:tcBorders>
              <w:top w:val="nil"/>
              <w:left w:val="nil"/>
              <w:bottom w:val="single" w:sz="8" w:space="0" w:color="auto"/>
              <w:right w:val="single" w:sz="4" w:space="0" w:color="auto"/>
            </w:tcBorders>
            <w:tcMar>
              <w:left w:w="108" w:type="dxa"/>
              <w:right w:w="108" w:type="dxa"/>
            </w:tcMar>
            <w:vAlign w:val="center"/>
            <w:hideMark/>
          </w:tcPr>
          <w:p w14:paraId="20F3374C" w14:textId="77777777" w:rsidR="00DF3320" w:rsidRPr="00164752" w:rsidRDefault="00C07D8C" w:rsidP="00203D50"/>
        </w:tc>
        <w:tc>
          <w:tcPr>
            <w:tcW w:w="29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vAlign w:val="center"/>
            <w:hideMark/>
          </w:tcPr>
          <w:p w14:paraId="2D9D2771" w14:textId="77777777" w:rsidR="00DF3320" w:rsidRPr="008D1F5B" w:rsidRDefault="00CC4885" w:rsidP="00203D50">
            <w:r w:rsidRPr="008D1F5B">
              <w:t>All user queries to TRE support receive an initial acknowledgement within 2 working days (</w:t>
            </w:r>
            <w:r w:rsidRPr="008D1F5B">
              <w:rPr>
                <w:i/>
              </w:rPr>
              <w:t>currently not measured</w:t>
            </w:r>
            <w:r w:rsidRPr="008D1F5B">
              <w:t>)</w:t>
            </w:r>
          </w:p>
        </w:tc>
        <w:tc>
          <w:tcPr>
            <w:tcW w:w="95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0FEE2CF" w14:textId="77777777" w:rsidR="00DF3320" w:rsidRPr="00F71675" w:rsidRDefault="00CC4885" w:rsidP="00203D50">
            <w:pPr>
              <w:jc w:val="center"/>
            </w:pPr>
            <w:r w:rsidRPr="00F71675">
              <w:t>ISM</w:t>
            </w:r>
          </w:p>
        </w:tc>
      </w:tr>
      <w:tr w:rsidR="0076580A" w14:paraId="2A76E565" w14:textId="77777777" w:rsidTr="00203D50">
        <w:trPr>
          <w:cantSplit/>
          <w:trHeight w:val="301"/>
        </w:trPr>
        <w:tc>
          <w:tcPr>
            <w:tcW w:w="189"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770FD3" w14:textId="77777777" w:rsidR="00DF3320" w:rsidRPr="00164752" w:rsidRDefault="00CC4885" w:rsidP="00203D50">
            <w:pPr>
              <w:jc w:val="center"/>
            </w:pPr>
            <w:r w:rsidRPr="00164752">
              <w:rPr>
                <w:color w:val="000000"/>
                <w:lang w:eastAsia="en-GB"/>
              </w:rPr>
              <w:t>6</w:t>
            </w:r>
          </w:p>
        </w:tc>
        <w:tc>
          <w:tcPr>
            <w:tcW w:w="951"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A6BC49" w14:textId="77777777" w:rsidR="00DF3320" w:rsidRPr="00164752" w:rsidRDefault="00CC4885" w:rsidP="00203D50">
            <w:r w:rsidRPr="00164752">
              <w:rPr>
                <w:color w:val="000000"/>
                <w:lang w:eastAsia="en-GB"/>
              </w:rPr>
              <w:t>Manage all security events to minimise  impact on the TRE</w:t>
            </w:r>
          </w:p>
        </w:tc>
        <w:tc>
          <w:tcPr>
            <w:tcW w:w="2904" w:type="pct"/>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hideMark/>
          </w:tcPr>
          <w:p w14:paraId="6D9223EB" w14:textId="77777777" w:rsidR="00DF3320" w:rsidRPr="00164752" w:rsidRDefault="00CC4885" w:rsidP="00203D50">
            <w:pPr>
              <w:spacing w:line="276" w:lineRule="auto"/>
            </w:pPr>
            <w:r w:rsidRPr="00164752">
              <w:rPr>
                <w:color w:val="000000"/>
                <w:lang w:eastAsia="en-GB"/>
              </w:rPr>
              <w:t xml:space="preserve">All security event assessments completed within </w:t>
            </w:r>
            <w:r>
              <w:rPr>
                <w:color w:val="000000"/>
                <w:lang w:eastAsia="en-GB"/>
              </w:rPr>
              <w:t>2 days</w:t>
            </w:r>
          </w:p>
        </w:tc>
        <w:tc>
          <w:tcPr>
            <w:tcW w:w="95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A78E1B0" w14:textId="77777777" w:rsidR="00DF3320" w:rsidRPr="00F71675" w:rsidRDefault="00CC4885" w:rsidP="00203D50">
            <w:pPr>
              <w:spacing w:line="276" w:lineRule="auto"/>
              <w:jc w:val="center"/>
              <w:rPr>
                <w:color w:val="000000"/>
                <w:lang w:eastAsia="en-GB"/>
              </w:rPr>
            </w:pPr>
            <w:r w:rsidRPr="00F71675">
              <w:t>ISMS Event and Incident Management Process Owner</w:t>
            </w:r>
          </w:p>
        </w:tc>
      </w:tr>
      <w:tr w:rsidR="0076580A" w14:paraId="304DECF1" w14:textId="77777777" w:rsidTr="00203D50">
        <w:trPr>
          <w:trHeight w:val="418"/>
        </w:trPr>
        <w:tc>
          <w:tcPr>
            <w:tcW w:w="189" w:type="pct"/>
            <w:vMerge/>
            <w:tcBorders>
              <w:top w:val="single" w:sz="8" w:space="0" w:color="auto"/>
              <w:left w:val="single" w:sz="8" w:space="0" w:color="auto"/>
              <w:bottom w:val="single" w:sz="8" w:space="0" w:color="auto"/>
              <w:right w:val="single" w:sz="8" w:space="0" w:color="auto"/>
            </w:tcBorders>
            <w:tcMar>
              <w:left w:w="108" w:type="dxa"/>
              <w:right w:w="108" w:type="dxa"/>
            </w:tcMar>
            <w:vAlign w:val="center"/>
            <w:hideMark/>
          </w:tcPr>
          <w:p w14:paraId="2E4B1FF8" w14:textId="77777777" w:rsidR="00DF3320" w:rsidRPr="00164752" w:rsidRDefault="00C07D8C" w:rsidP="00203D50"/>
        </w:tc>
        <w:tc>
          <w:tcPr>
            <w:tcW w:w="951" w:type="pct"/>
            <w:vMerge/>
            <w:tcBorders>
              <w:top w:val="single" w:sz="8" w:space="0" w:color="auto"/>
              <w:left w:val="nil"/>
              <w:bottom w:val="single" w:sz="8" w:space="0" w:color="auto"/>
              <w:right w:val="single" w:sz="8" w:space="0" w:color="auto"/>
            </w:tcBorders>
            <w:tcMar>
              <w:left w:w="108" w:type="dxa"/>
              <w:right w:w="108" w:type="dxa"/>
            </w:tcMar>
            <w:vAlign w:val="center"/>
            <w:hideMark/>
          </w:tcPr>
          <w:p w14:paraId="1316437D" w14:textId="77777777" w:rsidR="00DF3320" w:rsidRPr="00164752" w:rsidRDefault="00C07D8C" w:rsidP="00203D50"/>
        </w:tc>
        <w:tc>
          <w:tcPr>
            <w:tcW w:w="2904" w:type="pct"/>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hideMark/>
          </w:tcPr>
          <w:p w14:paraId="5827D672" w14:textId="77777777" w:rsidR="00DF3320" w:rsidRPr="00164752" w:rsidRDefault="00CC4885" w:rsidP="00203D50">
            <w:pPr>
              <w:spacing w:line="276" w:lineRule="auto"/>
            </w:pPr>
            <w:r>
              <w:rPr>
                <w:color w:val="000000"/>
                <w:lang w:eastAsia="en-GB"/>
              </w:rPr>
              <w:t>S</w:t>
            </w:r>
            <w:r w:rsidRPr="00164752">
              <w:rPr>
                <w:color w:val="000000"/>
                <w:lang w:eastAsia="en-GB"/>
              </w:rPr>
              <w:t xml:space="preserve">ecurity event action stages </w:t>
            </w:r>
            <w:r>
              <w:rPr>
                <w:color w:val="000000"/>
                <w:lang w:eastAsia="en-GB"/>
              </w:rPr>
              <w:t xml:space="preserve">are </w:t>
            </w:r>
            <w:r w:rsidRPr="00164752">
              <w:rPr>
                <w:color w:val="000000"/>
                <w:lang w:eastAsia="en-GB"/>
              </w:rPr>
              <w:t>closed within agreed timescales</w:t>
            </w:r>
          </w:p>
        </w:tc>
        <w:tc>
          <w:tcPr>
            <w:tcW w:w="95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B5AAA8F" w14:textId="77777777" w:rsidR="00DF3320" w:rsidRPr="007A61CB" w:rsidRDefault="00CC4885" w:rsidP="00203D50">
            <w:pPr>
              <w:spacing w:line="276" w:lineRule="auto"/>
              <w:jc w:val="center"/>
              <w:rPr>
                <w:color w:val="000000"/>
                <w:lang w:eastAsia="en-GB"/>
              </w:rPr>
            </w:pPr>
            <w:r w:rsidRPr="007A61CB">
              <w:t>ISMS Event and Incident Management Process Owner</w:t>
            </w:r>
          </w:p>
        </w:tc>
      </w:tr>
    </w:tbl>
    <w:p w14:paraId="3887ADD9" w14:textId="77777777" w:rsidR="00DF3320" w:rsidRPr="00766C7E" w:rsidRDefault="00CC4885" w:rsidP="00DF3320">
      <w:r>
        <w:rPr>
          <w:color w:val="1F497D"/>
        </w:rPr>
        <w:t> </w:t>
      </w:r>
    </w:p>
    <w:p w14:paraId="48251E92" w14:textId="77777777" w:rsidR="00DF3320" w:rsidRDefault="00C07D8C" w:rsidP="00DF3320">
      <w:pPr>
        <w:pStyle w:val="ISMSNormal"/>
      </w:pPr>
    </w:p>
    <w:p w14:paraId="53129E7B" w14:textId="77777777" w:rsidR="00DF3320" w:rsidRDefault="00CC4885" w:rsidP="00DF3320">
      <w:pPr>
        <w:pStyle w:val="ISMSHeading2"/>
      </w:pPr>
      <w:bookmarkStart w:id="107" w:name="_Toc256000110"/>
      <w:bookmarkStart w:id="108" w:name="_Toc256000101"/>
      <w:bookmarkStart w:id="109" w:name="_Toc256000092"/>
      <w:bookmarkStart w:id="110" w:name="_Toc256000089"/>
      <w:bookmarkStart w:id="111" w:name="_Toc256000080"/>
      <w:bookmarkStart w:id="112" w:name="_Toc958016"/>
      <w:r w:rsidRPr="00340808">
        <w:t xml:space="preserve">Resources </w:t>
      </w:r>
      <w:r>
        <w:t xml:space="preserve">needed </w:t>
      </w:r>
      <w:r w:rsidRPr="00340808">
        <w:t>to meet objectives and contingencies</w:t>
      </w:r>
      <w:bookmarkEnd w:id="107"/>
      <w:bookmarkEnd w:id="108"/>
      <w:bookmarkEnd w:id="109"/>
      <w:bookmarkEnd w:id="110"/>
      <w:bookmarkEnd w:id="111"/>
      <w:bookmarkEnd w:id="112"/>
    </w:p>
    <w:p w14:paraId="0C56AD8D" w14:textId="77777777" w:rsidR="00DF3320" w:rsidRDefault="00C07D8C" w:rsidP="00DF3320">
      <w:pPr>
        <w:pStyle w:val="ISMSNormal"/>
        <w:rPr>
          <w:lang w:val="en-GB"/>
        </w:rPr>
      </w:pPr>
    </w:p>
    <w:tbl>
      <w:tblPr>
        <w:tblStyle w:val="TableGrid"/>
        <w:tblW w:w="5000" w:type="pct"/>
        <w:tblLook w:val="04A0" w:firstRow="1" w:lastRow="0" w:firstColumn="1" w:lastColumn="0" w:noHBand="0" w:noVBand="1"/>
      </w:tblPr>
      <w:tblGrid>
        <w:gridCol w:w="4585"/>
        <w:gridCol w:w="3181"/>
        <w:gridCol w:w="2359"/>
        <w:gridCol w:w="3802"/>
      </w:tblGrid>
      <w:tr w:rsidR="0076580A" w14:paraId="69A88946" w14:textId="77777777" w:rsidTr="007F1F6B">
        <w:tc>
          <w:tcPr>
            <w:tcW w:w="1646" w:type="pct"/>
            <w:shd w:val="clear" w:color="auto" w:fill="D9D9D9" w:themeFill="background1" w:themeFillShade="D9"/>
            <w:hideMark/>
          </w:tcPr>
          <w:p w14:paraId="744CBE08" w14:textId="77777777" w:rsidR="00DF3320" w:rsidRPr="00DB749E" w:rsidRDefault="00CC4885" w:rsidP="00203D50">
            <w:pPr>
              <w:rPr>
                <w:b/>
                <w:bCs/>
              </w:rPr>
            </w:pPr>
            <w:r w:rsidRPr="00DB749E">
              <w:rPr>
                <w:b/>
                <w:bCs/>
              </w:rPr>
              <w:t>Measure</w:t>
            </w:r>
          </w:p>
        </w:tc>
        <w:tc>
          <w:tcPr>
            <w:tcW w:w="1142" w:type="pct"/>
            <w:shd w:val="clear" w:color="auto" w:fill="D9D9D9" w:themeFill="background1" w:themeFillShade="D9"/>
          </w:tcPr>
          <w:p w14:paraId="3F232182" w14:textId="77777777" w:rsidR="00DF3320" w:rsidRPr="00DB749E" w:rsidRDefault="00CC4885" w:rsidP="00203D50">
            <w:pPr>
              <w:rPr>
                <w:b/>
                <w:bCs/>
              </w:rPr>
            </w:pPr>
            <w:r w:rsidRPr="00DB749E">
              <w:rPr>
                <w:b/>
                <w:bCs/>
              </w:rPr>
              <w:t>Task</w:t>
            </w:r>
          </w:p>
        </w:tc>
        <w:tc>
          <w:tcPr>
            <w:tcW w:w="847" w:type="pct"/>
            <w:shd w:val="clear" w:color="auto" w:fill="D9D9D9" w:themeFill="background1" w:themeFillShade="D9"/>
          </w:tcPr>
          <w:p w14:paraId="41C94195" w14:textId="77777777" w:rsidR="00DF3320" w:rsidRPr="00DB749E" w:rsidRDefault="00CC4885" w:rsidP="00203D50">
            <w:pPr>
              <w:rPr>
                <w:b/>
                <w:bCs/>
              </w:rPr>
            </w:pPr>
            <w:r w:rsidRPr="00DB749E">
              <w:rPr>
                <w:b/>
                <w:bCs/>
              </w:rPr>
              <w:t>Who does this now</w:t>
            </w:r>
          </w:p>
        </w:tc>
        <w:tc>
          <w:tcPr>
            <w:tcW w:w="1365" w:type="pct"/>
            <w:shd w:val="clear" w:color="auto" w:fill="D9D9D9" w:themeFill="background1" w:themeFillShade="D9"/>
            <w:hideMark/>
          </w:tcPr>
          <w:p w14:paraId="60E5C44C" w14:textId="77777777" w:rsidR="00DF3320" w:rsidRPr="00DB749E" w:rsidRDefault="00CC4885" w:rsidP="00203D50">
            <w:pPr>
              <w:rPr>
                <w:b/>
                <w:bCs/>
              </w:rPr>
            </w:pPr>
            <w:r w:rsidRPr="00DB749E">
              <w:rPr>
                <w:b/>
                <w:bCs/>
              </w:rPr>
              <w:t>Contingency</w:t>
            </w:r>
          </w:p>
        </w:tc>
      </w:tr>
      <w:tr w:rsidR="0076580A" w14:paraId="21879AFA" w14:textId="77777777" w:rsidTr="007F1F6B">
        <w:tc>
          <w:tcPr>
            <w:tcW w:w="1646" w:type="pct"/>
            <w:hideMark/>
          </w:tcPr>
          <w:p w14:paraId="01A73154" w14:textId="77777777" w:rsidR="00DF3320" w:rsidRPr="00DB749E" w:rsidRDefault="00CC4885" w:rsidP="00203D50">
            <w:r w:rsidRPr="00DB749E">
              <w:rPr>
                <w:color w:val="000000"/>
                <w:lang w:eastAsia="en-GB"/>
              </w:rPr>
              <w:t>1: All new staff complete their CHI induction within 1 month of start date.</w:t>
            </w:r>
          </w:p>
        </w:tc>
        <w:tc>
          <w:tcPr>
            <w:tcW w:w="1142" w:type="pct"/>
          </w:tcPr>
          <w:p w14:paraId="061C1067" w14:textId="77777777" w:rsidR="00DF3320" w:rsidRPr="00DB749E" w:rsidRDefault="00CC4885" w:rsidP="007F1F6B">
            <w:r w:rsidRPr="00DB749E">
              <w:t>New starter completes induction</w:t>
            </w:r>
          </w:p>
        </w:tc>
        <w:tc>
          <w:tcPr>
            <w:tcW w:w="847" w:type="pct"/>
          </w:tcPr>
          <w:p w14:paraId="7DADEB53" w14:textId="77777777" w:rsidR="00DF3320" w:rsidRPr="00DB749E" w:rsidRDefault="00CC4885" w:rsidP="00203D50">
            <w:r w:rsidRPr="00DB749E">
              <w:t>Line Manager</w:t>
            </w:r>
            <w:r>
              <w:t xml:space="preserve"> and CHI Onboarding Manager</w:t>
            </w:r>
          </w:p>
        </w:tc>
        <w:tc>
          <w:tcPr>
            <w:tcW w:w="1365" w:type="pct"/>
            <w:hideMark/>
          </w:tcPr>
          <w:p w14:paraId="1429C56D" w14:textId="77777777" w:rsidR="00DF3320" w:rsidRPr="00DB749E" w:rsidRDefault="00CC4885" w:rsidP="007F1F6B">
            <w:r w:rsidRPr="00DB749E">
              <w:t xml:space="preserve">There is a rota to ensure someone is always present to </w:t>
            </w:r>
            <w:r>
              <w:t>oversee induction</w:t>
            </w:r>
          </w:p>
        </w:tc>
      </w:tr>
      <w:tr w:rsidR="0076580A" w14:paraId="6DC0AF8B" w14:textId="77777777" w:rsidTr="007F1F6B">
        <w:tc>
          <w:tcPr>
            <w:tcW w:w="1646" w:type="pct"/>
          </w:tcPr>
          <w:p w14:paraId="6A511B05" w14:textId="77777777" w:rsidR="00DF3320" w:rsidRPr="00DB749E" w:rsidRDefault="00CC4885" w:rsidP="00203D50">
            <w:pPr>
              <w:rPr>
                <w:color w:val="000000"/>
                <w:lang w:eastAsia="en-GB"/>
              </w:rPr>
            </w:pPr>
            <w:r w:rsidRPr="00DB749E">
              <w:rPr>
                <w:color w:val="000000"/>
                <w:lang w:eastAsia="en-GB"/>
              </w:rPr>
              <w:t>1: &gt;95% of staff read and acknowledge ISMS documents within 1 month of notification.</w:t>
            </w:r>
          </w:p>
        </w:tc>
        <w:tc>
          <w:tcPr>
            <w:tcW w:w="1142" w:type="pct"/>
          </w:tcPr>
          <w:p w14:paraId="4486837B" w14:textId="77777777" w:rsidR="00DF3320" w:rsidRPr="00DB749E" w:rsidRDefault="00CC4885" w:rsidP="00203D50">
            <w:r w:rsidRPr="00DB749E">
              <w:t>Document Distribution &amp; Acknowledgment</w:t>
            </w:r>
          </w:p>
        </w:tc>
        <w:tc>
          <w:tcPr>
            <w:tcW w:w="847" w:type="pct"/>
          </w:tcPr>
          <w:p w14:paraId="776ED867" w14:textId="77777777" w:rsidR="00DF3320" w:rsidRPr="00DB749E" w:rsidRDefault="00CC4885" w:rsidP="00203D50">
            <w:r>
              <w:t>ISMS Documentation process owner</w:t>
            </w:r>
          </w:p>
        </w:tc>
        <w:tc>
          <w:tcPr>
            <w:tcW w:w="1365" w:type="pct"/>
          </w:tcPr>
          <w:p w14:paraId="7270D5A2" w14:textId="77777777" w:rsidR="00DF3320" w:rsidRPr="00187BB9" w:rsidRDefault="00CC4885" w:rsidP="00203D50">
            <w:r>
              <w:t>Staff Training and Competency process owner</w:t>
            </w:r>
          </w:p>
        </w:tc>
      </w:tr>
      <w:tr w:rsidR="0076580A" w14:paraId="0D8ADBED" w14:textId="77777777" w:rsidTr="007F1F6B">
        <w:tc>
          <w:tcPr>
            <w:tcW w:w="1646" w:type="pct"/>
          </w:tcPr>
          <w:p w14:paraId="141B65E7" w14:textId="77777777" w:rsidR="00DF3320" w:rsidRPr="00187BB9" w:rsidRDefault="00CC4885" w:rsidP="00203D50">
            <w:r w:rsidRPr="00187BB9">
              <w:t>1: All staff have completed Data protection training within 1 month of start date or renewal</w:t>
            </w:r>
          </w:p>
        </w:tc>
        <w:tc>
          <w:tcPr>
            <w:tcW w:w="1142" w:type="pct"/>
          </w:tcPr>
          <w:p w14:paraId="7A2112E0" w14:textId="77777777" w:rsidR="00DF3320" w:rsidRPr="00187BB9" w:rsidRDefault="00CC4885" w:rsidP="00203D50">
            <w:r w:rsidRPr="00187BB9">
              <w:t>Completion of training activity</w:t>
            </w:r>
          </w:p>
        </w:tc>
        <w:tc>
          <w:tcPr>
            <w:tcW w:w="847" w:type="pct"/>
          </w:tcPr>
          <w:p w14:paraId="61DE11E9" w14:textId="77777777" w:rsidR="00DF3320" w:rsidRPr="00187BB9" w:rsidRDefault="00CC4885" w:rsidP="00203D50">
            <w:r>
              <w:t>Staff Training and Competency process owner</w:t>
            </w:r>
          </w:p>
        </w:tc>
        <w:tc>
          <w:tcPr>
            <w:tcW w:w="1365" w:type="pct"/>
          </w:tcPr>
          <w:p w14:paraId="1F61FF46" w14:textId="77777777" w:rsidR="00DF3320" w:rsidRDefault="00CC4885" w:rsidP="00203D50">
            <w:r>
              <w:t>UoM/Faculty IG guardian will resume their monitoring</w:t>
            </w:r>
          </w:p>
        </w:tc>
      </w:tr>
      <w:tr w:rsidR="0076580A" w14:paraId="0CEE79EE" w14:textId="77777777" w:rsidTr="007F1F6B">
        <w:tc>
          <w:tcPr>
            <w:tcW w:w="1646" w:type="pct"/>
            <w:hideMark/>
          </w:tcPr>
          <w:p w14:paraId="2323CF1E" w14:textId="77777777" w:rsidR="00DF3320" w:rsidRPr="00DB749E" w:rsidRDefault="00CC4885" w:rsidP="00203D50">
            <w:r w:rsidRPr="00DB749E">
              <w:t xml:space="preserve">2: </w:t>
            </w:r>
            <w:r w:rsidRPr="00DB749E">
              <w:rPr>
                <w:color w:val="000000"/>
                <w:lang w:eastAsia="en-GB"/>
              </w:rPr>
              <w:t>No more than 3 security events specific to physical security are reported every 2 months.</w:t>
            </w:r>
          </w:p>
        </w:tc>
        <w:tc>
          <w:tcPr>
            <w:tcW w:w="1142" w:type="pct"/>
          </w:tcPr>
          <w:p w14:paraId="2FCD7855" w14:textId="77777777" w:rsidR="00DF3320" w:rsidRPr="00DB749E" w:rsidRDefault="00CC4885" w:rsidP="00203D50">
            <w:r>
              <w:t>Conduct regular inspections of the physical security controls at Vaughan House</w:t>
            </w:r>
          </w:p>
        </w:tc>
        <w:tc>
          <w:tcPr>
            <w:tcW w:w="847" w:type="pct"/>
          </w:tcPr>
          <w:p w14:paraId="788E24D3" w14:textId="77777777" w:rsidR="00DF3320" w:rsidRPr="00DB749E" w:rsidRDefault="00CC4885" w:rsidP="00203D50">
            <w:r>
              <w:t>ISM</w:t>
            </w:r>
          </w:p>
        </w:tc>
        <w:tc>
          <w:tcPr>
            <w:tcW w:w="1365" w:type="pct"/>
            <w:hideMark/>
          </w:tcPr>
          <w:p w14:paraId="0027AB97" w14:textId="77777777" w:rsidR="00DF3320" w:rsidRPr="00DB749E" w:rsidRDefault="00CC4885" w:rsidP="00203D50">
            <w:r>
              <w:t>The ISM can delegate the monitoring to another member of the TRE service team</w:t>
            </w:r>
          </w:p>
        </w:tc>
      </w:tr>
      <w:tr w:rsidR="0076580A" w14:paraId="0557909C" w14:textId="77777777" w:rsidTr="007F1F6B">
        <w:tc>
          <w:tcPr>
            <w:tcW w:w="1646" w:type="pct"/>
            <w:hideMark/>
          </w:tcPr>
          <w:p w14:paraId="33C84A2C" w14:textId="77777777" w:rsidR="00DF3320" w:rsidRPr="00DB749E" w:rsidRDefault="00CC4885" w:rsidP="00203D50">
            <w:r w:rsidRPr="00DB749E">
              <w:t xml:space="preserve">3: </w:t>
            </w:r>
            <w:r w:rsidRPr="00DB749E">
              <w:rPr>
                <w:color w:val="000000"/>
                <w:lang w:eastAsia="en-GB"/>
              </w:rPr>
              <w:t>Assessment completed for all data imports and exports within 2 weeks of request to prevent the disclosure of personal or identifiable information via linkage of information</w:t>
            </w:r>
          </w:p>
        </w:tc>
        <w:tc>
          <w:tcPr>
            <w:tcW w:w="1142" w:type="pct"/>
          </w:tcPr>
          <w:p w14:paraId="25D2505F" w14:textId="77777777" w:rsidR="00DF3320" w:rsidRPr="00DB749E" w:rsidRDefault="00CC4885" w:rsidP="00203D50">
            <w:r>
              <w:t>Monitoring service inbox for new requests, reviewing requests against any existing data sharing agreements, and conducting TRE Data import and export content checking</w:t>
            </w:r>
          </w:p>
        </w:tc>
        <w:tc>
          <w:tcPr>
            <w:tcW w:w="847" w:type="pct"/>
          </w:tcPr>
          <w:p w14:paraId="1062014D" w14:textId="77777777" w:rsidR="00DF3320" w:rsidRPr="00DB749E" w:rsidRDefault="00CC4885" w:rsidP="00203D50">
            <w:r>
              <w:t>TRE Operations</w:t>
            </w:r>
          </w:p>
        </w:tc>
        <w:tc>
          <w:tcPr>
            <w:tcW w:w="1365" w:type="pct"/>
            <w:hideMark/>
          </w:tcPr>
          <w:p w14:paraId="1AD8AC52" w14:textId="77777777" w:rsidR="00DF3320" w:rsidRPr="00DB749E" w:rsidRDefault="00CC4885" w:rsidP="00203D50">
            <w:r>
              <w:t>There are 3 people within the TRE Operations team who can conduct content checking, and 2 people who can perform data transfers</w:t>
            </w:r>
          </w:p>
        </w:tc>
      </w:tr>
      <w:tr w:rsidR="0076580A" w14:paraId="550B9250" w14:textId="77777777" w:rsidTr="007F1F6B">
        <w:tc>
          <w:tcPr>
            <w:tcW w:w="1646" w:type="pct"/>
            <w:hideMark/>
          </w:tcPr>
          <w:p w14:paraId="0B535F18" w14:textId="77777777" w:rsidR="00DF3320" w:rsidRPr="00DB749E" w:rsidRDefault="00CC4885" w:rsidP="00203D50">
            <w:r>
              <w:rPr>
                <w:color w:val="000000"/>
                <w:lang w:eastAsia="en-GB"/>
              </w:rPr>
              <w:t xml:space="preserve">4: </w:t>
            </w:r>
            <w:r w:rsidRPr="00DB749E">
              <w:rPr>
                <w:color w:val="000000"/>
                <w:lang w:eastAsia="en-GB"/>
              </w:rPr>
              <w:t>Checksum (file signature) tests are completed for all new datasets</w:t>
            </w:r>
          </w:p>
        </w:tc>
        <w:tc>
          <w:tcPr>
            <w:tcW w:w="1142" w:type="pct"/>
          </w:tcPr>
          <w:p w14:paraId="1873D035" w14:textId="77777777" w:rsidR="00DF3320" w:rsidRPr="00DB749E" w:rsidRDefault="00CC4885" w:rsidP="00203D50">
            <w:r>
              <w:t>File integrity checks conducted and recorded in the asset register</w:t>
            </w:r>
          </w:p>
        </w:tc>
        <w:tc>
          <w:tcPr>
            <w:tcW w:w="847" w:type="pct"/>
          </w:tcPr>
          <w:p w14:paraId="2E075117" w14:textId="77777777" w:rsidR="00DF3320" w:rsidRPr="00DB749E" w:rsidRDefault="00CC4885" w:rsidP="00203D50">
            <w:r>
              <w:t>TRE Data Management process owner</w:t>
            </w:r>
          </w:p>
        </w:tc>
        <w:tc>
          <w:tcPr>
            <w:tcW w:w="1365" w:type="pct"/>
            <w:hideMark/>
          </w:tcPr>
          <w:p w14:paraId="69BEBAA7" w14:textId="77777777" w:rsidR="00DF3320" w:rsidRPr="00DB749E" w:rsidRDefault="00CC4885" w:rsidP="00203D50">
            <w:r>
              <w:t>TRE System Administrator</w:t>
            </w:r>
          </w:p>
        </w:tc>
      </w:tr>
      <w:tr w:rsidR="0076580A" w14:paraId="61A9F587" w14:textId="77777777" w:rsidTr="007F1F6B">
        <w:tc>
          <w:tcPr>
            <w:tcW w:w="1646" w:type="pct"/>
            <w:hideMark/>
          </w:tcPr>
          <w:p w14:paraId="37F8EFF7" w14:textId="77777777" w:rsidR="00DF3320" w:rsidRPr="00DB749E" w:rsidRDefault="00CC4885" w:rsidP="00203D50">
            <w:r w:rsidRPr="00DB749E">
              <w:t xml:space="preserve">5: </w:t>
            </w:r>
            <w:r w:rsidRPr="00164752">
              <w:rPr>
                <w:color w:val="000000"/>
                <w:lang w:eastAsia="en-GB"/>
              </w:rPr>
              <w:t xml:space="preserve">Availability – </w:t>
            </w:r>
            <w:r>
              <w:rPr>
                <w:color w:val="000000"/>
                <w:lang w:eastAsia="en-GB"/>
              </w:rPr>
              <w:t>TRE service availability 99% Mon-Fri 09:00 to 17:00 (excluding planned outages)</w:t>
            </w:r>
          </w:p>
        </w:tc>
        <w:tc>
          <w:tcPr>
            <w:tcW w:w="1142" w:type="pct"/>
          </w:tcPr>
          <w:p w14:paraId="641A9598" w14:textId="77777777" w:rsidR="00DF3320" w:rsidRPr="00DB749E" w:rsidRDefault="00CC4885" w:rsidP="00203D50">
            <w:r>
              <w:t>Each morning check to see that care TRE service are running OK</w:t>
            </w:r>
          </w:p>
        </w:tc>
        <w:tc>
          <w:tcPr>
            <w:tcW w:w="847" w:type="pct"/>
          </w:tcPr>
          <w:p w14:paraId="6AE9D144" w14:textId="77777777" w:rsidR="00DF3320" w:rsidRPr="00DB749E" w:rsidRDefault="00CC4885" w:rsidP="00203D50">
            <w:r>
              <w:t>TRE Operations</w:t>
            </w:r>
          </w:p>
        </w:tc>
        <w:tc>
          <w:tcPr>
            <w:tcW w:w="1365" w:type="pct"/>
            <w:hideMark/>
          </w:tcPr>
          <w:p w14:paraId="270E10DF" w14:textId="77777777" w:rsidR="00DF3320" w:rsidRPr="00DB749E" w:rsidRDefault="00CC4885" w:rsidP="00203D50">
            <w:r>
              <w:t>There are 3 people within the TRE Operations team who can conduct these checks</w:t>
            </w:r>
          </w:p>
        </w:tc>
      </w:tr>
      <w:tr w:rsidR="0076580A" w14:paraId="7E541BEE" w14:textId="77777777" w:rsidTr="007F1F6B">
        <w:tc>
          <w:tcPr>
            <w:tcW w:w="1646" w:type="pct"/>
          </w:tcPr>
          <w:p w14:paraId="503D36ED" w14:textId="77777777" w:rsidR="00DF3320" w:rsidRPr="00DB749E" w:rsidRDefault="00CC4885" w:rsidP="00203D50">
            <w:r>
              <w:t xml:space="preserve">5: </w:t>
            </w:r>
            <w:r w:rsidRPr="00164752">
              <w:t xml:space="preserve">All user queries to TRE support are </w:t>
            </w:r>
            <w:r>
              <w:t xml:space="preserve">acknowledged </w:t>
            </w:r>
            <w:r w:rsidRPr="00164752">
              <w:t>within 2</w:t>
            </w:r>
            <w:r>
              <w:t xml:space="preserve"> working days</w:t>
            </w:r>
          </w:p>
        </w:tc>
        <w:tc>
          <w:tcPr>
            <w:tcW w:w="1142" w:type="pct"/>
          </w:tcPr>
          <w:p w14:paraId="5770F7BD" w14:textId="77777777" w:rsidR="00DF3320" w:rsidRDefault="00CC4885" w:rsidP="00203D50">
            <w:r>
              <w:t xml:space="preserve">Check the TRE-Support mail box each morning, making initial response to TRE User within 2 working days and making sure </w:t>
            </w:r>
            <w:r>
              <w:lastRenderedPageBreak/>
              <w:t>there is ownership of the user’s query</w:t>
            </w:r>
          </w:p>
        </w:tc>
        <w:tc>
          <w:tcPr>
            <w:tcW w:w="847" w:type="pct"/>
          </w:tcPr>
          <w:p w14:paraId="23DCFF1B" w14:textId="77777777" w:rsidR="00DF3320" w:rsidRDefault="00CC4885" w:rsidP="00203D50">
            <w:r>
              <w:lastRenderedPageBreak/>
              <w:t>TRE Operations</w:t>
            </w:r>
          </w:p>
        </w:tc>
        <w:tc>
          <w:tcPr>
            <w:tcW w:w="1365" w:type="pct"/>
          </w:tcPr>
          <w:p w14:paraId="7033626E" w14:textId="77777777" w:rsidR="00DF3320" w:rsidRDefault="00CC4885" w:rsidP="00203D50">
            <w:r>
              <w:t>There are 3 people within the TRE Operations team who can conduct these checks</w:t>
            </w:r>
          </w:p>
        </w:tc>
      </w:tr>
      <w:tr w:rsidR="0076580A" w14:paraId="045C2BC8" w14:textId="77777777" w:rsidTr="007F1F6B">
        <w:tc>
          <w:tcPr>
            <w:tcW w:w="1646" w:type="pct"/>
            <w:hideMark/>
          </w:tcPr>
          <w:p w14:paraId="7BC070F8" w14:textId="77777777" w:rsidR="00DF3320" w:rsidRPr="00DB749E" w:rsidRDefault="00CC4885" w:rsidP="00203D50">
            <w:r w:rsidRPr="00DB749E">
              <w:t xml:space="preserve">6: </w:t>
            </w:r>
            <w:r w:rsidRPr="00164752">
              <w:rPr>
                <w:color w:val="000000"/>
                <w:lang w:eastAsia="en-GB"/>
              </w:rPr>
              <w:t xml:space="preserve">All security event assessments completed within </w:t>
            </w:r>
            <w:r>
              <w:rPr>
                <w:color w:val="000000"/>
                <w:lang w:eastAsia="en-GB"/>
              </w:rPr>
              <w:t>2 days</w:t>
            </w:r>
          </w:p>
        </w:tc>
        <w:tc>
          <w:tcPr>
            <w:tcW w:w="1142" w:type="pct"/>
          </w:tcPr>
          <w:p w14:paraId="20BACF82" w14:textId="77777777" w:rsidR="00DF3320" w:rsidRPr="00DB749E" w:rsidRDefault="00CC4885" w:rsidP="00203D50">
            <w:r>
              <w:t>Completing the triage process for new events</w:t>
            </w:r>
          </w:p>
        </w:tc>
        <w:tc>
          <w:tcPr>
            <w:tcW w:w="847" w:type="pct"/>
          </w:tcPr>
          <w:p w14:paraId="39B779FB" w14:textId="77777777" w:rsidR="00DF3320" w:rsidRPr="00DB749E" w:rsidRDefault="00CC4885" w:rsidP="00203D50">
            <w:r w:rsidRPr="00DB749E">
              <w:t>CHI-Incident Response Team</w:t>
            </w:r>
          </w:p>
        </w:tc>
        <w:tc>
          <w:tcPr>
            <w:tcW w:w="1365" w:type="pct"/>
            <w:hideMark/>
          </w:tcPr>
          <w:p w14:paraId="4ECF5E29" w14:textId="77777777" w:rsidR="00DF3320" w:rsidRPr="00DB749E" w:rsidRDefault="00CC4885" w:rsidP="00203D50">
            <w:r w:rsidRPr="00DB749E">
              <w:t>There is a rota to ensure someone is always pr</w:t>
            </w:r>
            <w:r>
              <w:t>esent to conduct these reviews</w:t>
            </w:r>
          </w:p>
        </w:tc>
      </w:tr>
      <w:tr w:rsidR="0076580A" w14:paraId="5AF89841" w14:textId="77777777" w:rsidTr="007F1F6B">
        <w:tc>
          <w:tcPr>
            <w:tcW w:w="1646" w:type="pct"/>
          </w:tcPr>
          <w:p w14:paraId="5F0845CF" w14:textId="77777777" w:rsidR="00DF3320" w:rsidRPr="00DB749E" w:rsidRDefault="00CC4885" w:rsidP="00203D50">
            <w:r>
              <w:t xml:space="preserve">6: </w:t>
            </w:r>
            <w:r>
              <w:rPr>
                <w:color w:val="000000"/>
                <w:lang w:eastAsia="en-GB"/>
              </w:rPr>
              <w:t>S</w:t>
            </w:r>
            <w:r w:rsidRPr="00164752">
              <w:rPr>
                <w:color w:val="000000"/>
                <w:lang w:eastAsia="en-GB"/>
              </w:rPr>
              <w:t xml:space="preserve">ecurity event action stages </w:t>
            </w:r>
            <w:r>
              <w:rPr>
                <w:color w:val="000000"/>
                <w:lang w:eastAsia="en-GB"/>
              </w:rPr>
              <w:t xml:space="preserve">are </w:t>
            </w:r>
            <w:r w:rsidRPr="00164752">
              <w:rPr>
                <w:color w:val="000000"/>
                <w:lang w:eastAsia="en-GB"/>
              </w:rPr>
              <w:t>closed within agreed timescales</w:t>
            </w:r>
          </w:p>
        </w:tc>
        <w:tc>
          <w:tcPr>
            <w:tcW w:w="1142" w:type="pct"/>
          </w:tcPr>
          <w:p w14:paraId="5B6B1234" w14:textId="77777777" w:rsidR="00DF3320" w:rsidRDefault="00CC4885" w:rsidP="00203D50">
            <w:r>
              <w:t>Making sure event actions stages are assigned to someone who has the necessary competency to resolve the issue, and that they are available to complete this task within the required timescale.</w:t>
            </w:r>
          </w:p>
        </w:tc>
        <w:tc>
          <w:tcPr>
            <w:tcW w:w="847" w:type="pct"/>
          </w:tcPr>
          <w:p w14:paraId="35A64655" w14:textId="77777777" w:rsidR="00DF3320" w:rsidRDefault="00CC4885" w:rsidP="00203D50">
            <w:r w:rsidRPr="00DB749E">
              <w:t>CHI-Incident Response Team</w:t>
            </w:r>
          </w:p>
        </w:tc>
        <w:tc>
          <w:tcPr>
            <w:tcW w:w="1365" w:type="pct"/>
          </w:tcPr>
          <w:p w14:paraId="46E504DE" w14:textId="77777777" w:rsidR="00DF3320" w:rsidRDefault="00CC4885" w:rsidP="00203D50">
            <w:r w:rsidRPr="00DB749E">
              <w:t>There is a rota to ensure someone is always pr</w:t>
            </w:r>
            <w:r>
              <w:t>esent to conduct these reviews</w:t>
            </w:r>
          </w:p>
        </w:tc>
      </w:tr>
    </w:tbl>
    <w:p w14:paraId="0DF5ED21" w14:textId="77777777" w:rsidR="00DF3320" w:rsidRPr="009C31C5" w:rsidRDefault="00C07D8C" w:rsidP="00203D50">
      <w:pPr>
        <w:pStyle w:val="ISMSNormal"/>
        <w:rPr>
          <w:lang w:val="en-GB"/>
        </w:rPr>
        <w:sectPr w:rsidR="00DF3320" w:rsidRPr="009C31C5" w:rsidSect="00767408">
          <w:headerReference w:type="even" r:id="rId16"/>
          <w:headerReference w:type="default" r:id="rId17"/>
          <w:footerReference w:type="default" r:id="rId18"/>
          <w:headerReference w:type="first" r:id="rId19"/>
          <w:pgSz w:w="16817" w:h="11901" w:orient="landscape"/>
          <w:pgMar w:top="1440" w:right="1440" w:bottom="1440" w:left="1440" w:header="709" w:footer="709" w:gutter="0"/>
          <w:cols w:space="708"/>
          <w:docGrid w:linePitch="360"/>
        </w:sectPr>
      </w:pPr>
    </w:p>
    <w:p w14:paraId="2E96B39A" w14:textId="77777777" w:rsidR="00DF3320" w:rsidRPr="005C0B3A" w:rsidRDefault="00CC4885" w:rsidP="00DF3320">
      <w:pPr>
        <w:pStyle w:val="ISMSHeading1"/>
      </w:pPr>
      <w:bookmarkStart w:id="113" w:name="_Toc256000111"/>
      <w:bookmarkStart w:id="114" w:name="_Toc256000102"/>
      <w:bookmarkStart w:id="115" w:name="_Toc256000093"/>
      <w:bookmarkStart w:id="116" w:name="_Toc256000090"/>
      <w:bookmarkStart w:id="117" w:name="_Toc256000081"/>
      <w:bookmarkStart w:id="118" w:name="_Toc256000072"/>
      <w:bookmarkStart w:id="119" w:name="_Toc256000064"/>
      <w:bookmarkStart w:id="120" w:name="_Toc256000056"/>
      <w:bookmarkStart w:id="121" w:name="_Toc256000048"/>
      <w:bookmarkStart w:id="122" w:name="_Toc256000040"/>
      <w:bookmarkStart w:id="123" w:name="_Toc256000032"/>
      <w:bookmarkStart w:id="124" w:name="_Toc256000024"/>
      <w:bookmarkStart w:id="125" w:name="_Toc256000022"/>
      <w:bookmarkStart w:id="126" w:name="_Toc256000016"/>
      <w:bookmarkStart w:id="127" w:name="_Toc256000004"/>
      <w:bookmarkStart w:id="128" w:name="_Toc481571064"/>
      <w:bookmarkStart w:id="129" w:name="_Toc490557915"/>
      <w:bookmarkStart w:id="130" w:name="_Toc497745642"/>
      <w:bookmarkStart w:id="131" w:name="_Toc511637475"/>
      <w:bookmarkStart w:id="132" w:name="_Toc523741929"/>
      <w:bookmarkStart w:id="133" w:name="_Toc958017"/>
      <w:r>
        <w:lastRenderedPageBreak/>
        <w:t>Cross-referenced ISMS Documents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sdt>
      <w:sdtPr>
        <w:tag w:val="QPulse_DocRelatedDocuments"/>
        <w:id w:val="1568377945"/>
        <w:lock w:val="contentLocked"/>
      </w:sdtPr>
      <w:sdtEndPr/>
      <w:sdtContent>
        <w:p w14:paraId="6674DFA7" w14:textId="77777777" w:rsidR="00DF3320" w:rsidRDefault="00C07D8C" w:rsidP="00203D50">
          <w:pPr>
            <w:pStyle w:val="ISMSNormal"/>
          </w:pPr>
        </w:p>
        <w:tbl>
          <w:tblPr>
            <w:tblStyle w:val="TableProfessional"/>
            <w:tblW w:w="0" w:type="auto"/>
            <w:tblLayout w:type="fixed"/>
            <w:tblLook w:val="04A0" w:firstRow="1" w:lastRow="0" w:firstColumn="1" w:lastColumn="0" w:noHBand="0" w:noVBand="1"/>
          </w:tblPr>
          <w:tblGrid>
            <w:gridCol w:w="3080"/>
            <w:gridCol w:w="3081"/>
            <w:gridCol w:w="3081"/>
          </w:tblGrid>
          <w:tr w:rsidR="0076580A" w14:paraId="5CBFC7BD" w14:textId="77777777" w:rsidTr="0076580A">
            <w:trPr>
              <w:cnfStyle w:val="100000000000" w:firstRow="1" w:lastRow="0" w:firstColumn="0" w:lastColumn="0" w:oddVBand="0" w:evenVBand="0" w:oddHBand="0" w:evenHBand="0" w:firstRowFirstColumn="0" w:firstRowLastColumn="0" w:lastRowFirstColumn="0" w:lastRowLastColumn="0"/>
            </w:trPr>
            <w:tc>
              <w:tcPr>
                <w:tcW w:w="3080" w:type="dxa"/>
              </w:tcPr>
              <w:p w14:paraId="2CB4F92A" w14:textId="77777777" w:rsidR="00DF3320" w:rsidRPr="00870129" w:rsidRDefault="00CC4885" w:rsidP="00203D50">
                <w:pPr>
                  <w:pStyle w:val="ISMSNormal"/>
                </w:pPr>
                <w:r>
                  <w:t>Number</w:t>
                </w:r>
              </w:p>
            </w:tc>
            <w:tc>
              <w:tcPr>
                <w:tcW w:w="3081" w:type="dxa"/>
              </w:tcPr>
              <w:p w14:paraId="35C77E86" w14:textId="77777777" w:rsidR="00DF3320" w:rsidRPr="00870129" w:rsidRDefault="00CC4885" w:rsidP="00203D50">
                <w:pPr>
                  <w:pStyle w:val="ISMSNormal"/>
                </w:pPr>
                <w:r>
                  <w:t>Type</w:t>
                </w:r>
              </w:p>
            </w:tc>
            <w:tc>
              <w:tcPr>
                <w:tcW w:w="3081" w:type="dxa"/>
              </w:tcPr>
              <w:p w14:paraId="414DB259" w14:textId="77777777" w:rsidR="00DF3320" w:rsidRPr="00870129" w:rsidRDefault="00CC4885" w:rsidP="00203D50">
                <w:pPr>
                  <w:pStyle w:val="ISMSNormal"/>
                </w:pPr>
                <w:r>
                  <w:t>Title</w:t>
                </w:r>
              </w:p>
            </w:tc>
          </w:tr>
          <w:tr w:rsidR="0076580A" w14:paraId="26AE2C00" w14:textId="77777777" w:rsidTr="007658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45E7B78" w14:textId="77777777" w:rsidR="0076580A" w:rsidRDefault="00CC4885">
                <w:r>
                  <w:t>ISMS-02-10</w:t>
                </w:r>
              </w:p>
            </w:tc>
            <w:tc>
              <w:tcPr>
                <w:tcW w:w="360" w:type="dxa"/>
              </w:tcPr>
              <w:p w14:paraId="77B39451" w14:textId="77777777" w:rsidR="0076580A" w:rsidRDefault="00CC4885">
                <w:r>
                  <w:t>ISMS\Policy &amp; Guidance\ISMS Management - policy &amp; guidance</w:t>
                </w:r>
              </w:p>
            </w:tc>
            <w:tc>
              <w:tcPr>
                <w:tcW w:w="360" w:type="dxa"/>
              </w:tcPr>
              <w:p w14:paraId="3F4DCC94" w14:textId="77777777" w:rsidR="0076580A" w:rsidRDefault="00CC4885">
                <w:r>
                  <w:t>ISMS Manual</w:t>
                </w:r>
              </w:p>
            </w:tc>
          </w:tr>
          <w:tr w:rsidR="0076580A" w14:paraId="74110D92" w14:textId="77777777" w:rsidTr="007658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2DAB480" w14:textId="77777777" w:rsidR="0076580A" w:rsidRDefault="00CC4885">
                <w:r>
                  <w:t>ISMS-02-10</w:t>
                </w:r>
              </w:p>
            </w:tc>
            <w:tc>
              <w:tcPr>
                <w:tcW w:w="360" w:type="dxa"/>
              </w:tcPr>
              <w:p w14:paraId="1B4B4454" w14:textId="77777777" w:rsidR="0076580A" w:rsidRDefault="00CC4885">
                <w:r>
                  <w:t>ISMS\Policy &amp; Guidance\ISMS Management - policy &amp; guidance</w:t>
                </w:r>
              </w:p>
            </w:tc>
            <w:tc>
              <w:tcPr>
                <w:tcW w:w="360" w:type="dxa"/>
              </w:tcPr>
              <w:p w14:paraId="31891C57" w14:textId="77777777" w:rsidR="0076580A" w:rsidRDefault="00CC4885">
                <w:r>
                  <w:t>ISMS Manual</w:t>
                </w:r>
              </w:p>
            </w:tc>
          </w:tr>
          <w:tr w:rsidR="0076580A" w14:paraId="5F4A2A6F" w14:textId="77777777" w:rsidTr="007658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D427D52" w14:textId="77777777" w:rsidR="0076580A" w:rsidRDefault="00CC4885">
                <w:r>
                  <w:t>ISMS-04-01</w:t>
                </w:r>
              </w:p>
            </w:tc>
            <w:tc>
              <w:tcPr>
                <w:tcW w:w="360" w:type="dxa"/>
              </w:tcPr>
              <w:p w14:paraId="0ACE8032" w14:textId="77777777" w:rsidR="0076580A" w:rsidRDefault="00CC4885">
                <w:r>
                  <w:t>ISMS\Policy &amp; Guidance\ISMS Improvement - policy &amp; guidance</w:t>
                </w:r>
              </w:p>
            </w:tc>
            <w:tc>
              <w:tcPr>
                <w:tcW w:w="360" w:type="dxa"/>
              </w:tcPr>
              <w:p w14:paraId="2F18A3A1" w14:textId="77777777" w:rsidR="0076580A" w:rsidRDefault="00CC4885">
                <w:r>
                  <w:t>ISMS Management Review</w:t>
                </w:r>
              </w:p>
            </w:tc>
          </w:tr>
          <w:tr w:rsidR="0076580A" w14:paraId="1871FA55" w14:textId="77777777" w:rsidTr="007658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3B4AC116" w14:textId="77777777" w:rsidR="0076580A" w:rsidRDefault="00CC4885">
                <w:r>
                  <w:t>SOP-04-04</w:t>
                </w:r>
              </w:p>
            </w:tc>
            <w:tc>
              <w:tcPr>
                <w:tcW w:w="360" w:type="dxa"/>
              </w:tcPr>
              <w:p w14:paraId="3DDE3DE3" w14:textId="77777777" w:rsidR="0076580A" w:rsidRDefault="00CC4885">
                <w:r>
                  <w:t>ISMS\SOP\ISMS Improvement - SOP</w:t>
                </w:r>
              </w:p>
            </w:tc>
            <w:tc>
              <w:tcPr>
                <w:tcW w:w="360" w:type="dxa"/>
              </w:tcPr>
              <w:p w14:paraId="11F8FF97" w14:textId="77777777" w:rsidR="0076580A" w:rsidRDefault="00CC4885">
                <w:r>
                  <w:t>ISMS Measurement and Monitoring</w:t>
                </w:r>
              </w:p>
            </w:tc>
          </w:tr>
        </w:tbl>
        <w:p w14:paraId="679D4460" w14:textId="77777777" w:rsidR="00DF3320" w:rsidRPr="00766C7E" w:rsidRDefault="00C07D8C" w:rsidP="00203D50">
          <w:pPr>
            <w:pStyle w:val="ISMSNormal"/>
          </w:pPr>
        </w:p>
      </w:sdtContent>
    </w:sdt>
    <w:p w14:paraId="17550B3E" w14:textId="77777777" w:rsidR="00DF3320" w:rsidRPr="005A3FBF" w:rsidRDefault="00C07D8C" w:rsidP="00203D50">
      <w:pPr>
        <w:pStyle w:val="ISMSNormal"/>
        <w:rPr>
          <w:b/>
        </w:rPr>
      </w:pPr>
    </w:p>
    <w:p w14:paraId="349D005F" w14:textId="77777777" w:rsidR="00DF3320" w:rsidRPr="005C0B3A" w:rsidRDefault="00CC4885" w:rsidP="00DF3320">
      <w:pPr>
        <w:pStyle w:val="ISMSHeading1"/>
      </w:pPr>
      <w:bookmarkStart w:id="134" w:name="_Toc256000112"/>
      <w:bookmarkStart w:id="135" w:name="_Toc256000103"/>
      <w:bookmarkStart w:id="136" w:name="_Toc256000094"/>
      <w:bookmarkStart w:id="137" w:name="_Toc256000091"/>
      <w:bookmarkStart w:id="138" w:name="_Toc256000082"/>
      <w:bookmarkStart w:id="139" w:name="_Toc256000073"/>
      <w:bookmarkStart w:id="140" w:name="_Toc256000065"/>
      <w:bookmarkStart w:id="141" w:name="_Toc256000057"/>
      <w:bookmarkStart w:id="142" w:name="_Toc256000049"/>
      <w:bookmarkStart w:id="143" w:name="_Toc256000041"/>
      <w:bookmarkStart w:id="144" w:name="_Toc256000033"/>
      <w:bookmarkStart w:id="145" w:name="_Toc256000025"/>
      <w:bookmarkStart w:id="146" w:name="_Toc256000023"/>
      <w:bookmarkStart w:id="147" w:name="_Toc256000017"/>
      <w:bookmarkStart w:id="148" w:name="_Toc256000005"/>
      <w:bookmarkStart w:id="149" w:name="_Toc481571065"/>
      <w:bookmarkStart w:id="150" w:name="_Toc490557916"/>
      <w:bookmarkStart w:id="151" w:name="_Toc497745643"/>
      <w:bookmarkStart w:id="152" w:name="_Toc511637476"/>
      <w:bookmarkStart w:id="153" w:name="_Toc523741930"/>
      <w:bookmarkStart w:id="154" w:name="_Toc958018"/>
      <w:r w:rsidRPr="005C0B3A">
        <w:t>Appendices</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062414DB" w14:textId="77777777" w:rsidR="002C7566" w:rsidRDefault="00CC4885" w:rsidP="007F1F6B">
      <w:pPr>
        <w:pStyle w:val="ISMSNormal"/>
      </w:pPr>
      <w:r w:rsidRPr="00766C7E">
        <w:t>None</w:t>
      </w:r>
    </w:p>
    <w:sectPr w:rsidR="002C7566" w:rsidSect="007F1F6B">
      <w:headerReference w:type="even" r:id="rId20"/>
      <w:headerReference w:type="default" r:id="rId21"/>
      <w:footerReference w:type="even" r:id="rId22"/>
      <w:footerReference w:type="default" r:id="rId23"/>
      <w:headerReference w:type="first" r:id="rId24"/>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744EC" w14:textId="77777777" w:rsidR="00C07D8C" w:rsidRDefault="00C07D8C">
      <w:r>
        <w:separator/>
      </w:r>
    </w:p>
  </w:endnote>
  <w:endnote w:type="continuationSeparator" w:id="0">
    <w:p w14:paraId="4928F19C" w14:textId="77777777" w:rsidR="00C07D8C" w:rsidRDefault="00C07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DFBF7" w14:textId="77777777" w:rsidR="007F1F6B" w:rsidRDefault="00C07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9DA9" w14:textId="77777777" w:rsidR="007F1F6B" w:rsidRDefault="00C07D8C" w:rsidP="007F1F6B">
    <w:pPr>
      <w:pBdr>
        <w:bottom w:val="single" w:sz="6" w:space="1" w:color="auto"/>
      </w:pBdr>
      <w:spacing w:before="60"/>
      <w:rPr>
        <w:rFonts w:asciiTheme="minorHAnsi" w:hAnsiTheme="minorHAnsi" w:cstheme="minorHAnsi"/>
      </w:rPr>
    </w:pPr>
  </w:p>
  <w:p w14:paraId="25E42633" w14:textId="77777777" w:rsidR="007F1F6B" w:rsidRPr="002E4D92" w:rsidRDefault="00CC4885" w:rsidP="007F1F6B">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ISMS-02-12</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Information Security Measures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2.8</w:t>
    </w:r>
    <w:r w:rsidRPr="002E4D92">
      <w:rPr>
        <w:rFonts w:cstheme="minorHAnsi"/>
      </w:rPr>
      <w:fldChar w:fldCharType="end"/>
    </w:r>
    <w:r w:rsidRPr="002E4D92">
      <w:rPr>
        <w:rStyle w:val="PageNumber"/>
        <w:rFonts w:cstheme="minorHAnsi"/>
      </w:rPr>
      <w:t xml:space="preserve"> </w:t>
    </w:r>
  </w:p>
  <w:p w14:paraId="3C9A4925" w14:textId="77777777" w:rsidR="00DF3320" w:rsidRPr="00E97A29" w:rsidRDefault="00CC4885" w:rsidP="007F1F6B">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09 May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2</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7</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4C93" w14:textId="77777777" w:rsidR="007F1F6B" w:rsidRDefault="00C07D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9E421" w14:textId="77777777" w:rsidR="007F1F6B" w:rsidRDefault="00C07D8C" w:rsidP="007F1F6B">
    <w:pPr>
      <w:pBdr>
        <w:bottom w:val="single" w:sz="6" w:space="1" w:color="auto"/>
      </w:pBdr>
      <w:spacing w:before="60"/>
      <w:rPr>
        <w:rFonts w:asciiTheme="minorHAnsi" w:hAnsiTheme="minorHAnsi" w:cstheme="minorHAnsi"/>
      </w:rPr>
    </w:pPr>
  </w:p>
  <w:p w14:paraId="04D18E4C" w14:textId="77777777" w:rsidR="007F1F6B" w:rsidRPr="002E4D92" w:rsidRDefault="00CC4885" w:rsidP="007F1F6B">
    <w:pPr>
      <w:tabs>
        <w:tab w:val="right" w:pos="13948"/>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ISMS-02-12</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Information Security Measures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2.8</w:t>
    </w:r>
    <w:r w:rsidRPr="002E4D92">
      <w:rPr>
        <w:rFonts w:cstheme="minorHAnsi"/>
      </w:rPr>
      <w:fldChar w:fldCharType="end"/>
    </w:r>
    <w:r w:rsidRPr="002E4D92">
      <w:rPr>
        <w:rStyle w:val="PageNumber"/>
        <w:rFonts w:cstheme="minorHAnsi"/>
      </w:rPr>
      <w:t xml:space="preserve"> </w:t>
    </w:r>
  </w:p>
  <w:p w14:paraId="764CB7F2" w14:textId="77777777" w:rsidR="007F1F6B" w:rsidRPr="00E97A29" w:rsidRDefault="00CC4885" w:rsidP="007F1F6B">
    <w:pPr>
      <w:tabs>
        <w:tab w:val="right" w:pos="13948"/>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09 May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4</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7</w:t>
    </w:r>
    <w:r w:rsidRPr="002E4D92">
      <w:rPr>
        <w:rStyle w:val="PageNumber"/>
        <w:rFonts w:cstheme="minorHAns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3C4E5" w14:textId="77777777" w:rsidR="00FA444A" w:rsidRDefault="00C07D8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4FED7" w14:textId="77777777" w:rsidR="008C17CD" w:rsidRDefault="00C07D8C" w:rsidP="008C17CD">
    <w:pPr>
      <w:pBdr>
        <w:bottom w:val="single" w:sz="6" w:space="1" w:color="auto"/>
      </w:pBdr>
      <w:spacing w:before="60"/>
      <w:rPr>
        <w:rFonts w:asciiTheme="minorHAnsi" w:hAnsiTheme="minorHAnsi" w:cstheme="minorHAnsi"/>
      </w:rPr>
    </w:pPr>
  </w:p>
  <w:p w14:paraId="3A015DB7" w14:textId="77777777" w:rsidR="008C17CD" w:rsidRPr="002E4D92" w:rsidRDefault="00CC4885"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ISMS-02-12</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Information Security Measures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2.8</w:t>
    </w:r>
    <w:r w:rsidRPr="002E4D92">
      <w:rPr>
        <w:rFonts w:cstheme="minorHAnsi"/>
      </w:rPr>
      <w:fldChar w:fldCharType="end"/>
    </w:r>
    <w:r w:rsidRPr="002E4D92">
      <w:rPr>
        <w:rStyle w:val="PageNumber"/>
        <w:rFonts w:cstheme="minorHAnsi"/>
      </w:rPr>
      <w:t xml:space="preserve"> </w:t>
    </w:r>
  </w:p>
  <w:p w14:paraId="617506A0" w14:textId="77777777" w:rsidR="008C17CD" w:rsidRPr="002E4D92" w:rsidRDefault="00CC4885"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09 May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7</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7</w:t>
    </w:r>
    <w:r w:rsidRPr="002E4D92">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EC9B4" w14:textId="77777777" w:rsidR="00C07D8C" w:rsidRDefault="00C07D8C">
      <w:r>
        <w:separator/>
      </w:r>
    </w:p>
  </w:footnote>
  <w:footnote w:type="continuationSeparator" w:id="0">
    <w:p w14:paraId="4074555A" w14:textId="77777777" w:rsidR="00C07D8C" w:rsidRDefault="00C07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A4EB" w14:textId="77777777" w:rsidR="00DF3320" w:rsidRDefault="00C07D8C">
    <w:pPr>
      <w:pStyle w:val="Header"/>
    </w:pPr>
    <w:r>
      <w:rPr>
        <w:noProof/>
      </w:rPr>
      <w:pict w14:anchorId="7B610A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29" o:spid="_x0000_s2057" type="#_x0000_t136" alt="" style="position:absolute;margin-left:0;margin-top:0;width:586.95pt;height:48.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1C5CD" w14:textId="77777777" w:rsidR="007F1F6B" w:rsidRDefault="00C07D8C">
    <w:pPr>
      <w:pStyle w:val="Header"/>
    </w:pPr>
    <w:r>
      <w:rPr>
        <w:noProof/>
      </w:rPr>
      <w:pict w14:anchorId="402A62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30" o:spid="_x0000_s2056" type="#_x0000_t136" alt="" style="position:absolute;margin-left:0;margin-top:0;width:586.95pt;height:48.9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1F62" w14:textId="77777777" w:rsidR="007F1F6B" w:rsidRDefault="00C07D8C">
    <w:pPr>
      <w:pStyle w:val="Header"/>
    </w:pPr>
    <w:r>
      <w:rPr>
        <w:noProof/>
      </w:rPr>
      <w:pict w14:anchorId="5C1342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28" o:spid="_x0000_s2055" type="#_x0000_t136" alt="" style="position:absolute;margin-left:0;margin-top:0;width:586.9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A96C8" w14:textId="77777777" w:rsidR="007F1F6B" w:rsidRDefault="00C07D8C">
    <w:pPr>
      <w:pStyle w:val="Header"/>
    </w:pPr>
    <w:r>
      <w:rPr>
        <w:noProof/>
      </w:rPr>
      <w:pict w14:anchorId="39D2FE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32" o:spid="_x0000_s2054" type="#_x0000_t136" alt="" style="position:absolute;margin-left:0;margin-top:0;width:586.95pt;height:48.9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7823D" w14:textId="77777777" w:rsidR="00DF3320" w:rsidRPr="00E97A29" w:rsidRDefault="00C07D8C" w:rsidP="00E97A29">
    <w:pPr>
      <w:pStyle w:val="Header"/>
    </w:pPr>
    <w:r>
      <w:rPr>
        <w:noProof/>
      </w:rPr>
      <w:pict w14:anchorId="6FB0D0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33" o:spid="_x0000_s2053" type="#_x0000_t136" alt="" style="position:absolute;margin-left:0;margin-top:0;width:586.95pt;height:48.9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DAB5E" w14:textId="77777777" w:rsidR="00DF3320" w:rsidRDefault="00C07D8C">
    <w:pPr>
      <w:pStyle w:val="Header"/>
    </w:pPr>
    <w:r>
      <w:rPr>
        <w:noProof/>
      </w:rPr>
      <w:pict w14:anchorId="6BFA0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31" o:spid="_x0000_s2052" type="#_x0000_t136" alt="" style="position:absolute;margin-left:0;margin-top:0;width:586.95pt;height:48.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r w:rsidR="00CC4885">
      <w:rPr>
        <w:noProof/>
        <w:lang w:eastAsia="en-GB"/>
      </w:rPr>
      <mc:AlternateContent>
        <mc:Choice Requires="wps">
          <w:drawing>
            <wp:anchor distT="0" distB="0" distL="114300" distR="114300" simplePos="0" relativeHeight="251658240" behindDoc="1" locked="0" layoutInCell="0" allowOverlap="1" wp14:anchorId="7B3430D1" wp14:editId="1C41C3EE">
              <wp:simplePos x="0" y="0"/>
              <wp:positionH relativeFrom="margin">
                <wp:align>center</wp:align>
              </wp:positionH>
              <wp:positionV relativeFrom="margin">
                <wp:align>center</wp:align>
              </wp:positionV>
              <wp:extent cx="6419850" cy="523875"/>
              <wp:effectExtent l="0" t="2095500" r="0" b="2047875"/>
              <wp:wrapNone/>
              <wp:docPr id="4" name="WordArt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19850" cy="5238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4A3F92" w14:textId="77777777" w:rsidR="00DF3320" w:rsidRDefault="00CC4885" w:rsidP="00542709">
                          <w:pPr>
                            <w:pStyle w:val="NormalWeb"/>
                            <w:spacing w:before="0" w:beforeAutospacing="0" w:after="0" w:afterAutospacing="0"/>
                            <w:jc w:val="center"/>
                          </w:pPr>
                          <w:r>
                            <w:rPr>
                              <w:rFonts w:ascii="Arial" w:hAnsi="Arial" w:cs="Arial"/>
                              <w:color w:val="D8D8D8"/>
                              <w:sz w:val="72"/>
                              <w:szCs w:val="72"/>
                            </w:rPr>
                            <w:t>UNCONTROLLED IF PRINTED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B3430D1" id="_x0000_t202" coordsize="21600,21600" o:spt="202" path="m,l,21600r21600,l21600,xe">
              <v:stroke joinstyle="miter"/>
              <v:path gradientshapeok="t" o:connecttype="rect"/>
            </v:shapetype>
            <v:shape id="WordArt 1029" o:spid="_x0000_s1026" type="#_x0000_t202" style="position:absolute;margin-left:0;margin-top:0;width:505.5pt;height:41.2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" o:allowincell="f" filled="f" stroked="f">
              <v:stroke joinstyle="round"/>
              <o:lock v:ext="edit" shapetype="t"/>
              <v:textbox style="mso-fit-shape-to-text:t">
                <w:txbxContent>
                  <w:p w14:paraId="544A3F92" w14:textId="77777777" w:rsidR="00DF3320" w:rsidRDefault="00CC4885" w:rsidP="00542709">
                    <w:pPr>
                      <w:pStyle w:val="NormalWeb"/>
                      <w:spacing w:before="0" w:beforeAutospacing="0" w:after="0" w:afterAutospacing="0"/>
                      <w:jc w:val="center"/>
                    </w:pPr>
                    <w:r>
                      <w:rPr>
                        <w:rFonts w:ascii="Arial" w:hAnsi="Arial" w:cs="Arial"/>
                        <w:color w:val="D8D8D8"/>
                        <w:sz w:val="72"/>
                        <w:szCs w:val="72"/>
                      </w:rPr>
                      <w:t>UNCONTROLLED IF PRINTED</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4BDEC" w14:textId="77777777" w:rsidR="002E4D92" w:rsidRDefault="00C07D8C">
    <w:pPr>
      <w:pStyle w:val="Header"/>
    </w:pPr>
    <w:r>
      <w:rPr>
        <w:noProof/>
      </w:rPr>
      <w:pict w14:anchorId="22063A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35" o:spid="_x0000_s2051" type="#_x0000_t136" alt="" style="position:absolute;margin-left:0;margin-top:0;width:586.95pt;height:48.9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DCD70" w14:textId="77777777" w:rsidR="002E4D92" w:rsidRDefault="00C07D8C">
    <w:pPr>
      <w:pStyle w:val="Header"/>
    </w:pPr>
    <w:r>
      <w:rPr>
        <w:noProof/>
      </w:rPr>
      <w:pict w14:anchorId="0DC0BD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36" o:spid="_x0000_s2050" type="#_x0000_t136" alt="" style="position:absolute;margin-left:0;margin-top:0;width:586.95pt;height:48.9pt;rotation:315;z-index:-25164800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322F0" w14:textId="77777777" w:rsidR="002E4D92" w:rsidRDefault="00C07D8C">
    <w:pPr>
      <w:pStyle w:val="Header"/>
    </w:pPr>
    <w:r>
      <w:rPr>
        <w:noProof/>
      </w:rPr>
      <w:pict w14:anchorId="747206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33334" o:spid="_x0000_s2049" type="#_x0000_t136" alt="" style="position:absolute;margin-left:0;margin-top:0;width:586.95pt;height:48.9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220C9E62">
      <w:start w:val="5"/>
      <w:numFmt w:val="bullet"/>
      <w:lvlText w:val="-"/>
      <w:lvlJc w:val="left"/>
      <w:pPr>
        <w:ind w:left="720" w:hanging="360"/>
      </w:pPr>
      <w:rPr>
        <w:rFonts w:ascii="Arial" w:eastAsia="Times New Roman" w:hAnsi="Arial" w:cs="Arial" w:hint="default"/>
      </w:rPr>
    </w:lvl>
    <w:lvl w:ilvl="1" w:tplc="A3FEE83E" w:tentative="1">
      <w:start w:val="1"/>
      <w:numFmt w:val="bullet"/>
      <w:lvlText w:val="o"/>
      <w:lvlJc w:val="left"/>
      <w:pPr>
        <w:ind w:left="1440" w:hanging="360"/>
      </w:pPr>
      <w:rPr>
        <w:rFonts w:ascii="Courier New" w:hAnsi="Courier New" w:cs="Courier New" w:hint="default"/>
      </w:rPr>
    </w:lvl>
    <w:lvl w:ilvl="2" w:tplc="1DD6E850" w:tentative="1">
      <w:start w:val="1"/>
      <w:numFmt w:val="bullet"/>
      <w:lvlText w:val=""/>
      <w:lvlJc w:val="left"/>
      <w:pPr>
        <w:ind w:left="2160" w:hanging="360"/>
      </w:pPr>
      <w:rPr>
        <w:rFonts w:ascii="Wingdings" w:hAnsi="Wingdings" w:hint="default"/>
      </w:rPr>
    </w:lvl>
    <w:lvl w:ilvl="3" w:tplc="03AE9252" w:tentative="1">
      <w:start w:val="1"/>
      <w:numFmt w:val="bullet"/>
      <w:lvlText w:val=""/>
      <w:lvlJc w:val="left"/>
      <w:pPr>
        <w:ind w:left="2880" w:hanging="360"/>
      </w:pPr>
      <w:rPr>
        <w:rFonts w:ascii="Symbol" w:hAnsi="Symbol" w:hint="default"/>
      </w:rPr>
    </w:lvl>
    <w:lvl w:ilvl="4" w:tplc="DC122E40" w:tentative="1">
      <w:start w:val="1"/>
      <w:numFmt w:val="bullet"/>
      <w:lvlText w:val="o"/>
      <w:lvlJc w:val="left"/>
      <w:pPr>
        <w:ind w:left="3600" w:hanging="360"/>
      </w:pPr>
      <w:rPr>
        <w:rFonts w:ascii="Courier New" w:hAnsi="Courier New" w:cs="Courier New" w:hint="default"/>
      </w:rPr>
    </w:lvl>
    <w:lvl w:ilvl="5" w:tplc="D5362042" w:tentative="1">
      <w:start w:val="1"/>
      <w:numFmt w:val="bullet"/>
      <w:lvlText w:val=""/>
      <w:lvlJc w:val="left"/>
      <w:pPr>
        <w:ind w:left="4320" w:hanging="360"/>
      </w:pPr>
      <w:rPr>
        <w:rFonts w:ascii="Wingdings" w:hAnsi="Wingdings" w:hint="default"/>
      </w:rPr>
    </w:lvl>
    <w:lvl w:ilvl="6" w:tplc="0CEAC846" w:tentative="1">
      <w:start w:val="1"/>
      <w:numFmt w:val="bullet"/>
      <w:lvlText w:val=""/>
      <w:lvlJc w:val="left"/>
      <w:pPr>
        <w:ind w:left="5040" w:hanging="360"/>
      </w:pPr>
      <w:rPr>
        <w:rFonts w:ascii="Symbol" w:hAnsi="Symbol" w:hint="default"/>
      </w:rPr>
    </w:lvl>
    <w:lvl w:ilvl="7" w:tplc="98C8B752" w:tentative="1">
      <w:start w:val="1"/>
      <w:numFmt w:val="bullet"/>
      <w:lvlText w:val="o"/>
      <w:lvlJc w:val="left"/>
      <w:pPr>
        <w:ind w:left="5760" w:hanging="360"/>
      </w:pPr>
      <w:rPr>
        <w:rFonts w:ascii="Courier New" w:hAnsi="Courier New" w:cs="Courier New" w:hint="default"/>
      </w:rPr>
    </w:lvl>
    <w:lvl w:ilvl="8" w:tplc="6DC0C9CE"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C7463E7E">
      <w:start w:val="1"/>
      <w:numFmt w:val="decimal"/>
      <w:pStyle w:val="Heading2"/>
      <w:lvlText w:val="%1."/>
      <w:lvlJc w:val="left"/>
      <w:pPr>
        <w:ind w:left="5760" w:hanging="360"/>
      </w:pPr>
    </w:lvl>
    <w:lvl w:ilvl="1" w:tplc="D9FEA472" w:tentative="1">
      <w:start w:val="1"/>
      <w:numFmt w:val="lowerLetter"/>
      <w:lvlText w:val="%2."/>
      <w:lvlJc w:val="left"/>
      <w:pPr>
        <w:ind w:left="6480" w:hanging="360"/>
      </w:pPr>
    </w:lvl>
    <w:lvl w:ilvl="2" w:tplc="224ACF1E" w:tentative="1">
      <w:start w:val="1"/>
      <w:numFmt w:val="lowerRoman"/>
      <w:lvlText w:val="%3."/>
      <w:lvlJc w:val="right"/>
      <w:pPr>
        <w:ind w:left="7200" w:hanging="180"/>
      </w:pPr>
    </w:lvl>
    <w:lvl w:ilvl="3" w:tplc="3E8A8552" w:tentative="1">
      <w:start w:val="1"/>
      <w:numFmt w:val="decimal"/>
      <w:lvlText w:val="%4."/>
      <w:lvlJc w:val="left"/>
      <w:pPr>
        <w:ind w:left="7920" w:hanging="360"/>
      </w:pPr>
    </w:lvl>
    <w:lvl w:ilvl="4" w:tplc="3C8C4CC4" w:tentative="1">
      <w:start w:val="1"/>
      <w:numFmt w:val="lowerLetter"/>
      <w:lvlText w:val="%5."/>
      <w:lvlJc w:val="left"/>
      <w:pPr>
        <w:ind w:left="8640" w:hanging="360"/>
      </w:pPr>
    </w:lvl>
    <w:lvl w:ilvl="5" w:tplc="5F7EF39A" w:tentative="1">
      <w:start w:val="1"/>
      <w:numFmt w:val="lowerRoman"/>
      <w:lvlText w:val="%6."/>
      <w:lvlJc w:val="right"/>
      <w:pPr>
        <w:ind w:left="9360" w:hanging="180"/>
      </w:pPr>
    </w:lvl>
    <w:lvl w:ilvl="6" w:tplc="F36E7752" w:tentative="1">
      <w:start w:val="1"/>
      <w:numFmt w:val="decimal"/>
      <w:lvlText w:val="%7."/>
      <w:lvlJc w:val="left"/>
      <w:pPr>
        <w:ind w:left="10080" w:hanging="360"/>
      </w:pPr>
    </w:lvl>
    <w:lvl w:ilvl="7" w:tplc="F952602A" w:tentative="1">
      <w:start w:val="1"/>
      <w:numFmt w:val="lowerLetter"/>
      <w:lvlText w:val="%8."/>
      <w:lvlJc w:val="left"/>
      <w:pPr>
        <w:ind w:left="10800" w:hanging="360"/>
      </w:pPr>
    </w:lvl>
    <w:lvl w:ilvl="8" w:tplc="C2DE3A0A"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5652E4A2">
      <w:start w:val="1"/>
      <w:numFmt w:val="bullet"/>
      <w:lvlText w:val=""/>
      <w:lvlJc w:val="left"/>
      <w:pPr>
        <w:ind w:left="720" w:hanging="360"/>
      </w:pPr>
      <w:rPr>
        <w:rFonts w:ascii="Symbol" w:hAnsi="Symbol" w:hint="default"/>
      </w:rPr>
    </w:lvl>
    <w:lvl w:ilvl="1" w:tplc="D842FA46" w:tentative="1">
      <w:start w:val="1"/>
      <w:numFmt w:val="bullet"/>
      <w:lvlText w:val="o"/>
      <w:lvlJc w:val="left"/>
      <w:pPr>
        <w:ind w:left="1440" w:hanging="360"/>
      </w:pPr>
      <w:rPr>
        <w:rFonts w:ascii="Courier New" w:hAnsi="Courier New" w:hint="default"/>
      </w:rPr>
    </w:lvl>
    <w:lvl w:ilvl="2" w:tplc="EF8427B2" w:tentative="1">
      <w:start w:val="1"/>
      <w:numFmt w:val="bullet"/>
      <w:lvlText w:val=""/>
      <w:lvlJc w:val="left"/>
      <w:pPr>
        <w:ind w:left="2160" w:hanging="360"/>
      </w:pPr>
      <w:rPr>
        <w:rFonts w:ascii="Wingdings" w:hAnsi="Wingdings" w:hint="default"/>
      </w:rPr>
    </w:lvl>
    <w:lvl w:ilvl="3" w:tplc="4C082590" w:tentative="1">
      <w:start w:val="1"/>
      <w:numFmt w:val="bullet"/>
      <w:lvlText w:val=""/>
      <w:lvlJc w:val="left"/>
      <w:pPr>
        <w:ind w:left="2880" w:hanging="360"/>
      </w:pPr>
      <w:rPr>
        <w:rFonts w:ascii="Symbol" w:hAnsi="Symbol" w:hint="default"/>
      </w:rPr>
    </w:lvl>
    <w:lvl w:ilvl="4" w:tplc="70F2683E" w:tentative="1">
      <w:start w:val="1"/>
      <w:numFmt w:val="bullet"/>
      <w:lvlText w:val="o"/>
      <w:lvlJc w:val="left"/>
      <w:pPr>
        <w:ind w:left="3600" w:hanging="360"/>
      </w:pPr>
      <w:rPr>
        <w:rFonts w:ascii="Courier New" w:hAnsi="Courier New" w:hint="default"/>
      </w:rPr>
    </w:lvl>
    <w:lvl w:ilvl="5" w:tplc="6A9E98EE" w:tentative="1">
      <w:start w:val="1"/>
      <w:numFmt w:val="bullet"/>
      <w:lvlText w:val=""/>
      <w:lvlJc w:val="left"/>
      <w:pPr>
        <w:ind w:left="4320" w:hanging="360"/>
      </w:pPr>
      <w:rPr>
        <w:rFonts w:ascii="Wingdings" w:hAnsi="Wingdings" w:hint="default"/>
      </w:rPr>
    </w:lvl>
    <w:lvl w:ilvl="6" w:tplc="70CEED40" w:tentative="1">
      <w:start w:val="1"/>
      <w:numFmt w:val="bullet"/>
      <w:lvlText w:val=""/>
      <w:lvlJc w:val="left"/>
      <w:pPr>
        <w:ind w:left="5040" w:hanging="360"/>
      </w:pPr>
      <w:rPr>
        <w:rFonts w:ascii="Symbol" w:hAnsi="Symbol" w:hint="default"/>
      </w:rPr>
    </w:lvl>
    <w:lvl w:ilvl="7" w:tplc="736A3A08" w:tentative="1">
      <w:start w:val="1"/>
      <w:numFmt w:val="bullet"/>
      <w:lvlText w:val="o"/>
      <w:lvlJc w:val="left"/>
      <w:pPr>
        <w:ind w:left="5760" w:hanging="360"/>
      </w:pPr>
      <w:rPr>
        <w:rFonts w:ascii="Courier New" w:hAnsi="Courier New" w:hint="default"/>
      </w:rPr>
    </w:lvl>
    <w:lvl w:ilvl="8" w:tplc="C84CC474"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D21C2DFC">
      <w:start w:val="3"/>
      <w:numFmt w:val="bullet"/>
      <w:lvlText w:val="-"/>
      <w:lvlJc w:val="left"/>
      <w:pPr>
        <w:ind w:left="720" w:hanging="360"/>
      </w:pPr>
      <w:rPr>
        <w:rFonts w:ascii="Arial" w:eastAsia="Times New Roman" w:hAnsi="Arial" w:cs="Arial" w:hint="default"/>
      </w:rPr>
    </w:lvl>
    <w:lvl w:ilvl="1" w:tplc="A01E4DC2" w:tentative="1">
      <w:start w:val="1"/>
      <w:numFmt w:val="bullet"/>
      <w:lvlText w:val="o"/>
      <w:lvlJc w:val="left"/>
      <w:pPr>
        <w:ind w:left="1440" w:hanging="360"/>
      </w:pPr>
      <w:rPr>
        <w:rFonts w:ascii="Courier New" w:hAnsi="Courier New" w:cs="Courier New" w:hint="default"/>
      </w:rPr>
    </w:lvl>
    <w:lvl w:ilvl="2" w:tplc="88ACABD8" w:tentative="1">
      <w:start w:val="1"/>
      <w:numFmt w:val="bullet"/>
      <w:lvlText w:val=""/>
      <w:lvlJc w:val="left"/>
      <w:pPr>
        <w:ind w:left="2160" w:hanging="360"/>
      </w:pPr>
      <w:rPr>
        <w:rFonts w:ascii="Wingdings" w:hAnsi="Wingdings" w:hint="default"/>
      </w:rPr>
    </w:lvl>
    <w:lvl w:ilvl="3" w:tplc="0FD229C8" w:tentative="1">
      <w:start w:val="1"/>
      <w:numFmt w:val="bullet"/>
      <w:lvlText w:val=""/>
      <w:lvlJc w:val="left"/>
      <w:pPr>
        <w:ind w:left="2880" w:hanging="360"/>
      </w:pPr>
      <w:rPr>
        <w:rFonts w:ascii="Symbol" w:hAnsi="Symbol" w:hint="default"/>
      </w:rPr>
    </w:lvl>
    <w:lvl w:ilvl="4" w:tplc="30405A58" w:tentative="1">
      <w:start w:val="1"/>
      <w:numFmt w:val="bullet"/>
      <w:lvlText w:val="o"/>
      <w:lvlJc w:val="left"/>
      <w:pPr>
        <w:ind w:left="3600" w:hanging="360"/>
      </w:pPr>
      <w:rPr>
        <w:rFonts w:ascii="Courier New" w:hAnsi="Courier New" w:cs="Courier New" w:hint="default"/>
      </w:rPr>
    </w:lvl>
    <w:lvl w:ilvl="5" w:tplc="3EDE2300" w:tentative="1">
      <w:start w:val="1"/>
      <w:numFmt w:val="bullet"/>
      <w:lvlText w:val=""/>
      <w:lvlJc w:val="left"/>
      <w:pPr>
        <w:ind w:left="4320" w:hanging="360"/>
      </w:pPr>
      <w:rPr>
        <w:rFonts w:ascii="Wingdings" w:hAnsi="Wingdings" w:hint="default"/>
      </w:rPr>
    </w:lvl>
    <w:lvl w:ilvl="6" w:tplc="1744EA24" w:tentative="1">
      <w:start w:val="1"/>
      <w:numFmt w:val="bullet"/>
      <w:lvlText w:val=""/>
      <w:lvlJc w:val="left"/>
      <w:pPr>
        <w:ind w:left="5040" w:hanging="360"/>
      </w:pPr>
      <w:rPr>
        <w:rFonts w:ascii="Symbol" w:hAnsi="Symbol" w:hint="default"/>
      </w:rPr>
    </w:lvl>
    <w:lvl w:ilvl="7" w:tplc="FDBCBE9E" w:tentative="1">
      <w:start w:val="1"/>
      <w:numFmt w:val="bullet"/>
      <w:lvlText w:val="o"/>
      <w:lvlJc w:val="left"/>
      <w:pPr>
        <w:ind w:left="5760" w:hanging="360"/>
      </w:pPr>
      <w:rPr>
        <w:rFonts w:ascii="Courier New" w:hAnsi="Courier New" w:cs="Courier New" w:hint="default"/>
      </w:rPr>
    </w:lvl>
    <w:lvl w:ilvl="8" w:tplc="3200AD10"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9C1EC702">
      <w:start w:val="3"/>
      <w:numFmt w:val="bullet"/>
      <w:pStyle w:val="ListParagraph"/>
      <w:lvlText w:val="-"/>
      <w:lvlJc w:val="left"/>
      <w:pPr>
        <w:ind w:left="720" w:hanging="360"/>
      </w:pPr>
      <w:rPr>
        <w:rFonts w:ascii="Arial" w:eastAsia="Times New Roman" w:hAnsi="Arial" w:cs="Arial" w:hint="default"/>
      </w:rPr>
    </w:lvl>
    <w:lvl w:ilvl="1" w:tplc="1C506AC8" w:tentative="1">
      <w:start w:val="1"/>
      <w:numFmt w:val="bullet"/>
      <w:lvlText w:val="o"/>
      <w:lvlJc w:val="left"/>
      <w:pPr>
        <w:ind w:left="1440" w:hanging="360"/>
      </w:pPr>
      <w:rPr>
        <w:rFonts w:ascii="Courier New" w:hAnsi="Courier New" w:cs="Courier New" w:hint="default"/>
      </w:rPr>
    </w:lvl>
    <w:lvl w:ilvl="2" w:tplc="EA7C2428" w:tentative="1">
      <w:start w:val="1"/>
      <w:numFmt w:val="bullet"/>
      <w:lvlText w:val=""/>
      <w:lvlJc w:val="left"/>
      <w:pPr>
        <w:ind w:left="2160" w:hanging="360"/>
      </w:pPr>
      <w:rPr>
        <w:rFonts w:ascii="Wingdings" w:hAnsi="Wingdings" w:hint="default"/>
      </w:rPr>
    </w:lvl>
    <w:lvl w:ilvl="3" w:tplc="842C0DFA" w:tentative="1">
      <w:start w:val="1"/>
      <w:numFmt w:val="bullet"/>
      <w:lvlText w:val=""/>
      <w:lvlJc w:val="left"/>
      <w:pPr>
        <w:ind w:left="2880" w:hanging="360"/>
      </w:pPr>
      <w:rPr>
        <w:rFonts w:ascii="Symbol" w:hAnsi="Symbol" w:hint="default"/>
      </w:rPr>
    </w:lvl>
    <w:lvl w:ilvl="4" w:tplc="6D3C06CE" w:tentative="1">
      <w:start w:val="1"/>
      <w:numFmt w:val="bullet"/>
      <w:lvlText w:val="o"/>
      <w:lvlJc w:val="left"/>
      <w:pPr>
        <w:ind w:left="3600" w:hanging="360"/>
      </w:pPr>
      <w:rPr>
        <w:rFonts w:ascii="Courier New" w:hAnsi="Courier New" w:cs="Courier New" w:hint="default"/>
      </w:rPr>
    </w:lvl>
    <w:lvl w:ilvl="5" w:tplc="6B7CF6BC" w:tentative="1">
      <w:start w:val="1"/>
      <w:numFmt w:val="bullet"/>
      <w:lvlText w:val=""/>
      <w:lvlJc w:val="left"/>
      <w:pPr>
        <w:ind w:left="4320" w:hanging="360"/>
      </w:pPr>
      <w:rPr>
        <w:rFonts w:ascii="Wingdings" w:hAnsi="Wingdings" w:hint="default"/>
      </w:rPr>
    </w:lvl>
    <w:lvl w:ilvl="6" w:tplc="318045A8" w:tentative="1">
      <w:start w:val="1"/>
      <w:numFmt w:val="bullet"/>
      <w:lvlText w:val=""/>
      <w:lvlJc w:val="left"/>
      <w:pPr>
        <w:ind w:left="5040" w:hanging="360"/>
      </w:pPr>
      <w:rPr>
        <w:rFonts w:ascii="Symbol" w:hAnsi="Symbol" w:hint="default"/>
      </w:rPr>
    </w:lvl>
    <w:lvl w:ilvl="7" w:tplc="CE7AD6DE" w:tentative="1">
      <w:start w:val="1"/>
      <w:numFmt w:val="bullet"/>
      <w:lvlText w:val="o"/>
      <w:lvlJc w:val="left"/>
      <w:pPr>
        <w:ind w:left="5760" w:hanging="360"/>
      </w:pPr>
      <w:rPr>
        <w:rFonts w:ascii="Courier New" w:hAnsi="Courier New" w:cs="Courier New" w:hint="default"/>
      </w:rPr>
    </w:lvl>
    <w:lvl w:ilvl="8" w:tplc="B6D47F5C" w:tentative="1">
      <w:start w:val="1"/>
      <w:numFmt w:val="bullet"/>
      <w:lvlText w:val=""/>
      <w:lvlJc w:val="left"/>
      <w:pPr>
        <w:ind w:left="6480" w:hanging="360"/>
      </w:pPr>
      <w:rPr>
        <w:rFonts w:ascii="Wingdings" w:hAnsi="Wingdings" w:hint="default"/>
      </w:rPr>
    </w:lvl>
  </w:abstractNum>
  <w:abstractNum w:abstractNumId="6" w15:restartNumberingAfterBreak="0">
    <w:nsid w:val="59F42AEA"/>
    <w:multiLevelType w:val="hybridMultilevel"/>
    <w:tmpl w:val="30CEDF06"/>
    <w:lvl w:ilvl="0" w:tplc="9F32D35E">
      <w:start w:val="3"/>
      <w:numFmt w:val="bullet"/>
      <w:lvlText w:val="-"/>
      <w:lvlJc w:val="left"/>
      <w:pPr>
        <w:ind w:left="720" w:hanging="360"/>
      </w:pPr>
      <w:rPr>
        <w:rFonts w:ascii="Arial" w:eastAsia="Times New Roman" w:hAnsi="Arial" w:cs="Arial" w:hint="default"/>
      </w:rPr>
    </w:lvl>
    <w:lvl w:ilvl="1" w:tplc="6A34B702" w:tentative="1">
      <w:start w:val="1"/>
      <w:numFmt w:val="bullet"/>
      <w:lvlText w:val="o"/>
      <w:lvlJc w:val="left"/>
      <w:pPr>
        <w:ind w:left="1440" w:hanging="360"/>
      </w:pPr>
      <w:rPr>
        <w:rFonts w:ascii="Courier New" w:hAnsi="Courier New" w:cs="Courier New" w:hint="default"/>
      </w:rPr>
    </w:lvl>
    <w:lvl w:ilvl="2" w:tplc="75BC08E4" w:tentative="1">
      <w:start w:val="1"/>
      <w:numFmt w:val="bullet"/>
      <w:lvlText w:val=""/>
      <w:lvlJc w:val="left"/>
      <w:pPr>
        <w:ind w:left="2160" w:hanging="360"/>
      </w:pPr>
      <w:rPr>
        <w:rFonts w:ascii="Wingdings" w:hAnsi="Wingdings" w:hint="default"/>
      </w:rPr>
    </w:lvl>
    <w:lvl w:ilvl="3" w:tplc="4E2C461A" w:tentative="1">
      <w:start w:val="1"/>
      <w:numFmt w:val="bullet"/>
      <w:lvlText w:val=""/>
      <w:lvlJc w:val="left"/>
      <w:pPr>
        <w:ind w:left="2880" w:hanging="360"/>
      </w:pPr>
      <w:rPr>
        <w:rFonts w:ascii="Symbol" w:hAnsi="Symbol" w:hint="default"/>
      </w:rPr>
    </w:lvl>
    <w:lvl w:ilvl="4" w:tplc="A2D8ACB8" w:tentative="1">
      <w:start w:val="1"/>
      <w:numFmt w:val="bullet"/>
      <w:lvlText w:val="o"/>
      <w:lvlJc w:val="left"/>
      <w:pPr>
        <w:ind w:left="3600" w:hanging="360"/>
      </w:pPr>
      <w:rPr>
        <w:rFonts w:ascii="Courier New" w:hAnsi="Courier New" w:cs="Courier New" w:hint="default"/>
      </w:rPr>
    </w:lvl>
    <w:lvl w:ilvl="5" w:tplc="839C99F8" w:tentative="1">
      <w:start w:val="1"/>
      <w:numFmt w:val="bullet"/>
      <w:lvlText w:val=""/>
      <w:lvlJc w:val="left"/>
      <w:pPr>
        <w:ind w:left="4320" w:hanging="360"/>
      </w:pPr>
      <w:rPr>
        <w:rFonts w:ascii="Wingdings" w:hAnsi="Wingdings" w:hint="default"/>
      </w:rPr>
    </w:lvl>
    <w:lvl w:ilvl="6" w:tplc="493CEBC4" w:tentative="1">
      <w:start w:val="1"/>
      <w:numFmt w:val="bullet"/>
      <w:lvlText w:val=""/>
      <w:lvlJc w:val="left"/>
      <w:pPr>
        <w:ind w:left="5040" w:hanging="360"/>
      </w:pPr>
      <w:rPr>
        <w:rFonts w:ascii="Symbol" w:hAnsi="Symbol" w:hint="default"/>
      </w:rPr>
    </w:lvl>
    <w:lvl w:ilvl="7" w:tplc="7F4E3222" w:tentative="1">
      <w:start w:val="1"/>
      <w:numFmt w:val="bullet"/>
      <w:lvlText w:val="o"/>
      <w:lvlJc w:val="left"/>
      <w:pPr>
        <w:ind w:left="5760" w:hanging="360"/>
      </w:pPr>
      <w:rPr>
        <w:rFonts w:ascii="Courier New" w:hAnsi="Courier New" w:cs="Courier New" w:hint="default"/>
      </w:rPr>
    </w:lvl>
    <w:lvl w:ilvl="8" w:tplc="983CA0B2"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9AAA1AF4">
      <w:start w:val="1"/>
      <w:numFmt w:val="decimal"/>
      <w:lvlText w:val="%1."/>
      <w:lvlJc w:val="left"/>
      <w:pPr>
        <w:ind w:left="4680" w:hanging="360"/>
      </w:pPr>
    </w:lvl>
    <w:lvl w:ilvl="1" w:tplc="8416AEE6" w:tentative="1">
      <w:start w:val="1"/>
      <w:numFmt w:val="lowerLetter"/>
      <w:lvlText w:val="%2."/>
      <w:lvlJc w:val="left"/>
      <w:pPr>
        <w:ind w:left="5400" w:hanging="360"/>
      </w:pPr>
    </w:lvl>
    <w:lvl w:ilvl="2" w:tplc="40926EFA" w:tentative="1">
      <w:start w:val="1"/>
      <w:numFmt w:val="lowerRoman"/>
      <w:lvlText w:val="%3."/>
      <w:lvlJc w:val="right"/>
      <w:pPr>
        <w:ind w:left="6120" w:hanging="180"/>
      </w:pPr>
    </w:lvl>
    <w:lvl w:ilvl="3" w:tplc="EAFA0D4C" w:tentative="1">
      <w:start w:val="1"/>
      <w:numFmt w:val="decimal"/>
      <w:lvlText w:val="%4."/>
      <w:lvlJc w:val="left"/>
      <w:pPr>
        <w:ind w:left="6840" w:hanging="360"/>
      </w:pPr>
    </w:lvl>
    <w:lvl w:ilvl="4" w:tplc="79D67346" w:tentative="1">
      <w:start w:val="1"/>
      <w:numFmt w:val="lowerLetter"/>
      <w:lvlText w:val="%5."/>
      <w:lvlJc w:val="left"/>
      <w:pPr>
        <w:ind w:left="7560" w:hanging="360"/>
      </w:pPr>
    </w:lvl>
    <w:lvl w:ilvl="5" w:tplc="CF36BFE4" w:tentative="1">
      <w:start w:val="1"/>
      <w:numFmt w:val="lowerRoman"/>
      <w:lvlText w:val="%6."/>
      <w:lvlJc w:val="right"/>
      <w:pPr>
        <w:ind w:left="8280" w:hanging="180"/>
      </w:pPr>
    </w:lvl>
    <w:lvl w:ilvl="6" w:tplc="2DAED8D6" w:tentative="1">
      <w:start w:val="1"/>
      <w:numFmt w:val="decimal"/>
      <w:lvlText w:val="%7."/>
      <w:lvlJc w:val="left"/>
      <w:pPr>
        <w:ind w:left="9000" w:hanging="360"/>
      </w:pPr>
    </w:lvl>
    <w:lvl w:ilvl="7" w:tplc="24A0575C" w:tentative="1">
      <w:start w:val="1"/>
      <w:numFmt w:val="lowerLetter"/>
      <w:lvlText w:val="%8."/>
      <w:lvlJc w:val="left"/>
      <w:pPr>
        <w:ind w:left="9720" w:hanging="360"/>
      </w:pPr>
    </w:lvl>
    <w:lvl w:ilvl="8" w:tplc="C806078A" w:tentative="1">
      <w:start w:val="1"/>
      <w:numFmt w:val="lowerRoman"/>
      <w:lvlText w:val="%9."/>
      <w:lvlJc w:val="right"/>
      <w:pPr>
        <w:ind w:left="10440" w:hanging="180"/>
      </w:p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49"/>
    <w:docVar w:name="InternalQPulse_CurrentUserName" w:val="Document Management Process Owner,  "/>
    <w:docVar w:name="InternalQPulse_DatabaseAlias" w:val="Default"/>
    <w:docVar w:name="InternalQPulse_DocActiveDate" w:val="09/05/2019"/>
    <w:docVar w:name="InternalQPulse_DocAuthor" w:val="Information Security Manager,  "/>
    <w:docVar w:name="InternalQPulse_DocChangeDetails" w:val="Update to name for CHI Staff Admin. _x000d__x000a_Threshold for Key Objective 1 for reading and acknowledging documents reduced to 90%._x000d__x000a_Document reviewed 17th April with no changes proposed to overall content and structure so next review will be set from that date."/>
    <w:docVar w:name="InternalQPulse_DocNumber" w:val="ISMS-02-12"/>
    <w:docVar w:name="InternalQPulse_DocOwner" w:val="ISMS Management Process Owner,  "/>
    <w:docVar w:name="InternalQPulse_DocReviewDate" w:val="17/04/2021"/>
    <w:docVar w:name="InternalQPulse_DocRevisionNumber" w:val="2.8"/>
    <w:docVar w:name="InternalQPulse_DocStatus" w:val="Active"/>
    <w:docVar w:name="InternalQPulse_DocTitle" w:val="Information Security Measures"/>
    <w:docVar w:name="InternalQPulse_DocType" w:val="ISMS\Policy &amp; Guidance\ISMS Management - policy &amp; guidance"/>
    <w:docVar w:name="InternalQPulse_LanguageID" w:val="0"/>
    <w:docVar w:name="QPulse_CurrentDateTime" w:val="19/03/2020 17:53:49"/>
    <w:docVar w:name="QPulse_CurrentUserName" w:val="Document Management Process Owner,  "/>
    <w:docVar w:name="QPulse_DatabaseAlias" w:val="Default"/>
    <w:docVar w:name="QPulse_DocActiveDate" w:val="09/05/2019"/>
    <w:docVar w:name="QPulse_DocAuthor" w:val="Information Security Manager,  "/>
    <w:docVar w:name="QPulse_DocChangeDetails" w:val="Update to name for CHI Staff Admin. _x000d__x000a_Threshold for Key Objective 1 for reading and acknowledging documents reduced to 90%._x000d__x000a_Document reviewed 17th April with no changes proposed to overall content and structure so next review will be set from that date."/>
    <w:docVar w:name="QPulse_DocLastReviewDate" w:val="17/04/2019"/>
    <w:docVar w:name="QPulse_DocLastReviewDetails" w:val="The document and measures are fit for purpose and do not require amendment"/>
    <w:docVar w:name="QPulse_DocLastReviewOwner" w:val="ISMS Management Process Owner,  "/>
    <w:docVar w:name="QPulse_DocNumber" w:val="ISMS-02-12"/>
    <w:docVar w:name="QPulse_DocOwner" w:val="ISMS Management Process Owner,  "/>
    <w:docVar w:name="QPulse_DocReviewDate" w:val="17/04/2021"/>
    <w:docVar w:name="QPulse_DocRevisionNumber" w:val="2.8"/>
    <w:docVar w:name="QPulse_DocStatus" w:val="Active"/>
    <w:docVar w:name="QPulse_DocTitle" w:val="Information Security Measures"/>
    <w:docVar w:name="QPulse_DocType" w:val="ISMS\Policy &amp; Guidance\ISMS Management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444646bb-0989-4179-ae5f-44ca1b47f5dd"/>
  </w:docVars>
  <w:rsids>
    <w:rsidRoot w:val="0076580A"/>
    <w:rsid w:val="001E4DB2"/>
    <w:rsid w:val="00383E22"/>
    <w:rsid w:val="0076580A"/>
    <w:rsid w:val="00C07D8C"/>
    <w:rsid w:val="00CC48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5FD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semiHidden/>
    <w:unhideWhenUsed/>
    <w:rsid w:val="00DF3320"/>
    <w:pPr>
      <w:spacing w:before="100" w:beforeAutospacing="1" w:after="100" w:afterAutospacing="1"/>
    </w:pPr>
    <w:rPr>
      <w:rFonts w:ascii="Times New Roman" w:eastAsiaTheme="minorEastAsia" w:hAnsi="Times New Roman" w:cs="Times New Roman"/>
      <w:sz w:val="24"/>
      <w:lang w:eastAsia="en-GB"/>
    </w:rPr>
  </w:style>
  <w:style w:type="table" w:styleId="TableGrid">
    <w:name w:val="Table Grid"/>
    <w:basedOn w:val="TableNormal"/>
    <w:uiPriority w:val="59"/>
    <w:rsid w:val="007F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44F97-8135-0043-B829-3E340AEB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1229</Words>
  <Characters>6760</Characters>
  <Application>Microsoft Office Word</Application>
  <DocSecurity>0</DocSecurity>
  <Lines>211</Lines>
  <Paragraphs>145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2020-04-14T15:00:00Z</dcterms:modified>
</cp:coreProperties>
</file>