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10458" w14:textId="77777777" w:rsidR="00F64866" w:rsidRDefault="00AD1761" w:rsidP="00A35784">
      <w:r w:rsidRPr="009D002B">
        <w:rPr>
          <w:noProof/>
          <w:lang w:eastAsia="en-GB"/>
        </w:rPr>
        <w:drawing>
          <wp:anchor distT="0" distB="0" distL="114300" distR="114300" simplePos="0" relativeHeight="251658240" behindDoc="0" locked="0" layoutInCell="1" allowOverlap="0" wp14:anchorId="457C85AA" wp14:editId="5520A293">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21705D5E" w14:textId="77777777" w:rsidR="00E41AC5" w:rsidRPr="009D002B" w:rsidRDefault="00F60A5F" w:rsidP="00A35784"/>
    <w:p w14:paraId="6EBA97DE" w14:textId="77777777" w:rsidR="00F64866" w:rsidRPr="005B6D5E" w:rsidRDefault="00AD1761" w:rsidP="005B6D5E">
      <w:pPr>
        <w:pStyle w:val="ISMSNormal"/>
        <w:jc w:val="center"/>
        <w:rPr>
          <w:b/>
        </w:rPr>
      </w:pPr>
      <w:r>
        <w:rPr>
          <w:b/>
        </w:rPr>
        <w:t>POLICY AND GUIDANCE</w:t>
      </w:r>
    </w:p>
    <w:p w14:paraId="07610CBF" w14:textId="77777777" w:rsidR="00F64866" w:rsidRPr="005B6D5E" w:rsidRDefault="00AD1761" w:rsidP="005B6D5E">
      <w:pPr>
        <w:pStyle w:val="ISMSNormal"/>
        <w:jc w:val="center"/>
        <w:rPr>
          <w:b/>
        </w:rPr>
      </w:pPr>
      <w:r w:rsidRPr="005B6D5E">
        <w:rPr>
          <w:b/>
        </w:rPr>
        <w:t>Do not Photocopy</w:t>
      </w:r>
    </w:p>
    <w:p w14:paraId="3132C0D9" w14:textId="77777777" w:rsidR="00F64866" w:rsidRPr="005B6D5E" w:rsidRDefault="00F60A5F" w:rsidP="005B6D5E">
      <w:pPr>
        <w:pStyle w:val="ISMSNormal"/>
        <w:jc w:val="center"/>
        <w:rPr>
          <w:b/>
        </w:rPr>
      </w:pPr>
    </w:p>
    <w:p w14:paraId="031D06EC" w14:textId="77777777" w:rsidR="000154F2" w:rsidRPr="00F06990" w:rsidRDefault="00AD1761" w:rsidP="000154F2">
      <w:pPr>
        <w:pStyle w:val="ISMSNormal"/>
        <w:jc w:val="center"/>
        <w:rPr>
          <w:b/>
        </w:rPr>
      </w:pPr>
      <w:r>
        <w:rPr>
          <w:b/>
        </w:rPr>
        <w:t xml:space="preserve">Document Information Classification: </w:t>
      </w:r>
      <w:r w:rsidRPr="00AE1A55">
        <w:rPr>
          <w:b/>
        </w:rPr>
        <w:t>Unrestricted</w:t>
      </w:r>
    </w:p>
    <w:p w14:paraId="0B9F4728" w14:textId="77777777" w:rsidR="00F64866" w:rsidRPr="00A214A6" w:rsidRDefault="00F60A5F"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705DF4" w14:paraId="7C38F994" w14:textId="77777777" w:rsidTr="00727201">
        <w:trPr>
          <w:jc w:val="center"/>
        </w:trPr>
        <w:tc>
          <w:tcPr>
            <w:tcW w:w="1912" w:type="pct"/>
            <w:tcBorders>
              <w:top w:val="single" w:sz="8" w:space="0" w:color="auto"/>
            </w:tcBorders>
          </w:tcPr>
          <w:p w14:paraId="78797E94" w14:textId="77777777" w:rsidR="00F64866" w:rsidRPr="005B6D5E" w:rsidRDefault="00AD1761"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67F9FBAD" w14:textId="77777777" w:rsidR="00F64866" w:rsidRPr="005B6D5E" w:rsidRDefault="00AD176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Responsibilities for TRE Unmanaged Projects</w:t>
            </w:r>
            <w:r w:rsidRPr="005B6D5E">
              <w:rPr>
                <w:b/>
                <w:lang w:eastAsia="en-GB"/>
              </w:rPr>
              <w:fldChar w:fldCharType="end"/>
            </w:r>
          </w:p>
        </w:tc>
      </w:tr>
      <w:tr w:rsidR="00705DF4" w14:paraId="2ED19253" w14:textId="77777777" w:rsidTr="00727201">
        <w:trPr>
          <w:jc w:val="center"/>
        </w:trPr>
        <w:tc>
          <w:tcPr>
            <w:tcW w:w="1912" w:type="pct"/>
          </w:tcPr>
          <w:p w14:paraId="30CBABE3" w14:textId="77777777" w:rsidR="00F64866" w:rsidRPr="005B6D5E" w:rsidRDefault="00AD1761" w:rsidP="005B6D5E">
            <w:pPr>
              <w:pStyle w:val="ISMSNormal"/>
              <w:spacing w:before="120" w:after="120"/>
              <w:rPr>
                <w:b/>
                <w:lang w:eastAsia="en-GB"/>
              </w:rPr>
            </w:pPr>
            <w:r w:rsidRPr="005B6D5E">
              <w:rPr>
                <w:b/>
                <w:lang w:eastAsia="en-GB"/>
              </w:rPr>
              <w:t>Effective Date:</w:t>
            </w:r>
          </w:p>
        </w:tc>
        <w:tc>
          <w:tcPr>
            <w:tcW w:w="3088" w:type="pct"/>
          </w:tcPr>
          <w:p w14:paraId="108DE687" w14:textId="77777777" w:rsidR="00F64866" w:rsidRPr="005B6D5E" w:rsidRDefault="00AD176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705DF4" w14:paraId="06EABD35" w14:textId="77777777" w:rsidTr="00727201">
        <w:trPr>
          <w:jc w:val="center"/>
        </w:trPr>
        <w:tc>
          <w:tcPr>
            <w:tcW w:w="1912" w:type="pct"/>
          </w:tcPr>
          <w:p w14:paraId="38E7465B" w14:textId="77777777" w:rsidR="00F64866" w:rsidRPr="005B6D5E" w:rsidRDefault="00AD1761" w:rsidP="005B6D5E">
            <w:pPr>
              <w:pStyle w:val="ISMSNormal"/>
              <w:spacing w:before="120" w:after="120"/>
              <w:rPr>
                <w:b/>
                <w:lang w:eastAsia="en-GB"/>
              </w:rPr>
            </w:pPr>
            <w:r w:rsidRPr="005B6D5E">
              <w:rPr>
                <w:b/>
                <w:lang w:eastAsia="en-GB"/>
              </w:rPr>
              <w:t>Reference Number:</w:t>
            </w:r>
          </w:p>
        </w:tc>
        <w:tc>
          <w:tcPr>
            <w:tcW w:w="3088" w:type="pct"/>
          </w:tcPr>
          <w:p w14:paraId="1B82E07C" w14:textId="77777777" w:rsidR="00F64866" w:rsidRPr="005B6D5E" w:rsidRDefault="00AD176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ISMS-03-04</w:t>
            </w:r>
            <w:r w:rsidRPr="005B6D5E">
              <w:rPr>
                <w:b/>
                <w:lang w:eastAsia="en-GB"/>
              </w:rPr>
              <w:fldChar w:fldCharType="end"/>
            </w:r>
          </w:p>
        </w:tc>
      </w:tr>
      <w:tr w:rsidR="00705DF4" w14:paraId="0923AE42" w14:textId="77777777" w:rsidTr="00727201">
        <w:trPr>
          <w:jc w:val="center"/>
        </w:trPr>
        <w:tc>
          <w:tcPr>
            <w:tcW w:w="1912" w:type="pct"/>
          </w:tcPr>
          <w:p w14:paraId="76694AA8" w14:textId="77777777" w:rsidR="00F64866" w:rsidRPr="005B6D5E" w:rsidRDefault="00AD1761" w:rsidP="005B6D5E">
            <w:pPr>
              <w:pStyle w:val="ISMSNormal"/>
              <w:spacing w:before="120" w:after="120"/>
              <w:rPr>
                <w:b/>
                <w:lang w:eastAsia="en-GB"/>
              </w:rPr>
            </w:pPr>
            <w:r w:rsidRPr="005B6D5E">
              <w:rPr>
                <w:b/>
                <w:lang w:eastAsia="en-GB"/>
              </w:rPr>
              <w:t>Version Number:</w:t>
            </w:r>
          </w:p>
        </w:tc>
        <w:tc>
          <w:tcPr>
            <w:tcW w:w="3088" w:type="pct"/>
          </w:tcPr>
          <w:p w14:paraId="4061F5E8" w14:textId="77777777" w:rsidR="00F64866" w:rsidRPr="005B6D5E" w:rsidRDefault="00AD176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1.1</w:t>
            </w:r>
            <w:r w:rsidRPr="005B6D5E">
              <w:rPr>
                <w:b/>
                <w:lang w:eastAsia="en-GB"/>
              </w:rPr>
              <w:fldChar w:fldCharType="end"/>
            </w:r>
          </w:p>
        </w:tc>
      </w:tr>
      <w:tr w:rsidR="00705DF4" w14:paraId="0CF3D82B" w14:textId="77777777" w:rsidTr="00727201">
        <w:trPr>
          <w:jc w:val="center"/>
        </w:trPr>
        <w:tc>
          <w:tcPr>
            <w:tcW w:w="1912" w:type="pct"/>
          </w:tcPr>
          <w:p w14:paraId="38E0DFCF" w14:textId="77777777" w:rsidR="00F64866" w:rsidRPr="005B6D5E" w:rsidRDefault="00AD1761" w:rsidP="005B6D5E">
            <w:pPr>
              <w:pStyle w:val="ISMSNormal"/>
              <w:spacing w:before="120" w:after="120"/>
              <w:rPr>
                <w:b/>
                <w:lang w:eastAsia="en-GB"/>
              </w:rPr>
            </w:pPr>
            <w:r w:rsidRPr="005B6D5E">
              <w:rPr>
                <w:b/>
                <w:lang w:eastAsia="en-GB"/>
              </w:rPr>
              <w:t>Owner:</w:t>
            </w:r>
          </w:p>
        </w:tc>
        <w:tc>
          <w:tcPr>
            <w:tcW w:w="3088" w:type="pct"/>
          </w:tcPr>
          <w:p w14:paraId="25F6ED21" w14:textId="77777777" w:rsidR="00F64866" w:rsidRPr="005B6D5E" w:rsidRDefault="00AD176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705DF4" w14:paraId="7F116179" w14:textId="77777777" w:rsidTr="00727201">
        <w:trPr>
          <w:jc w:val="center"/>
        </w:trPr>
        <w:tc>
          <w:tcPr>
            <w:tcW w:w="1912" w:type="pct"/>
            <w:tcBorders>
              <w:bottom w:val="single" w:sz="8" w:space="0" w:color="auto"/>
            </w:tcBorders>
          </w:tcPr>
          <w:p w14:paraId="01B8A08C" w14:textId="77777777" w:rsidR="00F64866" w:rsidRPr="005B6D5E" w:rsidRDefault="00AD1761"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22F3D3CF" w14:textId="77777777" w:rsidR="00F64866" w:rsidRPr="005B6D5E" w:rsidRDefault="00AD176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02 May 2021</w:t>
            </w:r>
            <w:r w:rsidRPr="005B6D5E">
              <w:rPr>
                <w:b/>
                <w:lang w:eastAsia="en-GB"/>
              </w:rPr>
              <w:fldChar w:fldCharType="end"/>
            </w:r>
          </w:p>
        </w:tc>
      </w:tr>
    </w:tbl>
    <w:p w14:paraId="58D5556B" w14:textId="77777777" w:rsidR="00F64866" w:rsidRPr="00A214A6" w:rsidRDefault="00F60A5F" w:rsidP="00A35784"/>
    <w:p w14:paraId="0B3ACA75" w14:textId="77777777" w:rsidR="00F64866" w:rsidRPr="00A214A6" w:rsidRDefault="00AD1761" w:rsidP="00A35784">
      <w:r w:rsidRPr="00A214A6">
        <w:br w:type="page"/>
      </w:r>
    </w:p>
    <w:p w14:paraId="6975A326" w14:textId="77777777" w:rsidR="00A04182" w:rsidRPr="009D002B" w:rsidRDefault="00F60A5F"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6100CEEE" w14:textId="77777777" w:rsidR="002C7566" w:rsidRDefault="00AD1761" w:rsidP="00A35784">
          <w:pPr>
            <w:pStyle w:val="TOCHeading"/>
          </w:pPr>
          <w:r w:rsidRPr="00A35784">
            <w:t>Table of Contents</w:t>
          </w:r>
        </w:p>
        <w:p w14:paraId="770F7067" w14:textId="77777777" w:rsidR="006735AF" w:rsidRPr="006735AF" w:rsidRDefault="00F60A5F" w:rsidP="006735AF">
          <w:pPr>
            <w:rPr>
              <w:lang w:val="en-US" w:eastAsia="ja-JP"/>
            </w:rPr>
          </w:pPr>
        </w:p>
        <w:p w14:paraId="2658077F" w14:textId="77777777" w:rsidR="00705DF4" w:rsidRDefault="00AD1761">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5"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_Toc256000005 \h </w:instrText>
            </w:r>
            <w:r>
              <w:fldChar w:fldCharType="separate"/>
            </w:r>
            <w:r>
              <w:t>3</w:t>
            </w:r>
            <w:r>
              <w:fldChar w:fldCharType="end"/>
            </w:r>
          </w:hyperlink>
        </w:p>
        <w:p w14:paraId="1A245227" w14:textId="77777777" w:rsidR="00705DF4" w:rsidRDefault="00F60A5F">
          <w:pPr>
            <w:pStyle w:val="TOC1"/>
            <w:tabs>
              <w:tab w:val="left" w:pos="480"/>
              <w:tab w:val="right" w:leader="dot" w:pos="9016"/>
            </w:tabs>
            <w:rPr>
              <w:rFonts w:asciiTheme="minorHAnsi" w:hAnsiTheme="minorHAnsi"/>
              <w:noProof/>
            </w:rPr>
          </w:pPr>
          <w:hyperlink w:anchor="_Toc256000006" w:history="1">
            <w:r w:rsidR="00AD1761">
              <w:rPr>
                <w:rStyle w:val="Hyperlink"/>
              </w:rPr>
              <w:t>2.</w:t>
            </w:r>
            <w:r w:rsidR="00AD1761">
              <w:rPr>
                <w:rFonts w:asciiTheme="minorHAnsi" w:hAnsiTheme="minorHAnsi"/>
                <w:noProof/>
              </w:rPr>
              <w:tab/>
            </w:r>
            <w:r w:rsidR="00AD1761">
              <w:rPr>
                <w:rStyle w:val="Hyperlink"/>
              </w:rPr>
              <w:t>Scope</w:t>
            </w:r>
            <w:r w:rsidR="00AD1761">
              <w:tab/>
            </w:r>
            <w:r w:rsidR="00AD1761">
              <w:fldChar w:fldCharType="begin"/>
            </w:r>
            <w:r w:rsidR="00AD1761">
              <w:instrText xml:space="preserve"> PAGEREF _Toc256000006 \h </w:instrText>
            </w:r>
            <w:r w:rsidR="00AD1761">
              <w:fldChar w:fldCharType="separate"/>
            </w:r>
            <w:r w:rsidR="00AD1761">
              <w:t>3</w:t>
            </w:r>
            <w:r w:rsidR="00AD1761">
              <w:fldChar w:fldCharType="end"/>
            </w:r>
          </w:hyperlink>
        </w:p>
        <w:p w14:paraId="7E7072CA" w14:textId="77777777" w:rsidR="00705DF4" w:rsidRDefault="00F60A5F">
          <w:pPr>
            <w:pStyle w:val="TOC1"/>
            <w:tabs>
              <w:tab w:val="left" w:pos="480"/>
              <w:tab w:val="right" w:leader="dot" w:pos="9016"/>
            </w:tabs>
            <w:rPr>
              <w:rFonts w:asciiTheme="minorHAnsi" w:hAnsiTheme="minorHAnsi"/>
              <w:noProof/>
            </w:rPr>
          </w:pPr>
          <w:hyperlink w:anchor="_Toc256000007" w:history="1">
            <w:r w:rsidR="00AD1761">
              <w:rPr>
                <w:rStyle w:val="Hyperlink"/>
              </w:rPr>
              <w:t>3.</w:t>
            </w:r>
            <w:r w:rsidR="00AD1761">
              <w:rPr>
                <w:rFonts w:asciiTheme="minorHAnsi" w:hAnsiTheme="minorHAnsi"/>
                <w:noProof/>
              </w:rPr>
              <w:tab/>
            </w:r>
            <w:r w:rsidR="00AD1761">
              <w:rPr>
                <w:rStyle w:val="Hyperlink"/>
              </w:rPr>
              <w:t>Responsibilities</w:t>
            </w:r>
            <w:r w:rsidR="00AD1761">
              <w:tab/>
            </w:r>
            <w:r w:rsidR="00AD1761">
              <w:fldChar w:fldCharType="begin"/>
            </w:r>
            <w:r w:rsidR="00AD1761">
              <w:instrText xml:space="preserve"> PAGEREF _Toc256000007 \h </w:instrText>
            </w:r>
            <w:r w:rsidR="00AD1761">
              <w:fldChar w:fldCharType="separate"/>
            </w:r>
            <w:r w:rsidR="00AD1761">
              <w:t>3</w:t>
            </w:r>
            <w:r w:rsidR="00AD1761">
              <w:fldChar w:fldCharType="end"/>
            </w:r>
          </w:hyperlink>
        </w:p>
        <w:p w14:paraId="3AF09A4E" w14:textId="77777777" w:rsidR="00705DF4" w:rsidRDefault="00F60A5F">
          <w:pPr>
            <w:pStyle w:val="TOC1"/>
            <w:tabs>
              <w:tab w:val="left" w:pos="480"/>
              <w:tab w:val="right" w:leader="dot" w:pos="9016"/>
            </w:tabs>
            <w:rPr>
              <w:rFonts w:asciiTheme="minorHAnsi" w:hAnsiTheme="minorHAnsi"/>
              <w:noProof/>
            </w:rPr>
          </w:pPr>
          <w:hyperlink w:anchor="_Toc256000008" w:history="1">
            <w:r w:rsidR="00AD1761">
              <w:rPr>
                <w:rStyle w:val="Hyperlink"/>
              </w:rPr>
              <w:t>4.</w:t>
            </w:r>
            <w:r w:rsidR="00AD1761">
              <w:rPr>
                <w:rFonts w:asciiTheme="minorHAnsi" w:hAnsiTheme="minorHAnsi"/>
                <w:noProof/>
              </w:rPr>
              <w:tab/>
            </w:r>
            <w:r w:rsidR="00AD1761">
              <w:rPr>
                <w:rStyle w:val="Hyperlink"/>
              </w:rPr>
              <w:t>Procedure</w:t>
            </w:r>
            <w:r w:rsidR="00AD1761">
              <w:tab/>
            </w:r>
            <w:r w:rsidR="00AD1761">
              <w:fldChar w:fldCharType="begin"/>
            </w:r>
            <w:r w:rsidR="00AD1761">
              <w:instrText xml:space="preserve"> PAGEREF _Toc256000008 \h </w:instrText>
            </w:r>
            <w:r w:rsidR="00AD1761">
              <w:fldChar w:fldCharType="separate"/>
            </w:r>
            <w:r w:rsidR="00AD1761">
              <w:t>3</w:t>
            </w:r>
            <w:r w:rsidR="00AD1761">
              <w:fldChar w:fldCharType="end"/>
            </w:r>
          </w:hyperlink>
        </w:p>
        <w:p w14:paraId="3B5C83F8" w14:textId="77777777" w:rsidR="00705DF4" w:rsidRDefault="00F60A5F">
          <w:pPr>
            <w:pStyle w:val="TOC2"/>
            <w:tabs>
              <w:tab w:val="left" w:pos="880"/>
              <w:tab w:val="right" w:leader="dot" w:pos="9016"/>
            </w:tabs>
            <w:rPr>
              <w:rFonts w:asciiTheme="minorHAnsi" w:hAnsiTheme="minorHAnsi"/>
              <w:noProof/>
            </w:rPr>
          </w:pPr>
          <w:hyperlink w:anchor="_Toc256000009" w:history="1">
            <w:r w:rsidR="00AD1761">
              <w:rPr>
                <w:rStyle w:val="Hyperlink"/>
              </w:rPr>
              <w:t>4.1.</w:t>
            </w:r>
            <w:r w:rsidR="00AD1761">
              <w:rPr>
                <w:rFonts w:asciiTheme="minorHAnsi" w:hAnsiTheme="minorHAnsi"/>
                <w:noProof/>
              </w:rPr>
              <w:tab/>
            </w:r>
            <w:r w:rsidR="00AD1761">
              <w:rPr>
                <w:rStyle w:val="Hyperlink"/>
              </w:rPr>
              <w:t>Background</w:t>
            </w:r>
            <w:r w:rsidR="00AD1761">
              <w:tab/>
            </w:r>
            <w:r w:rsidR="00AD1761">
              <w:fldChar w:fldCharType="begin"/>
            </w:r>
            <w:r w:rsidR="00AD1761">
              <w:instrText xml:space="preserve"> PAGEREF _Toc256000009 \h </w:instrText>
            </w:r>
            <w:r w:rsidR="00AD1761">
              <w:fldChar w:fldCharType="separate"/>
            </w:r>
            <w:r w:rsidR="00AD1761">
              <w:t>3</w:t>
            </w:r>
            <w:r w:rsidR="00AD1761">
              <w:fldChar w:fldCharType="end"/>
            </w:r>
          </w:hyperlink>
        </w:p>
        <w:p w14:paraId="673F8E91" w14:textId="77777777" w:rsidR="00705DF4" w:rsidRDefault="00F60A5F">
          <w:pPr>
            <w:pStyle w:val="TOC2"/>
            <w:tabs>
              <w:tab w:val="left" w:pos="880"/>
              <w:tab w:val="right" w:leader="dot" w:pos="9016"/>
            </w:tabs>
            <w:rPr>
              <w:rFonts w:asciiTheme="minorHAnsi" w:hAnsiTheme="minorHAnsi"/>
              <w:noProof/>
            </w:rPr>
          </w:pPr>
          <w:hyperlink w:anchor="_Toc256000010" w:history="1">
            <w:r w:rsidR="00AD1761">
              <w:rPr>
                <w:rStyle w:val="Hyperlink"/>
              </w:rPr>
              <w:t>4.2.</w:t>
            </w:r>
            <w:r w:rsidR="00AD1761">
              <w:rPr>
                <w:rFonts w:asciiTheme="minorHAnsi" w:hAnsiTheme="minorHAnsi"/>
                <w:noProof/>
              </w:rPr>
              <w:tab/>
            </w:r>
            <w:r w:rsidR="00AD1761" w:rsidRPr="00656C1F">
              <w:rPr>
                <w:rStyle w:val="Hyperlink"/>
              </w:rPr>
              <w:t>Resulting responsibilities model</w:t>
            </w:r>
            <w:r w:rsidR="00AD1761">
              <w:tab/>
            </w:r>
            <w:r w:rsidR="00AD1761">
              <w:fldChar w:fldCharType="begin"/>
            </w:r>
            <w:r w:rsidR="00AD1761">
              <w:instrText xml:space="preserve"> PAGEREF _Toc256000010 \h </w:instrText>
            </w:r>
            <w:r w:rsidR="00AD1761">
              <w:fldChar w:fldCharType="separate"/>
            </w:r>
            <w:r w:rsidR="00AD1761">
              <w:t>3</w:t>
            </w:r>
            <w:r w:rsidR="00AD1761">
              <w:fldChar w:fldCharType="end"/>
            </w:r>
          </w:hyperlink>
        </w:p>
        <w:p w14:paraId="0C4D49D7" w14:textId="77777777" w:rsidR="00705DF4" w:rsidRDefault="00F60A5F">
          <w:pPr>
            <w:pStyle w:val="TOC2"/>
            <w:tabs>
              <w:tab w:val="left" w:pos="880"/>
              <w:tab w:val="right" w:leader="dot" w:pos="9016"/>
            </w:tabs>
            <w:rPr>
              <w:rFonts w:asciiTheme="minorHAnsi" w:hAnsiTheme="minorHAnsi"/>
              <w:noProof/>
            </w:rPr>
          </w:pPr>
          <w:hyperlink w:anchor="_Toc256000011" w:history="1">
            <w:r w:rsidR="00AD1761">
              <w:rPr>
                <w:rStyle w:val="Hyperlink"/>
              </w:rPr>
              <w:t>4.3.</w:t>
            </w:r>
            <w:r w:rsidR="00AD1761">
              <w:rPr>
                <w:rFonts w:asciiTheme="minorHAnsi" w:hAnsiTheme="minorHAnsi"/>
                <w:noProof/>
              </w:rPr>
              <w:tab/>
            </w:r>
            <w:r w:rsidR="00AD1761" w:rsidRPr="00190088">
              <w:rPr>
                <w:rStyle w:val="Hyperlink"/>
              </w:rPr>
              <w:t>Agreement</w:t>
            </w:r>
            <w:r w:rsidR="00AD1761">
              <w:tab/>
            </w:r>
            <w:r w:rsidR="00AD1761">
              <w:fldChar w:fldCharType="begin"/>
            </w:r>
            <w:r w:rsidR="00AD1761">
              <w:instrText xml:space="preserve"> PAGEREF _Toc256000011 \h </w:instrText>
            </w:r>
            <w:r w:rsidR="00AD1761">
              <w:fldChar w:fldCharType="separate"/>
            </w:r>
            <w:r w:rsidR="00AD1761">
              <w:t>4</w:t>
            </w:r>
            <w:r w:rsidR="00AD1761">
              <w:fldChar w:fldCharType="end"/>
            </w:r>
          </w:hyperlink>
        </w:p>
        <w:p w14:paraId="0C166592" w14:textId="77777777" w:rsidR="00705DF4" w:rsidRDefault="00F60A5F">
          <w:pPr>
            <w:pStyle w:val="TOC2"/>
            <w:tabs>
              <w:tab w:val="left" w:pos="880"/>
              <w:tab w:val="right" w:leader="dot" w:pos="9016"/>
            </w:tabs>
            <w:rPr>
              <w:rFonts w:asciiTheme="minorHAnsi" w:hAnsiTheme="minorHAnsi"/>
              <w:noProof/>
            </w:rPr>
          </w:pPr>
          <w:hyperlink w:anchor="_Toc256000013" w:history="1">
            <w:r w:rsidR="00AD1761">
              <w:rPr>
                <w:rStyle w:val="Hyperlink"/>
              </w:rPr>
              <w:t>4.4.</w:t>
            </w:r>
            <w:r w:rsidR="00AD1761">
              <w:rPr>
                <w:rFonts w:asciiTheme="minorHAnsi" w:hAnsiTheme="minorHAnsi"/>
                <w:noProof/>
              </w:rPr>
              <w:tab/>
            </w:r>
            <w:r w:rsidR="00AD1761" w:rsidRPr="00190088">
              <w:rPr>
                <w:rStyle w:val="Hyperlink"/>
              </w:rPr>
              <w:t>Requesting</w:t>
            </w:r>
            <w:r w:rsidR="00AD1761">
              <w:rPr>
                <w:rStyle w:val="Hyperlink"/>
              </w:rPr>
              <w:t xml:space="preserve"> changes to the default service provision</w:t>
            </w:r>
            <w:r w:rsidR="00AD1761">
              <w:tab/>
            </w:r>
            <w:r w:rsidR="00AD1761">
              <w:fldChar w:fldCharType="begin"/>
            </w:r>
            <w:r w:rsidR="00AD1761">
              <w:instrText xml:space="preserve"> PAGEREF _Toc256000013 \h </w:instrText>
            </w:r>
            <w:r w:rsidR="00AD1761">
              <w:fldChar w:fldCharType="separate"/>
            </w:r>
            <w:r w:rsidR="00AD1761">
              <w:t>4</w:t>
            </w:r>
            <w:r w:rsidR="00AD1761">
              <w:fldChar w:fldCharType="end"/>
            </w:r>
          </w:hyperlink>
        </w:p>
        <w:p w14:paraId="524348D0" w14:textId="77777777" w:rsidR="00705DF4" w:rsidRDefault="00F60A5F">
          <w:pPr>
            <w:pStyle w:val="TOC1"/>
            <w:tabs>
              <w:tab w:val="left" w:pos="480"/>
              <w:tab w:val="right" w:leader="dot" w:pos="9016"/>
            </w:tabs>
            <w:rPr>
              <w:rFonts w:asciiTheme="minorHAnsi" w:hAnsiTheme="minorHAnsi"/>
              <w:noProof/>
            </w:rPr>
          </w:pPr>
          <w:hyperlink w:anchor="_Toc256000014" w:history="1">
            <w:r w:rsidR="00AD1761">
              <w:rPr>
                <w:rStyle w:val="Hyperlink"/>
              </w:rPr>
              <w:t>5.</w:t>
            </w:r>
            <w:r w:rsidR="00AD1761">
              <w:rPr>
                <w:rFonts w:asciiTheme="minorHAnsi" w:hAnsiTheme="minorHAnsi"/>
                <w:noProof/>
              </w:rPr>
              <w:tab/>
            </w:r>
            <w:r w:rsidR="00AD1761">
              <w:rPr>
                <w:rStyle w:val="Hyperlink"/>
              </w:rPr>
              <w:t>Cross-referenced ISMS Documents</w:t>
            </w:r>
            <w:r w:rsidR="00AD1761">
              <w:tab/>
            </w:r>
            <w:r w:rsidR="00AD1761">
              <w:fldChar w:fldCharType="begin"/>
            </w:r>
            <w:r w:rsidR="00AD1761">
              <w:instrText xml:space="preserve"> PAGEREF _Toc256000014 \h </w:instrText>
            </w:r>
            <w:r w:rsidR="00AD1761">
              <w:fldChar w:fldCharType="separate"/>
            </w:r>
            <w:r w:rsidR="00AD1761">
              <w:t>5</w:t>
            </w:r>
            <w:r w:rsidR="00AD1761">
              <w:fldChar w:fldCharType="end"/>
            </w:r>
          </w:hyperlink>
        </w:p>
        <w:p w14:paraId="7A4D24EE" w14:textId="77777777" w:rsidR="00705DF4" w:rsidRDefault="00F60A5F">
          <w:pPr>
            <w:pStyle w:val="TOC1"/>
            <w:tabs>
              <w:tab w:val="left" w:pos="480"/>
              <w:tab w:val="right" w:leader="dot" w:pos="9016"/>
            </w:tabs>
            <w:rPr>
              <w:rFonts w:asciiTheme="minorHAnsi" w:hAnsiTheme="minorHAnsi"/>
              <w:noProof/>
            </w:rPr>
          </w:pPr>
          <w:hyperlink w:anchor="_Toc256000015" w:history="1">
            <w:r w:rsidR="00AD1761">
              <w:rPr>
                <w:rStyle w:val="Hyperlink"/>
              </w:rPr>
              <w:t>6.</w:t>
            </w:r>
            <w:r w:rsidR="00AD1761">
              <w:rPr>
                <w:rFonts w:asciiTheme="minorHAnsi" w:hAnsiTheme="minorHAnsi"/>
                <w:noProof/>
              </w:rPr>
              <w:tab/>
            </w:r>
            <w:r w:rsidR="00AD1761" w:rsidRPr="009D002B">
              <w:rPr>
                <w:rStyle w:val="Hyperlink"/>
              </w:rPr>
              <w:t>Appendices</w:t>
            </w:r>
            <w:r w:rsidR="00AD1761">
              <w:tab/>
            </w:r>
            <w:r w:rsidR="00AD1761">
              <w:fldChar w:fldCharType="begin"/>
            </w:r>
            <w:r w:rsidR="00AD1761">
              <w:instrText xml:space="preserve"> PAGEREF _Toc256000015 \h </w:instrText>
            </w:r>
            <w:r w:rsidR="00AD1761">
              <w:fldChar w:fldCharType="separate"/>
            </w:r>
            <w:r w:rsidR="00AD1761">
              <w:t>5</w:t>
            </w:r>
            <w:r w:rsidR="00AD1761">
              <w:fldChar w:fldCharType="end"/>
            </w:r>
          </w:hyperlink>
        </w:p>
        <w:p w14:paraId="7C8EC8B3" w14:textId="77777777" w:rsidR="00705DF4" w:rsidRDefault="00F60A5F">
          <w:pPr>
            <w:pStyle w:val="TOC2"/>
            <w:tabs>
              <w:tab w:val="left" w:pos="880"/>
              <w:tab w:val="right" w:leader="dot" w:pos="9016"/>
            </w:tabs>
            <w:rPr>
              <w:rFonts w:asciiTheme="minorHAnsi" w:hAnsiTheme="minorHAnsi"/>
              <w:noProof/>
            </w:rPr>
          </w:pPr>
          <w:hyperlink w:anchor="_Toc256000016" w:history="1">
            <w:r w:rsidR="00AD1761">
              <w:rPr>
                <w:rStyle w:val="Hyperlink"/>
              </w:rPr>
              <w:t>6.1.</w:t>
            </w:r>
            <w:r w:rsidR="00AD1761">
              <w:rPr>
                <w:rFonts w:asciiTheme="minorHAnsi" w:hAnsiTheme="minorHAnsi"/>
                <w:noProof/>
              </w:rPr>
              <w:tab/>
            </w:r>
            <w:r w:rsidR="00AD1761">
              <w:rPr>
                <w:rStyle w:val="Hyperlink"/>
              </w:rPr>
              <w:t>Case study 1</w:t>
            </w:r>
            <w:r w:rsidR="00AD1761">
              <w:tab/>
            </w:r>
            <w:r w:rsidR="00AD1761">
              <w:fldChar w:fldCharType="begin"/>
            </w:r>
            <w:r w:rsidR="00AD1761">
              <w:instrText xml:space="preserve"> PAGEREF _Toc256000016 \h </w:instrText>
            </w:r>
            <w:r w:rsidR="00AD1761">
              <w:fldChar w:fldCharType="separate"/>
            </w:r>
            <w:r w:rsidR="00AD1761">
              <w:t>5</w:t>
            </w:r>
            <w:r w:rsidR="00AD1761">
              <w:fldChar w:fldCharType="end"/>
            </w:r>
          </w:hyperlink>
        </w:p>
        <w:p w14:paraId="0CB6802E" w14:textId="77777777" w:rsidR="00705DF4" w:rsidRDefault="00F60A5F">
          <w:pPr>
            <w:pStyle w:val="TOC2"/>
            <w:tabs>
              <w:tab w:val="left" w:pos="880"/>
              <w:tab w:val="right" w:leader="dot" w:pos="9016"/>
            </w:tabs>
            <w:rPr>
              <w:rFonts w:asciiTheme="minorHAnsi" w:hAnsiTheme="minorHAnsi"/>
              <w:noProof/>
            </w:rPr>
          </w:pPr>
          <w:hyperlink w:anchor="_Toc256000019" w:history="1">
            <w:r w:rsidR="00AD1761">
              <w:rPr>
                <w:rStyle w:val="Hyperlink"/>
              </w:rPr>
              <w:t>6.2.</w:t>
            </w:r>
            <w:r w:rsidR="00AD1761">
              <w:rPr>
                <w:rFonts w:asciiTheme="minorHAnsi" w:hAnsiTheme="minorHAnsi"/>
                <w:noProof/>
              </w:rPr>
              <w:tab/>
            </w:r>
            <w:r w:rsidR="00AD1761">
              <w:rPr>
                <w:rStyle w:val="Hyperlink"/>
              </w:rPr>
              <w:t>Case study 2</w:t>
            </w:r>
            <w:r w:rsidR="00AD1761">
              <w:tab/>
            </w:r>
            <w:r w:rsidR="00AD1761">
              <w:fldChar w:fldCharType="begin"/>
            </w:r>
            <w:r w:rsidR="00AD1761">
              <w:instrText xml:space="preserve"> PAGEREF _Toc256000019 \h </w:instrText>
            </w:r>
            <w:r w:rsidR="00AD1761">
              <w:fldChar w:fldCharType="separate"/>
            </w:r>
            <w:r w:rsidR="00AD1761">
              <w:t>5</w:t>
            </w:r>
            <w:r w:rsidR="00AD1761">
              <w:fldChar w:fldCharType="end"/>
            </w:r>
          </w:hyperlink>
        </w:p>
        <w:p w14:paraId="50600FA5" w14:textId="77777777" w:rsidR="00705DF4" w:rsidRDefault="00F60A5F">
          <w:pPr>
            <w:pStyle w:val="TOC2"/>
            <w:tabs>
              <w:tab w:val="left" w:pos="880"/>
              <w:tab w:val="right" w:leader="dot" w:pos="9016"/>
            </w:tabs>
            <w:rPr>
              <w:rFonts w:asciiTheme="minorHAnsi" w:hAnsiTheme="minorHAnsi"/>
              <w:noProof/>
            </w:rPr>
          </w:pPr>
          <w:hyperlink w:anchor="_Toc256000020" w:history="1">
            <w:r w:rsidR="00AD1761">
              <w:rPr>
                <w:rStyle w:val="Hyperlink"/>
              </w:rPr>
              <w:t>6.3.</w:t>
            </w:r>
            <w:r w:rsidR="00AD1761">
              <w:rPr>
                <w:rFonts w:asciiTheme="minorHAnsi" w:hAnsiTheme="minorHAnsi"/>
                <w:noProof/>
              </w:rPr>
              <w:tab/>
            </w:r>
            <w:r w:rsidR="00AD1761">
              <w:rPr>
                <w:rStyle w:val="Hyperlink"/>
              </w:rPr>
              <w:t>Case study 3</w:t>
            </w:r>
            <w:r w:rsidR="00AD1761">
              <w:tab/>
            </w:r>
            <w:r w:rsidR="00AD1761">
              <w:fldChar w:fldCharType="begin"/>
            </w:r>
            <w:r w:rsidR="00AD1761">
              <w:instrText xml:space="preserve"> PAGEREF _Toc256000020 \h </w:instrText>
            </w:r>
            <w:r w:rsidR="00AD1761">
              <w:fldChar w:fldCharType="separate"/>
            </w:r>
            <w:r w:rsidR="00AD1761">
              <w:t>5</w:t>
            </w:r>
            <w:r w:rsidR="00AD1761">
              <w:fldChar w:fldCharType="end"/>
            </w:r>
          </w:hyperlink>
        </w:p>
        <w:p w14:paraId="104509DB" w14:textId="77777777" w:rsidR="00705DF4" w:rsidRDefault="00AD1761" w:rsidP="006735AF">
          <w:pPr>
            <w:pStyle w:val="TOCHeading"/>
            <w:jc w:val="left"/>
          </w:pPr>
          <w:r>
            <w:fldChar w:fldCharType="end"/>
          </w:r>
        </w:p>
      </w:sdtContent>
    </w:sdt>
    <w:p w14:paraId="4397D307" w14:textId="77777777" w:rsidR="00053448" w:rsidRDefault="00AD1761" w:rsidP="00053448">
      <w:pPr>
        <w:pStyle w:val="ISMSHeading1"/>
      </w:pPr>
      <w:r>
        <w:br w:type="page"/>
      </w:r>
      <w:bookmarkStart w:id="0" w:name="_Toc256000005"/>
      <w:bookmarkStart w:id="1" w:name="_Toc256000000"/>
      <w:bookmarkStart w:id="2" w:name="_Toc481579862"/>
      <w:bookmarkStart w:id="3" w:name="_Toc490661660"/>
      <w:bookmarkStart w:id="4" w:name="_Toc521066637"/>
      <w:bookmarkStart w:id="5" w:name="_Toc337306"/>
      <w:bookmarkStart w:id="6" w:name="_Toc4679453"/>
      <w:bookmarkStart w:id="7" w:name="_Toc10812381"/>
      <w:r>
        <w:lastRenderedPageBreak/>
        <w:t>Purpose</w:t>
      </w:r>
      <w:bookmarkEnd w:id="0"/>
      <w:bookmarkEnd w:id="1"/>
      <w:bookmarkEnd w:id="2"/>
      <w:bookmarkEnd w:id="3"/>
      <w:bookmarkEnd w:id="4"/>
      <w:bookmarkEnd w:id="5"/>
      <w:bookmarkEnd w:id="6"/>
      <w:bookmarkEnd w:id="7"/>
    </w:p>
    <w:p w14:paraId="32877D6C" w14:textId="77777777" w:rsidR="00053448" w:rsidRDefault="00AD1761" w:rsidP="00053448">
      <w:pPr>
        <w:pStyle w:val="ISMSNormal"/>
        <w:rPr>
          <w:lang w:val="en-GB"/>
        </w:rPr>
      </w:pPr>
      <w:r w:rsidRPr="00AA6105">
        <w:rPr>
          <w:lang w:val="en-GB"/>
        </w:rPr>
        <w:t>All information security responsibilities should be defined and allocated.</w:t>
      </w:r>
      <w:r>
        <w:rPr>
          <w:lang w:val="en-GB"/>
        </w:rPr>
        <w:t xml:space="preserve"> </w:t>
      </w:r>
    </w:p>
    <w:p w14:paraId="12E375D3" w14:textId="77777777" w:rsidR="003A3F6F" w:rsidRDefault="00F60A5F" w:rsidP="00053448">
      <w:pPr>
        <w:pStyle w:val="ISMSNormal"/>
      </w:pPr>
    </w:p>
    <w:p w14:paraId="3B2BCE1C" w14:textId="77777777" w:rsidR="00053448" w:rsidRDefault="00AD1761" w:rsidP="003A3F6F">
      <w:pPr>
        <w:pStyle w:val="ISMSNormal"/>
        <w:rPr>
          <w:lang w:val="en-GB"/>
        </w:rPr>
      </w:pPr>
      <w:r w:rsidRPr="003A3F6F">
        <w:rPr>
          <w:lang w:val="en-GB"/>
        </w:rPr>
        <w:t>This document defines TRE ‘Managed Projects’ and ‘Unmanaged Proj</w:t>
      </w:r>
      <w:r>
        <w:rPr>
          <w:lang w:val="en-GB"/>
        </w:rPr>
        <w:t>ects’ and describes the assignment</w:t>
      </w:r>
      <w:r w:rsidRPr="003A3F6F">
        <w:rPr>
          <w:lang w:val="en-GB"/>
        </w:rPr>
        <w:t xml:space="preserve"> of responsibilities for</w:t>
      </w:r>
      <w:r>
        <w:rPr>
          <w:lang w:val="en-GB"/>
        </w:rPr>
        <w:t xml:space="preserve"> TRE Unmanaged Projects; allocated either to the </w:t>
      </w:r>
      <w:r w:rsidRPr="003A3F6F">
        <w:rPr>
          <w:lang w:val="en-GB"/>
        </w:rPr>
        <w:t>TRE Operations</w:t>
      </w:r>
      <w:r>
        <w:rPr>
          <w:lang w:val="en-GB"/>
        </w:rPr>
        <w:t xml:space="preserve"> Team or</w:t>
      </w:r>
      <w:r w:rsidRPr="003A3F6F">
        <w:rPr>
          <w:lang w:val="en-GB"/>
        </w:rPr>
        <w:t xml:space="preserve"> TRE Project members/users.</w:t>
      </w:r>
      <w:r w:rsidRPr="0071715C">
        <w:rPr>
          <w:lang w:val="en-GB"/>
        </w:rPr>
        <w:t xml:space="preserve"> </w:t>
      </w:r>
      <w:r>
        <w:rPr>
          <w:lang w:val="en-GB"/>
        </w:rPr>
        <w:t>This distinction of responsibilities is needed to ensure that risks can be adequately controlled to maintain a secure environment.</w:t>
      </w:r>
    </w:p>
    <w:p w14:paraId="1A8ED354" w14:textId="77777777" w:rsidR="003A3F6F" w:rsidRPr="003A3F6F" w:rsidRDefault="00F60A5F" w:rsidP="003A3F6F">
      <w:pPr>
        <w:pStyle w:val="ISMSNormal"/>
        <w:rPr>
          <w:lang w:val="en-GB"/>
        </w:rPr>
      </w:pPr>
    </w:p>
    <w:p w14:paraId="744DF81B" w14:textId="77777777" w:rsidR="00053448" w:rsidRDefault="00AD1761" w:rsidP="00053448">
      <w:pPr>
        <w:pStyle w:val="ISMSHeading1"/>
      </w:pPr>
      <w:bookmarkStart w:id="8" w:name="_Toc256000006"/>
      <w:bookmarkStart w:id="9" w:name="_Toc256000001"/>
      <w:bookmarkStart w:id="10" w:name="_Toc481579863"/>
      <w:bookmarkStart w:id="11" w:name="_Toc490661661"/>
      <w:bookmarkStart w:id="12" w:name="_Toc521066638"/>
      <w:bookmarkStart w:id="13" w:name="_Toc337307"/>
      <w:bookmarkStart w:id="14" w:name="_Toc4679454"/>
      <w:bookmarkStart w:id="15" w:name="_Toc10812382"/>
      <w:r>
        <w:t>Scope</w:t>
      </w:r>
      <w:bookmarkEnd w:id="8"/>
      <w:bookmarkEnd w:id="9"/>
      <w:bookmarkEnd w:id="10"/>
      <w:bookmarkEnd w:id="11"/>
      <w:bookmarkEnd w:id="12"/>
      <w:bookmarkEnd w:id="13"/>
      <w:bookmarkEnd w:id="14"/>
      <w:bookmarkEnd w:id="15"/>
    </w:p>
    <w:p w14:paraId="6E3425A8" w14:textId="77777777" w:rsidR="003A3F6F" w:rsidRDefault="00AD1761" w:rsidP="00053448">
      <w:pPr>
        <w:pStyle w:val="ISMSNormal"/>
        <w:rPr>
          <w:lang w:val="en-GB"/>
        </w:rPr>
      </w:pPr>
      <w:r>
        <w:rPr>
          <w:lang w:val="en-GB"/>
        </w:rPr>
        <w:t>Unmanaged projects within the TRE</w:t>
      </w:r>
    </w:p>
    <w:p w14:paraId="619595FD" w14:textId="77777777" w:rsidR="00053448" w:rsidRDefault="00F60A5F" w:rsidP="00053448">
      <w:pPr>
        <w:pStyle w:val="ISMSNormal"/>
      </w:pPr>
    </w:p>
    <w:p w14:paraId="42A803C5" w14:textId="77777777" w:rsidR="00053448" w:rsidRDefault="00AD1761" w:rsidP="00053448">
      <w:pPr>
        <w:pStyle w:val="ISMSHeading1"/>
      </w:pPr>
      <w:bookmarkStart w:id="16" w:name="_Toc256000007"/>
      <w:bookmarkStart w:id="17" w:name="_Toc256000002"/>
      <w:bookmarkStart w:id="18" w:name="_Toc481579864"/>
      <w:bookmarkStart w:id="19" w:name="_Toc490661662"/>
      <w:bookmarkStart w:id="20" w:name="_Toc521066639"/>
      <w:bookmarkStart w:id="21" w:name="_Toc337308"/>
      <w:bookmarkStart w:id="22" w:name="_Toc4679455"/>
      <w:bookmarkStart w:id="23" w:name="_Toc10812383"/>
      <w:r>
        <w:t>Responsibilities</w:t>
      </w:r>
      <w:bookmarkEnd w:id="16"/>
      <w:bookmarkEnd w:id="17"/>
      <w:bookmarkEnd w:id="18"/>
      <w:bookmarkEnd w:id="19"/>
      <w:bookmarkEnd w:id="20"/>
      <w:bookmarkEnd w:id="21"/>
      <w:bookmarkEnd w:id="22"/>
      <w:bookmarkEnd w:id="23"/>
    </w:p>
    <w:p w14:paraId="42A575E2" w14:textId="77777777" w:rsidR="00053448" w:rsidRDefault="00AD1761" w:rsidP="00053448">
      <w:pPr>
        <w:pStyle w:val="ISMSNormal"/>
      </w:pPr>
      <w:r>
        <w:t>TRE Operations are responsible for:</w:t>
      </w:r>
    </w:p>
    <w:p w14:paraId="60A8265B" w14:textId="77777777" w:rsidR="00656C1F" w:rsidRPr="00656C1F" w:rsidRDefault="00AD1761" w:rsidP="00656C1F">
      <w:pPr>
        <w:pStyle w:val="ListParagraph"/>
      </w:pPr>
      <w:r w:rsidRPr="00656C1F">
        <w:t>providing each unmanaged project with the agreed resources and service functionality</w:t>
      </w:r>
    </w:p>
    <w:p w14:paraId="2DD4674C" w14:textId="77777777" w:rsidR="003477ED" w:rsidRDefault="00F60A5F" w:rsidP="003477ED"/>
    <w:p w14:paraId="488B9A36" w14:textId="77777777" w:rsidR="00053448" w:rsidRDefault="00AD1761" w:rsidP="00053448">
      <w:r>
        <w:t>TRE Service Hosting Project Members are responsible for:</w:t>
      </w:r>
    </w:p>
    <w:p w14:paraId="2EA7EE06" w14:textId="77777777" w:rsidR="00656C1F" w:rsidRDefault="00AD1761" w:rsidP="00656C1F">
      <w:pPr>
        <w:pStyle w:val="ListParagraph"/>
      </w:pPr>
      <w:r>
        <w:t>following the terms of the "TRE Unmanaged Project Agreement"</w:t>
      </w:r>
    </w:p>
    <w:p w14:paraId="7B631EF0" w14:textId="77777777" w:rsidR="00656C1F" w:rsidRDefault="00AD1761" w:rsidP="00656C1F">
      <w:pPr>
        <w:pStyle w:val="ListParagraph"/>
      </w:pPr>
      <w:r>
        <w:t>providing their "Unmanaged Project" with the agreed resources and functionality</w:t>
      </w:r>
    </w:p>
    <w:p w14:paraId="24A6D753" w14:textId="77777777" w:rsidR="00656C1F" w:rsidRDefault="00AD1761" w:rsidP="00656C1F">
      <w:pPr>
        <w:pStyle w:val="ListParagraph"/>
      </w:pPr>
      <w:r>
        <w:t>ensuring their "Unmanaged Project" responsibilities are met according to their risk assessment</w:t>
      </w:r>
    </w:p>
    <w:p w14:paraId="2F9F41A0" w14:textId="77777777" w:rsidR="003477ED" w:rsidRDefault="00F60A5F" w:rsidP="003477ED">
      <w:pPr>
        <w:pStyle w:val="ListParagraph"/>
        <w:numPr>
          <w:ilvl w:val="0"/>
          <w:numId w:val="0"/>
        </w:numPr>
        <w:ind w:left="360"/>
      </w:pPr>
    </w:p>
    <w:p w14:paraId="0BA572FE" w14:textId="77777777" w:rsidR="00053448" w:rsidRDefault="00AD1761" w:rsidP="00053448">
      <w:pPr>
        <w:pStyle w:val="ISMSHeading1"/>
      </w:pPr>
      <w:bookmarkStart w:id="24" w:name="_Toc256000008"/>
      <w:bookmarkStart w:id="25" w:name="_Toc256000003"/>
      <w:bookmarkStart w:id="26" w:name="_Toc481579865"/>
      <w:bookmarkStart w:id="27" w:name="_Toc490661663"/>
      <w:bookmarkStart w:id="28" w:name="_Toc521066640"/>
      <w:bookmarkStart w:id="29" w:name="_Toc337309"/>
      <w:bookmarkStart w:id="30" w:name="_Toc4679456"/>
      <w:bookmarkStart w:id="31" w:name="_Toc10812384"/>
      <w:r>
        <w:t>Procedure</w:t>
      </w:r>
      <w:bookmarkEnd w:id="24"/>
      <w:bookmarkEnd w:id="25"/>
      <w:bookmarkEnd w:id="26"/>
      <w:bookmarkEnd w:id="27"/>
      <w:bookmarkEnd w:id="28"/>
      <w:bookmarkEnd w:id="29"/>
      <w:bookmarkEnd w:id="30"/>
      <w:bookmarkEnd w:id="31"/>
    </w:p>
    <w:p w14:paraId="653921E9" w14:textId="77777777" w:rsidR="00053448" w:rsidRDefault="00AD1761" w:rsidP="00053448">
      <w:pPr>
        <w:pStyle w:val="ISMSHeading2"/>
      </w:pPr>
      <w:bookmarkStart w:id="32" w:name="_Toc256000009"/>
      <w:bookmarkStart w:id="33" w:name="_Toc256000004"/>
      <w:bookmarkStart w:id="34" w:name="_Toc337310"/>
      <w:bookmarkStart w:id="35" w:name="_Toc4679457"/>
      <w:bookmarkStart w:id="36" w:name="_Toc10812385"/>
      <w:r>
        <w:t>Background</w:t>
      </w:r>
      <w:bookmarkEnd w:id="32"/>
      <w:bookmarkEnd w:id="33"/>
      <w:bookmarkEnd w:id="34"/>
      <w:bookmarkEnd w:id="35"/>
      <w:bookmarkEnd w:id="36"/>
    </w:p>
    <w:p w14:paraId="5BD6C4DB" w14:textId="77777777" w:rsidR="00053448" w:rsidRDefault="00AD1761" w:rsidP="00053448">
      <w:pPr>
        <w:pStyle w:val="ISMSNormal"/>
      </w:pPr>
      <w:r w:rsidRPr="003A3F6F">
        <w:t>TRE projects can be managed in different ways, depending on the project requirements. TRE ‘Managed Projects’ provide users with a highly restricted environment where administrative level operations cannot be performed and must be managed by the TRE Operations team. This is in contrast to TRE ‘Unmanaged Projects’ where users have administrative privileges and can perform tasks such as installing software and managing user accounts.</w:t>
      </w:r>
    </w:p>
    <w:p w14:paraId="594ADDE6" w14:textId="77777777" w:rsidR="003A3F6F" w:rsidRDefault="00F60A5F" w:rsidP="00053448">
      <w:pPr>
        <w:pStyle w:val="ISMSNormal"/>
      </w:pPr>
    </w:p>
    <w:p w14:paraId="282FA051" w14:textId="77777777" w:rsidR="00656C1F" w:rsidRPr="00656C1F" w:rsidRDefault="00AD1761" w:rsidP="00656C1F">
      <w:pPr>
        <w:pStyle w:val="ISMSHeading2"/>
      </w:pPr>
      <w:bookmarkStart w:id="37" w:name="_Toc256000010"/>
      <w:bookmarkStart w:id="38" w:name="_Toc4679458"/>
      <w:bookmarkStart w:id="39" w:name="_Toc10812386"/>
      <w:r w:rsidRPr="00656C1F">
        <w:t>Resulting responsibilities model</w:t>
      </w:r>
      <w:bookmarkEnd w:id="37"/>
      <w:bookmarkEnd w:id="38"/>
      <w:bookmarkEnd w:id="39"/>
    </w:p>
    <w:p w14:paraId="4625FC25" w14:textId="77777777" w:rsidR="00600FEC" w:rsidRDefault="00AD1761" w:rsidP="00656C1F">
      <w:pPr>
        <w:pStyle w:val="ISMSNormal"/>
      </w:pPr>
      <w:r>
        <w:t xml:space="preserve">Sections A and B below list the core TRE service provisions and the default allocation of responsibility. Any deviation from this default position requires a formal request for the </w:t>
      </w:r>
      <w:r w:rsidRPr="00656C1F">
        <w:t xml:space="preserve">transfer </w:t>
      </w:r>
      <w:r>
        <w:t>of responsibility from one party to another</w:t>
      </w:r>
      <w:r w:rsidRPr="00656C1F">
        <w:t>.</w:t>
      </w:r>
      <w:r>
        <w:t xml:space="preserve"> </w:t>
      </w:r>
      <w:r w:rsidRPr="00656C1F">
        <w:t>Examples</w:t>
      </w:r>
      <w:r>
        <w:t xml:space="preserve"> of service provisions that a project might want the TRE Operations Team to do on their behalf </w:t>
      </w:r>
      <w:r w:rsidRPr="00656C1F">
        <w:t>include</w:t>
      </w:r>
      <w:r>
        <w:t>:</w:t>
      </w:r>
      <w:r w:rsidRPr="00656C1F">
        <w:t xml:space="preserve"> data classification, risk assessment, information governance and application penetration testing. </w:t>
      </w:r>
    </w:p>
    <w:p w14:paraId="3A47048A" w14:textId="77777777" w:rsidR="00600FEC" w:rsidRDefault="00F60A5F" w:rsidP="00656C1F">
      <w:pPr>
        <w:pStyle w:val="ISMSNormal"/>
      </w:pPr>
    </w:p>
    <w:p w14:paraId="5185E797" w14:textId="77777777" w:rsidR="00656C1F" w:rsidRDefault="00AD1761" w:rsidP="00656C1F">
      <w:pPr>
        <w:pStyle w:val="ISMSNormal"/>
      </w:pPr>
      <w:r w:rsidRPr="00656C1F">
        <w:t xml:space="preserve">Each project must specify </w:t>
      </w:r>
      <w:r>
        <w:t>any deviation from this default position</w:t>
      </w:r>
      <w:r w:rsidRPr="00656C1F">
        <w:t xml:space="preserve"> during the initial p</w:t>
      </w:r>
      <w:r>
        <w:t>roject application, and if approved, the proposed allocation of responsibility will form the basis for a Service Level Agreement between the TRE Service Team and the TRE Project.</w:t>
      </w:r>
    </w:p>
    <w:p w14:paraId="1912744F" w14:textId="77777777" w:rsidR="00656C1F" w:rsidRDefault="00F60A5F" w:rsidP="00053448">
      <w:pPr>
        <w:pStyle w:val="ISMSNormal"/>
      </w:pPr>
    </w:p>
    <w:p w14:paraId="7404B61D" w14:textId="77777777" w:rsidR="00656C1F" w:rsidRDefault="00AD1761" w:rsidP="0071715C">
      <w:pPr>
        <w:pStyle w:val="ISMSNormal"/>
      </w:pPr>
      <w:r w:rsidRPr="0071715C">
        <w:t>A)</w:t>
      </w:r>
      <w:r>
        <w:t xml:space="preserve"> </w:t>
      </w:r>
      <w:r w:rsidRPr="00656C1F">
        <w:t xml:space="preserve">Service Provisions </w:t>
      </w:r>
      <w:r>
        <w:t>that are the responsibility of TRE P</w:t>
      </w:r>
      <w:r w:rsidRPr="00656C1F">
        <w:t>roject personnel</w:t>
      </w:r>
      <w:r>
        <w:t xml:space="preserve"> (TRE Users)</w:t>
      </w:r>
    </w:p>
    <w:p w14:paraId="73CB784F" w14:textId="77777777" w:rsidR="00656C1F" w:rsidRDefault="00AD1761" w:rsidP="00656C1F">
      <w:pPr>
        <w:pStyle w:val="ListParagraph"/>
      </w:pPr>
      <w:r>
        <w:t>Software application installation, development and maintenance</w:t>
      </w:r>
    </w:p>
    <w:p w14:paraId="5FD35F9D" w14:textId="77777777" w:rsidR="00656C1F" w:rsidRDefault="00AD1761" w:rsidP="00656C1F">
      <w:pPr>
        <w:pStyle w:val="ListParagraph"/>
      </w:pPr>
      <w:r>
        <w:t>OS-level user account management</w:t>
      </w:r>
    </w:p>
    <w:p w14:paraId="4B08000C" w14:textId="77777777" w:rsidR="00656C1F" w:rsidRDefault="00AD1761" w:rsidP="00656C1F">
      <w:pPr>
        <w:pStyle w:val="ListParagraph"/>
      </w:pPr>
      <w:r>
        <w:t>Software updates for OS and applications</w:t>
      </w:r>
    </w:p>
    <w:p w14:paraId="0CF6A96C" w14:textId="77777777" w:rsidR="00656C1F" w:rsidRDefault="00AD1761" w:rsidP="00656C1F">
      <w:pPr>
        <w:pStyle w:val="ListParagraph"/>
      </w:pPr>
      <w:r>
        <w:lastRenderedPageBreak/>
        <w:t>Application level user account and authorisation management</w:t>
      </w:r>
    </w:p>
    <w:p w14:paraId="6DCE5EA3" w14:textId="77777777" w:rsidR="00656C1F" w:rsidRDefault="00AD1761" w:rsidP="00656C1F">
      <w:pPr>
        <w:pStyle w:val="ListParagraph"/>
      </w:pPr>
      <w:r>
        <w:t>Application level user end-point connections and client-to-server software-level security controls, e.g. VPN/ 2-FA</w:t>
      </w:r>
    </w:p>
    <w:p w14:paraId="21117B38" w14:textId="77777777" w:rsidR="00656C1F" w:rsidRDefault="00AD1761" w:rsidP="00656C1F">
      <w:pPr>
        <w:pStyle w:val="ListParagraph"/>
      </w:pPr>
      <w:r>
        <w:t>User communication and notification</w:t>
      </w:r>
    </w:p>
    <w:p w14:paraId="36B0CB51" w14:textId="77777777" w:rsidR="00656C1F" w:rsidRDefault="00AD1761" w:rsidP="00656C1F">
      <w:pPr>
        <w:pStyle w:val="ListParagraph"/>
      </w:pPr>
      <w:r>
        <w:t>Application and host OS monitoring and event logging</w:t>
      </w:r>
    </w:p>
    <w:p w14:paraId="3774B034" w14:textId="77777777" w:rsidR="00656C1F" w:rsidRDefault="00AD1761" w:rsidP="00656C1F">
      <w:pPr>
        <w:pStyle w:val="ListParagraph"/>
      </w:pPr>
      <w:r>
        <w:t>Key management authentication of end-points and users</w:t>
      </w:r>
    </w:p>
    <w:p w14:paraId="12988333" w14:textId="77777777" w:rsidR="00656C1F" w:rsidRDefault="00AD1761" w:rsidP="00656C1F">
      <w:pPr>
        <w:pStyle w:val="ListParagraph"/>
      </w:pPr>
      <w:r>
        <w:t>OS firewall</w:t>
      </w:r>
    </w:p>
    <w:p w14:paraId="7FEDF9DD" w14:textId="77777777" w:rsidR="00656C1F" w:rsidRDefault="00AD1761" w:rsidP="00656C1F">
      <w:pPr>
        <w:pStyle w:val="ListParagraph"/>
      </w:pPr>
      <w:r>
        <w:t>Installing and activating software application licenses</w:t>
      </w:r>
    </w:p>
    <w:p w14:paraId="67979848" w14:textId="77777777" w:rsidR="00656C1F" w:rsidRDefault="00AD1761" w:rsidP="00656C1F">
      <w:pPr>
        <w:pStyle w:val="ListParagraph"/>
      </w:pPr>
      <w:r>
        <w:t>Domain name registration and corresponding DNS administration</w:t>
      </w:r>
    </w:p>
    <w:p w14:paraId="3DB9EBE1" w14:textId="77777777" w:rsidR="00656C1F" w:rsidRDefault="00AD1761" w:rsidP="00656C1F">
      <w:pPr>
        <w:pStyle w:val="ListParagraph"/>
      </w:pPr>
      <w:r>
        <w:t>Data classification / risk assessment / information governance</w:t>
      </w:r>
    </w:p>
    <w:p w14:paraId="209AFBE5" w14:textId="77777777" w:rsidR="00656C1F" w:rsidRDefault="00AD1761" w:rsidP="00656C1F">
      <w:pPr>
        <w:pStyle w:val="ListParagraph"/>
      </w:pPr>
      <w:r>
        <w:t>Application penetration testing (subject to approval from TRE Operations)</w:t>
      </w:r>
    </w:p>
    <w:p w14:paraId="74BE3BE8" w14:textId="77777777" w:rsidR="00656C1F" w:rsidRDefault="00F60A5F" w:rsidP="009B41BE">
      <w:pPr>
        <w:pStyle w:val="ISMSNormal"/>
      </w:pPr>
    </w:p>
    <w:p w14:paraId="410D2A91" w14:textId="77777777" w:rsidR="00656C1F" w:rsidRDefault="00AD1761" w:rsidP="009B41BE">
      <w:pPr>
        <w:pStyle w:val="ISMSNormal"/>
      </w:pPr>
      <w:r>
        <w:t xml:space="preserve">B) </w:t>
      </w:r>
      <w:r w:rsidRPr="00656C1F">
        <w:t>Service Provisions that are the responsibility of the TRE Operations team</w:t>
      </w:r>
    </w:p>
    <w:p w14:paraId="3126DD1C" w14:textId="77777777" w:rsidR="00656C1F" w:rsidRDefault="00AD1761" w:rsidP="00656C1F">
      <w:pPr>
        <w:pStyle w:val="ListParagraph"/>
      </w:pPr>
      <w:r>
        <w:t>Installation of OS</w:t>
      </w:r>
    </w:p>
    <w:p w14:paraId="3AFD4C3F" w14:textId="77777777" w:rsidR="00656C1F" w:rsidRDefault="00AD1761" w:rsidP="00656C1F">
      <w:pPr>
        <w:pStyle w:val="ListParagraph"/>
      </w:pPr>
      <w:r>
        <w:t>Connections to the University and HSCN networks</w:t>
      </w:r>
    </w:p>
    <w:p w14:paraId="2262D4E5" w14:textId="77777777" w:rsidR="00656C1F" w:rsidRDefault="00AD1761" w:rsidP="00656C1F">
      <w:pPr>
        <w:pStyle w:val="ListParagraph"/>
      </w:pPr>
      <w:r>
        <w:t>Rackspace and ‘bare-metal’ server management</w:t>
      </w:r>
    </w:p>
    <w:p w14:paraId="448E1E06" w14:textId="77777777" w:rsidR="00656C1F" w:rsidRDefault="00AD1761" w:rsidP="00656C1F">
      <w:pPr>
        <w:pStyle w:val="ListParagraph"/>
      </w:pPr>
      <w:r>
        <w:t xml:space="preserve">Power (incorporates UPS) </w:t>
      </w:r>
    </w:p>
    <w:p w14:paraId="1B2294F0" w14:textId="77777777" w:rsidR="00656C1F" w:rsidRDefault="00AD1761" w:rsidP="00656C1F">
      <w:pPr>
        <w:pStyle w:val="ListParagraph"/>
      </w:pPr>
      <w:r>
        <w:t>Server room temperature monitoring</w:t>
      </w:r>
    </w:p>
    <w:p w14:paraId="18B87CFA" w14:textId="77777777" w:rsidR="00656C1F" w:rsidRDefault="00AD1761" w:rsidP="00656C1F">
      <w:pPr>
        <w:pStyle w:val="ListParagraph"/>
      </w:pPr>
      <w:r>
        <w:t>Perimeter and core infrastructure network &amp; firewall to provide isolation for individual projects</w:t>
      </w:r>
    </w:p>
    <w:p w14:paraId="789F48BA" w14:textId="77777777" w:rsidR="00656C1F" w:rsidRDefault="00AD1761" w:rsidP="00656C1F">
      <w:pPr>
        <w:pStyle w:val="ListParagraph"/>
      </w:pPr>
      <w:r>
        <w:t>Storage volumes and associated encryption key management</w:t>
      </w:r>
    </w:p>
    <w:p w14:paraId="11B5F378" w14:textId="77777777" w:rsidR="00656C1F" w:rsidRDefault="00AD1761" w:rsidP="00656C1F">
      <w:pPr>
        <w:pStyle w:val="ListParagraph"/>
      </w:pPr>
      <w:r>
        <w:t>Secure destruction of storage volume / VM at end of project</w:t>
      </w:r>
    </w:p>
    <w:p w14:paraId="0C4A0BA7" w14:textId="77777777" w:rsidR="00656C1F" w:rsidRDefault="00AD1761" w:rsidP="00656C1F">
      <w:pPr>
        <w:pStyle w:val="ListParagraph"/>
      </w:pPr>
      <w:r>
        <w:t>Persistent externally accessible host IP address</w:t>
      </w:r>
    </w:p>
    <w:p w14:paraId="0FADBCF8" w14:textId="77777777" w:rsidR="00656C1F" w:rsidRDefault="00AD1761" w:rsidP="009B41BE">
      <w:pPr>
        <w:pStyle w:val="ListParagraph"/>
      </w:pPr>
      <w:r>
        <w:t>Perimeter/Host/Network penetration testing</w:t>
      </w:r>
    </w:p>
    <w:p w14:paraId="17372B85" w14:textId="77777777" w:rsidR="00600FEC" w:rsidRDefault="00AD1761" w:rsidP="00190088">
      <w:pPr>
        <w:pStyle w:val="ISMSHeading2"/>
      </w:pPr>
      <w:bookmarkStart w:id="40" w:name="_Toc256000011"/>
      <w:bookmarkStart w:id="41" w:name="_Toc256000017"/>
      <w:bookmarkStart w:id="42" w:name="_Toc10812387"/>
      <w:r w:rsidRPr="00190088">
        <w:t>Agreement</w:t>
      </w:r>
      <w:bookmarkEnd w:id="40"/>
      <w:bookmarkEnd w:id="41"/>
      <w:bookmarkEnd w:id="42"/>
    </w:p>
    <w:p w14:paraId="3A8D5459" w14:textId="77777777" w:rsidR="00600FEC" w:rsidRDefault="00AD1761" w:rsidP="00600FEC">
      <w:pPr>
        <w:pStyle w:val="ISMSNormal"/>
        <w:rPr>
          <w:lang w:val="en-GB"/>
        </w:rPr>
      </w:pPr>
      <w:r>
        <w:rPr>
          <w:lang w:val="en-GB"/>
        </w:rPr>
        <w:t>The person named in the form below is providing their agreement to the default allocation of responsibilities as defined within section 4.2 by completing the form below and returning this document via email to:</w:t>
      </w:r>
    </w:p>
    <w:p w14:paraId="5AE9BBAA" w14:textId="77777777" w:rsidR="00600FEC" w:rsidRDefault="00F60A5F" w:rsidP="00600FEC">
      <w:pPr>
        <w:pStyle w:val="ISMSNormal"/>
        <w:rPr>
          <w:lang w:val="en-GB"/>
        </w:rPr>
      </w:pPr>
    </w:p>
    <w:p w14:paraId="53D140B9" w14:textId="77777777" w:rsidR="00600FEC" w:rsidRDefault="00F60A5F" w:rsidP="00600FEC">
      <w:pPr>
        <w:pStyle w:val="ISMSNormal"/>
        <w:rPr>
          <w:lang w:val="en-GB"/>
        </w:rPr>
      </w:pPr>
      <w:hyperlink r:id="rId10" w:history="1">
        <w:r w:rsidR="00AD1761" w:rsidRPr="00E85D74">
          <w:rPr>
            <w:rStyle w:val="Hyperlink"/>
            <w:lang w:val="en-GB"/>
          </w:rPr>
          <w:t>tre-support@manchester.ac.uk</w:t>
        </w:r>
      </w:hyperlink>
    </w:p>
    <w:p w14:paraId="1DACDC7D" w14:textId="77777777" w:rsidR="00600FEC" w:rsidRPr="00ED7A2D" w:rsidRDefault="00F60A5F" w:rsidP="00600FEC">
      <w:pPr>
        <w:pStyle w:val="ISMSNormal"/>
        <w:rPr>
          <w:lang w:val="en-GB"/>
        </w:rPr>
      </w:pPr>
    </w:p>
    <w:tbl>
      <w:tblPr>
        <w:tblStyle w:val="TableGrid"/>
        <w:tblW w:w="0" w:type="auto"/>
        <w:tblLook w:val="04A0" w:firstRow="1" w:lastRow="0" w:firstColumn="1" w:lastColumn="0" w:noHBand="0" w:noVBand="1"/>
      </w:tblPr>
      <w:tblGrid>
        <w:gridCol w:w="4815"/>
        <w:gridCol w:w="4201"/>
      </w:tblGrid>
      <w:tr w:rsidR="00705DF4" w14:paraId="11E23463" w14:textId="77777777" w:rsidTr="00943142">
        <w:tc>
          <w:tcPr>
            <w:tcW w:w="4815" w:type="dxa"/>
          </w:tcPr>
          <w:p w14:paraId="0B9374BD" w14:textId="77777777" w:rsidR="00600FEC" w:rsidRDefault="00AD1761" w:rsidP="00943142">
            <w:pPr>
              <w:pStyle w:val="ISMSNormal"/>
            </w:pPr>
            <w:r>
              <w:t>Project Name</w:t>
            </w:r>
          </w:p>
        </w:tc>
        <w:tc>
          <w:tcPr>
            <w:tcW w:w="4201" w:type="dxa"/>
          </w:tcPr>
          <w:p w14:paraId="32F23B85" w14:textId="77777777" w:rsidR="00600FEC" w:rsidRDefault="00F60A5F" w:rsidP="00943142">
            <w:pPr>
              <w:pStyle w:val="ISMSNormal"/>
            </w:pPr>
          </w:p>
        </w:tc>
      </w:tr>
      <w:tr w:rsidR="00705DF4" w14:paraId="469FF7E1" w14:textId="77777777" w:rsidTr="00943142">
        <w:tc>
          <w:tcPr>
            <w:tcW w:w="4815" w:type="dxa"/>
          </w:tcPr>
          <w:p w14:paraId="2E006FFD" w14:textId="77777777" w:rsidR="00600FEC" w:rsidRDefault="00AD1761" w:rsidP="00943142">
            <w:pPr>
              <w:pStyle w:val="ISMSNormal"/>
            </w:pPr>
            <w:r>
              <w:t>Principle Investigator or equivalent</w:t>
            </w:r>
          </w:p>
        </w:tc>
        <w:tc>
          <w:tcPr>
            <w:tcW w:w="4201" w:type="dxa"/>
          </w:tcPr>
          <w:p w14:paraId="61D51553" w14:textId="77777777" w:rsidR="00600FEC" w:rsidRDefault="00F60A5F" w:rsidP="00943142">
            <w:pPr>
              <w:pStyle w:val="ISMSNormal"/>
            </w:pPr>
          </w:p>
        </w:tc>
      </w:tr>
      <w:tr w:rsidR="00705DF4" w14:paraId="75832570" w14:textId="77777777" w:rsidTr="00943142">
        <w:tc>
          <w:tcPr>
            <w:tcW w:w="4815" w:type="dxa"/>
          </w:tcPr>
          <w:p w14:paraId="01F54DB5" w14:textId="77777777" w:rsidR="00600FEC" w:rsidRDefault="00AD1761" w:rsidP="00943142">
            <w:pPr>
              <w:pStyle w:val="ISMSNormal"/>
            </w:pPr>
            <w:r>
              <w:t>I hereby provide my agreement with the allocation of responsibilities as stated in Section 4.2 (type ‘Yes’ in adjacent box)</w:t>
            </w:r>
          </w:p>
        </w:tc>
        <w:tc>
          <w:tcPr>
            <w:tcW w:w="4201" w:type="dxa"/>
          </w:tcPr>
          <w:p w14:paraId="3AB2B980" w14:textId="77777777" w:rsidR="00600FEC" w:rsidRDefault="00F60A5F" w:rsidP="00943142">
            <w:pPr>
              <w:pStyle w:val="ISMSNormal"/>
            </w:pPr>
          </w:p>
        </w:tc>
      </w:tr>
      <w:tr w:rsidR="00705DF4" w14:paraId="6EBD31CA" w14:textId="77777777" w:rsidTr="00943142">
        <w:tc>
          <w:tcPr>
            <w:tcW w:w="4815" w:type="dxa"/>
          </w:tcPr>
          <w:p w14:paraId="43402489" w14:textId="77777777" w:rsidR="00600FEC" w:rsidRDefault="00AD1761" w:rsidP="00943142">
            <w:pPr>
              <w:pStyle w:val="ISMSNormal"/>
            </w:pPr>
            <w:r>
              <w:t>Date this agreement has been submitted</w:t>
            </w:r>
          </w:p>
        </w:tc>
        <w:tc>
          <w:tcPr>
            <w:tcW w:w="4201" w:type="dxa"/>
          </w:tcPr>
          <w:p w14:paraId="0EC67683" w14:textId="77777777" w:rsidR="00600FEC" w:rsidRDefault="00F60A5F" w:rsidP="00943142">
            <w:pPr>
              <w:pStyle w:val="ISMSNormal"/>
            </w:pPr>
          </w:p>
        </w:tc>
      </w:tr>
    </w:tbl>
    <w:p w14:paraId="6B2C070B" w14:textId="77777777" w:rsidR="00600FEC" w:rsidRDefault="00F60A5F" w:rsidP="00600FEC">
      <w:pPr>
        <w:pStyle w:val="ISMSNormal"/>
        <w:rPr>
          <w:lang w:val="en-GB"/>
        </w:rPr>
      </w:pPr>
    </w:p>
    <w:p w14:paraId="13172A29" w14:textId="77777777" w:rsidR="00600FEC" w:rsidRDefault="00AD1761" w:rsidP="00190088">
      <w:pPr>
        <w:pStyle w:val="ISMSHeading2"/>
      </w:pPr>
      <w:bookmarkStart w:id="43" w:name="_Toc256000013"/>
      <w:bookmarkStart w:id="44" w:name="_Toc256000018"/>
      <w:bookmarkStart w:id="45" w:name="_Toc10812388"/>
      <w:r w:rsidRPr="00190088">
        <w:t>Requesting</w:t>
      </w:r>
      <w:r>
        <w:t xml:space="preserve"> changes to the default service provision</w:t>
      </w:r>
      <w:bookmarkEnd w:id="43"/>
      <w:bookmarkEnd w:id="44"/>
      <w:bookmarkEnd w:id="45"/>
    </w:p>
    <w:p w14:paraId="7AB90F6D" w14:textId="77777777" w:rsidR="00600FEC" w:rsidRDefault="00AD1761" w:rsidP="00600FEC">
      <w:pPr>
        <w:pStyle w:val="ISMSNormal"/>
        <w:rPr>
          <w:lang w:val="en-GB"/>
        </w:rPr>
      </w:pPr>
      <w:r>
        <w:rPr>
          <w:lang w:val="en-GB"/>
        </w:rPr>
        <w:t xml:space="preserve">If a TRE Project needs to deviate from the default allocation of responsibilities defined in section 4.2, </w:t>
      </w:r>
      <w:r w:rsidRPr="003B1389">
        <w:rPr>
          <w:lang w:val="en-GB"/>
        </w:rPr>
        <w:t xml:space="preserve">it is necessary </w:t>
      </w:r>
      <w:r>
        <w:rPr>
          <w:lang w:val="en-GB"/>
        </w:rPr>
        <w:t xml:space="preserve">to specify this within the </w:t>
      </w:r>
      <w:r w:rsidRPr="003B1389">
        <w:rPr>
          <w:lang w:val="en-GB"/>
        </w:rPr>
        <w:t>initial proje</w:t>
      </w:r>
      <w:r>
        <w:rPr>
          <w:lang w:val="en-GB"/>
        </w:rPr>
        <w:t xml:space="preserve">ct application form so it can be reviewed (document FORM-002). Or if a change in responsibility is required for a project that is already running, the TRE Project Request document (FORM-007) must be completed. </w:t>
      </w:r>
    </w:p>
    <w:p w14:paraId="2891D311" w14:textId="77777777" w:rsidR="00600FEC" w:rsidRDefault="00F60A5F" w:rsidP="00600FEC">
      <w:pPr>
        <w:pStyle w:val="ISMSNormal"/>
        <w:rPr>
          <w:lang w:val="en-GB"/>
        </w:rPr>
      </w:pPr>
    </w:p>
    <w:p w14:paraId="7D5B006C" w14:textId="77777777" w:rsidR="00600FEC" w:rsidRPr="00F01DF6" w:rsidRDefault="00AD1761" w:rsidP="009B41BE">
      <w:pPr>
        <w:pStyle w:val="ISMSNormal"/>
        <w:rPr>
          <w:lang w:val="en-GB"/>
        </w:rPr>
      </w:pPr>
      <w:r>
        <w:rPr>
          <w:lang w:val="en-GB"/>
        </w:rPr>
        <w:t>Note that there is no guarantee the TRE Operations team will agree to the change of responsibility being requested, but all requests are formally reviewed, and an explanation will be provided if necessary.</w:t>
      </w:r>
    </w:p>
    <w:p w14:paraId="272C39DB" w14:textId="77777777" w:rsidR="00053448" w:rsidRDefault="00AD1761" w:rsidP="00053448">
      <w:pPr>
        <w:pStyle w:val="ISMSHeading1"/>
      </w:pPr>
      <w:bookmarkStart w:id="46" w:name="_Toc256000014"/>
      <w:bookmarkStart w:id="47" w:name="_Toc481579866"/>
      <w:bookmarkStart w:id="48" w:name="_Toc490661664"/>
      <w:bookmarkStart w:id="49" w:name="_Toc521066641"/>
      <w:bookmarkStart w:id="50" w:name="_Toc337317"/>
      <w:bookmarkStart w:id="51" w:name="_Toc4679459"/>
      <w:bookmarkStart w:id="52" w:name="_Toc10812389"/>
      <w:r>
        <w:lastRenderedPageBreak/>
        <w:t>Cross-referenced ISMS Documents</w:t>
      </w:r>
      <w:bookmarkEnd w:id="46"/>
      <w:bookmarkEnd w:id="47"/>
      <w:bookmarkEnd w:id="48"/>
      <w:bookmarkEnd w:id="49"/>
      <w:bookmarkEnd w:id="50"/>
      <w:bookmarkEnd w:id="51"/>
      <w:bookmarkEnd w:id="52"/>
    </w:p>
    <w:sdt>
      <w:sdtPr>
        <w:tag w:val="QPulse_DocRelatedDocuments"/>
        <w:id w:val="1931938206"/>
        <w:lock w:val="contentLocked"/>
      </w:sdtPr>
      <w:sdtEndPr/>
      <w:sdtContent>
        <w:p w14:paraId="66B43B88" w14:textId="77777777" w:rsidR="00053448" w:rsidRDefault="00F60A5F" w:rsidP="009B41BE"/>
        <w:tbl>
          <w:tblPr>
            <w:tblStyle w:val="TableProfessional"/>
            <w:tblW w:w="0" w:type="auto"/>
            <w:tblLayout w:type="fixed"/>
            <w:tblLook w:val="04A0" w:firstRow="1" w:lastRow="0" w:firstColumn="1" w:lastColumn="0" w:noHBand="0" w:noVBand="1"/>
          </w:tblPr>
          <w:tblGrid>
            <w:gridCol w:w="3080"/>
            <w:gridCol w:w="3081"/>
            <w:gridCol w:w="3081"/>
          </w:tblGrid>
          <w:tr w:rsidR="00705DF4" w14:paraId="1F02226D" w14:textId="77777777" w:rsidTr="00705DF4">
            <w:trPr>
              <w:cnfStyle w:val="100000000000" w:firstRow="1" w:lastRow="0" w:firstColumn="0" w:lastColumn="0" w:oddVBand="0" w:evenVBand="0" w:oddHBand="0" w:evenHBand="0" w:firstRowFirstColumn="0" w:firstRowLastColumn="0" w:lastRowFirstColumn="0" w:lastRowLastColumn="0"/>
            </w:trPr>
            <w:tc>
              <w:tcPr>
                <w:tcW w:w="3080" w:type="dxa"/>
              </w:tcPr>
              <w:p w14:paraId="2B5CBA5B" w14:textId="77777777" w:rsidR="00053448" w:rsidRPr="00705A1D" w:rsidRDefault="00AD1761" w:rsidP="009B41BE">
                <w:r>
                  <w:t>Number</w:t>
                </w:r>
              </w:p>
            </w:tc>
            <w:tc>
              <w:tcPr>
                <w:tcW w:w="3081" w:type="dxa"/>
              </w:tcPr>
              <w:p w14:paraId="1F6608C1" w14:textId="77777777" w:rsidR="00053448" w:rsidRPr="00705A1D" w:rsidRDefault="00AD1761" w:rsidP="009B41BE">
                <w:r>
                  <w:t>Type</w:t>
                </w:r>
              </w:p>
            </w:tc>
            <w:tc>
              <w:tcPr>
                <w:tcW w:w="3081" w:type="dxa"/>
              </w:tcPr>
              <w:p w14:paraId="286AA9D5" w14:textId="77777777" w:rsidR="00053448" w:rsidRPr="00705A1D" w:rsidRDefault="00AD1761" w:rsidP="009B41BE">
                <w:r>
                  <w:t>Title</w:t>
                </w:r>
              </w:p>
            </w:tc>
          </w:tr>
          <w:tr w:rsidR="00705DF4" w14:paraId="41BDD00B" w14:textId="77777777" w:rsidTr="00705D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2FEF8577" w14:textId="77777777" w:rsidR="00705DF4" w:rsidRDefault="00AD1761">
                <w:r>
                  <w:t>FORM-002</w:t>
                </w:r>
              </w:p>
            </w:tc>
            <w:tc>
              <w:tcPr>
                <w:tcW w:w="360" w:type="dxa"/>
              </w:tcPr>
              <w:p w14:paraId="12E00637" w14:textId="77777777" w:rsidR="00705DF4" w:rsidRDefault="00AD1761">
                <w:r>
                  <w:t>ISMS\Forms</w:t>
                </w:r>
              </w:p>
            </w:tc>
            <w:tc>
              <w:tcPr>
                <w:tcW w:w="360" w:type="dxa"/>
              </w:tcPr>
              <w:p w14:paraId="375B399B" w14:textId="77777777" w:rsidR="00705DF4" w:rsidRDefault="00AD1761">
                <w:r>
                  <w:t>TRE Project Application Form</w:t>
                </w:r>
              </w:p>
            </w:tc>
          </w:tr>
          <w:tr w:rsidR="00705DF4" w14:paraId="51C136AB" w14:textId="77777777" w:rsidTr="00705D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29E2FC95" w14:textId="77777777" w:rsidR="00705DF4" w:rsidRDefault="00AD1761">
                <w:r>
                  <w:t>FORM-007</w:t>
                </w:r>
              </w:p>
            </w:tc>
            <w:tc>
              <w:tcPr>
                <w:tcW w:w="360" w:type="dxa"/>
              </w:tcPr>
              <w:p w14:paraId="040097A8" w14:textId="77777777" w:rsidR="00705DF4" w:rsidRDefault="00AD1761">
                <w:r>
                  <w:t>ISMS\Forms</w:t>
                </w:r>
              </w:p>
            </w:tc>
            <w:tc>
              <w:tcPr>
                <w:tcW w:w="360" w:type="dxa"/>
              </w:tcPr>
              <w:p w14:paraId="25C6AC00" w14:textId="77777777" w:rsidR="00705DF4" w:rsidRDefault="00AD1761">
                <w:r>
                  <w:t>TRE Project Service Request Form</w:t>
                </w:r>
              </w:p>
            </w:tc>
          </w:tr>
        </w:tbl>
        <w:p w14:paraId="7C5B2093" w14:textId="77777777" w:rsidR="00053448" w:rsidRPr="0070384E" w:rsidRDefault="00F60A5F" w:rsidP="009B41BE">
          <w:pPr>
            <w:rPr>
              <w:rFonts w:eastAsia="Times New Roman"/>
              <w:lang w:val="en-US"/>
            </w:rPr>
          </w:pPr>
        </w:p>
      </w:sdtContent>
    </w:sdt>
    <w:p w14:paraId="4EFD9B2A" w14:textId="77777777" w:rsidR="00053448" w:rsidRDefault="00AD1761" w:rsidP="00BA2040">
      <w:pPr>
        <w:pStyle w:val="ISMSHeading1"/>
      </w:pPr>
      <w:bookmarkStart w:id="53" w:name="_Toc256000015"/>
      <w:bookmarkStart w:id="54" w:name="_Toc256000012"/>
      <w:bookmarkStart w:id="55" w:name="_Toc481579867"/>
      <w:bookmarkStart w:id="56" w:name="_Toc490661665"/>
      <w:bookmarkStart w:id="57" w:name="_Toc521066642"/>
      <w:bookmarkStart w:id="58" w:name="_Toc337318"/>
      <w:bookmarkStart w:id="59" w:name="_Toc4679460"/>
      <w:bookmarkStart w:id="60" w:name="_Toc10812390"/>
      <w:r w:rsidRPr="009D002B">
        <w:t>Appendices</w:t>
      </w:r>
      <w:bookmarkEnd w:id="53"/>
      <w:bookmarkEnd w:id="54"/>
      <w:bookmarkEnd w:id="55"/>
      <w:bookmarkEnd w:id="56"/>
      <w:bookmarkEnd w:id="57"/>
      <w:bookmarkEnd w:id="58"/>
      <w:bookmarkEnd w:id="59"/>
      <w:bookmarkEnd w:id="60"/>
    </w:p>
    <w:p w14:paraId="72368C85" w14:textId="77777777" w:rsidR="00656C1F" w:rsidRDefault="00AD1761" w:rsidP="00983704">
      <w:pPr>
        <w:pStyle w:val="ISMSHeading2"/>
      </w:pPr>
      <w:bookmarkStart w:id="61" w:name="_Toc256000016"/>
      <w:bookmarkStart w:id="62" w:name="_Toc4679461"/>
      <w:bookmarkStart w:id="63" w:name="_Toc10812391"/>
      <w:r>
        <w:t>Case study 1</w:t>
      </w:r>
      <w:bookmarkEnd w:id="61"/>
      <w:bookmarkEnd w:id="62"/>
      <w:bookmarkEnd w:id="63"/>
    </w:p>
    <w:p w14:paraId="31B9CA98" w14:textId="77777777" w:rsidR="00656C1F" w:rsidRDefault="00AD1761" w:rsidP="00983704">
      <w:pPr>
        <w:pStyle w:val="ISMSNormal"/>
      </w:pPr>
      <w:r>
        <w:t>A clinical trial where consenting patients were given internet-enabled nebulisers with data sent 24/7 via SSH by third parties. Doctors were given a secure login to monitor their patient's nebuliser use and consider whether modifications were needed to their care.</w:t>
      </w:r>
    </w:p>
    <w:p w14:paraId="3F9E01DC" w14:textId="77777777" w:rsidR="00983704" w:rsidRDefault="00F60A5F" w:rsidP="00983704">
      <w:pPr>
        <w:pStyle w:val="ISMSNormal"/>
      </w:pPr>
    </w:p>
    <w:p w14:paraId="2BBA2A31" w14:textId="77777777" w:rsidR="00656C1F" w:rsidRDefault="00AD1761" w:rsidP="00983704">
      <w:pPr>
        <w:pStyle w:val="ISMSNormal"/>
      </w:pPr>
      <w:r w:rsidRPr="00983704">
        <w:rPr>
          <w:b/>
        </w:rPr>
        <w:t>TRE Operations responsibilities:</w:t>
      </w:r>
      <w:r>
        <w:t xml:space="preserve"> Hardware, firewalls, networking, virtual machine set up, data storage, information governance consultancy and business continuity.</w:t>
      </w:r>
    </w:p>
    <w:p w14:paraId="1FF16867" w14:textId="77777777" w:rsidR="00983704" w:rsidRDefault="00F60A5F" w:rsidP="00983704">
      <w:pPr>
        <w:pStyle w:val="ISMSNormal"/>
      </w:pPr>
    </w:p>
    <w:p w14:paraId="0B3EFFA7" w14:textId="77777777" w:rsidR="00656C1F" w:rsidRDefault="00AD1761" w:rsidP="00983704">
      <w:pPr>
        <w:pStyle w:val="ISMSNormal"/>
      </w:pPr>
      <w:r>
        <w:rPr>
          <w:b/>
        </w:rPr>
        <w:t>TRE U</w:t>
      </w:r>
      <w:r w:rsidRPr="00983704">
        <w:rPr>
          <w:b/>
        </w:rPr>
        <w:t>ser responsibilities:</w:t>
      </w:r>
      <w:r>
        <w:t xml:space="preserve"> software, user accounts, data transfer, backups, and contracts.</w:t>
      </w:r>
    </w:p>
    <w:p w14:paraId="0AE2610B" w14:textId="77777777" w:rsidR="00983704" w:rsidRDefault="00F60A5F" w:rsidP="00983704">
      <w:pPr>
        <w:pStyle w:val="ISMSNormal"/>
      </w:pPr>
    </w:p>
    <w:p w14:paraId="29B19F64" w14:textId="77777777" w:rsidR="00656C1F" w:rsidRDefault="00AD1761" w:rsidP="00983704">
      <w:pPr>
        <w:pStyle w:val="ISMSHeading2"/>
      </w:pPr>
      <w:bookmarkStart w:id="64" w:name="_Toc256000019"/>
      <w:bookmarkStart w:id="65" w:name="_Toc4679462"/>
      <w:bookmarkStart w:id="66" w:name="_Toc10812392"/>
      <w:r>
        <w:t>Case study 2</w:t>
      </w:r>
      <w:bookmarkEnd w:id="64"/>
      <w:bookmarkEnd w:id="65"/>
      <w:bookmarkEnd w:id="66"/>
    </w:p>
    <w:p w14:paraId="1E3C823E" w14:textId="77777777" w:rsidR="00656C1F" w:rsidRDefault="00AD1761" w:rsidP="00983704">
      <w:pPr>
        <w:pStyle w:val="ISMSNormal"/>
      </w:pPr>
      <w:r>
        <w:t xml:space="preserve">A study provided activity trackers and other internet-enabled health monitoring devices to participants. The study used the TRE as back up storage. </w:t>
      </w:r>
    </w:p>
    <w:p w14:paraId="125D3FDF" w14:textId="77777777" w:rsidR="00983704" w:rsidRDefault="00F60A5F" w:rsidP="00983704">
      <w:pPr>
        <w:pStyle w:val="ISMSNormal"/>
      </w:pPr>
    </w:p>
    <w:p w14:paraId="1E67FC18" w14:textId="77777777" w:rsidR="00656C1F" w:rsidRDefault="00AD1761" w:rsidP="00983704">
      <w:pPr>
        <w:pStyle w:val="ISMSNormal"/>
      </w:pPr>
      <w:r w:rsidRPr="00983704">
        <w:rPr>
          <w:b/>
        </w:rPr>
        <w:t>TRE Operations responsibilities:</w:t>
      </w:r>
      <w:r>
        <w:t xml:space="preserve"> Hardware, firewalls, network connectivity, Linux machine and storage set up, and business continuity were provided by the TRE. </w:t>
      </w:r>
    </w:p>
    <w:p w14:paraId="163EF365" w14:textId="77777777" w:rsidR="00656C1F" w:rsidRDefault="00F60A5F" w:rsidP="00983704">
      <w:pPr>
        <w:pStyle w:val="ISMSNormal"/>
      </w:pPr>
    </w:p>
    <w:p w14:paraId="080C38E5" w14:textId="77777777" w:rsidR="00656C1F" w:rsidRDefault="00AD1761" w:rsidP="00983704">
      <w:pPr>
        <w:pStyle w:val="ISMSNormal"/>
      </w:pPr>
      <w:r>
        <w:rPr>
          <w:b/>
        </w:rPr>
        <w:t>TRE U</w:t>
      </w:r>
      <w:r w:rsidRPr="00983704">
        <w:rPr>
          <w:b/>
        </w:rPr>
        <w:t>ser responsibilities:</w:t>
      </w:r>
      <w:r>
        <w:t xml:space="preserve"> data transfers, the protocol for users uploading their data, and other study documentation.</w:t>
      </w:r>
    </w:p>
    <w:p w14:paraId="57EF5C71" w14:textId="77777777" w:rsidR="00983704" w:rsidRDefault="00F60A5F" w:rsidP="00983704">
      <w:pPr>
        <w:pStyle w:val="ISMSNormal"/>
      </w:pPr>
    </w:p>
    <w:p w14:paraId="14BA3E2F" w14:textId="77777777" w:rsidR="00656C1F" w:rsidRDefault="00AD1761" w:rsidP="00983704">
      <w:pPr>
        <w:pStyle w:val="ISMSHeading2"/>
      </w:pPr>
      <w:bookmarkStart w:id="67" w:name="_Toc256000020"/>
      <w:bookmarkStart w:id="68" w:name="_Toc4679463"/>
      <w:bookmarkStart w:id="69" w:name="_Toc10812393"/>
      <w:r>
        <w:t>Case study 3</w:t>
      </w:r>
      <w:bookmarkEnd w:id="67"/>
      <w:bookmarkEnd w:id="68"/>
      <w:bookmarkEnd w:id="69"/>
    </w:p>
    <w:p w14:paraId="47F05077" w14:textId="77777777" w:rsidR="00656C1F" w:rsidRDefault="00AD1761" w:rsidP="00983704">
      <w:pPr>
        <w:pStyle w:val="ISMSNormal"/>
      </w:pPr>
      <w:r>
        <w:t xml:space="preserve">A research study received data from participating NHS sites. The study also created a dashboard for displaying analytics; this required features of an Unmanaged project. </w:t>
      </w:r>
    </w:p>
    <w:p w14:paraId="694BB254" w14:textId="77777777" w:rsidR="00983704" w:rsidRDefault="00F60A5F" w:rsidP="00983704">
      <w:pPr>
        <w:pStyle w:val="ISMSNormal"/>
      </w:pPr>
    </w:p>
    <w:p w14:paraId="18053D33" w14:textId="77777777" w:rsidR="00983704" w:rsidRDefault="00AD1761" w:rsidP="00983704">
      <w:pPr>
        <w:pStyle w:val="ISMSNormal"/>
      </w:pPr>
      <w:r w:rsidRPr="00983704">
        <w:rPr>
          <w:b/>
        </w:rPr>
        <w:t>TRE Operations responsibilities:</w:t>
      </w:r>
      <w:r>
        <w:t xml:space="preserve"> Hardware, firewalls, networking, virtual machines, data storage, information governance consultancy, and business continuity were provided by the TRE.</w:t>
      </w:r>
    </w:p>
    <w:p w14:paraId="1C098A99" w14:textId="77777777" w:rsidR="00656C1F" w:rsidRDefault="00AD1761" w:rsidP="00983704">
      <w:pPr>
        <w:pStyle w:val="ISMSNormal"/>
      </w:pPr>
      <w:r>
        <w:t xml:space="preserve"> </w:t>
      </w:r>
    </w:p>
    <w:p w14:paraId="3516C47B" w14:textId="77777777" w:rsidR="00656C1F" w:rsidRDefault="00AD1761" w:rsidP="00983704">
      <w:pPr>
        <w:pStyle w:val="ISMSNormal"/>
      </w:pPr>
      <w:r>
        <w:rPr>
          <w:b/>
        </w:rPr>
        <w:t>TRE U</w:t>
      </w:r>
      <w:r w:rsidRPr="00983704">
        <w:rPr>
          <w:b/>
        </w:rPr>
        <w:t>ser responsibilities:</w:t>
      </w:r>
      <w:r>
        <w:t xml:space="preserve"> requests for server certificates and domain names, creation of user accounts, deployment of the dashboard, set up of databases, and development and deployment of scripts for data analysis and configuration of the dashboard.</w:t>
      </w:r>
    </w:p>
    <w:sectPr w:rsidR="00656C1F" w:rsidSect="00F64866">
      <w:headerReference w:type="even" r:id="rId11"/>
      <w:headerReference w:type="default" r:id="rId12"/>
      <w:footerReference w:type="default" r:id="rId13"/>
      <w:headerReference w:type="first" r:id="rId14"/>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DDFB5" w14:textId="77777777" w:rsidR="00F60A5F" w:rsidRDefault="00F60A5F">
      <w:r>
        <w:separator/>
      </w:r>
    </w:p>
  </w:endnote>
  <w:endnote w:type="continuationSeparator" w:id="0">
    <w:p w14:paraId="35085279" w14:textId="77777777" w:rsidR="00F60A5F" w:rsidRDefault="00F60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493CC" w14:textId="77777777" w:rsidR="008C17CD" w:rsidRDefault="00F60A5F" w:rsidP="008C17CD">
    <w:pPr>
      <w:pBdr>
        <w:bottom w:val="single" w:sz="6" w:space="1" w:color="auto"/>
      </w:pBdr>
      <w:spacing w:before="60"/>
      <w:rPr>
        <w:rFonts w:asciiTheme="minorHAnsi" w:hAnsiTheme="minorHAnsi" w:cstheme="minorHAnsi"/>
      </w:rPr>
    </w:pPr>
  </w:p>
  <w:p w14:paraId="45F6ADF0" w14:textId="77777777" w:rsidR="008C17CD" w:rsidRPr="002E4D92" w:rsidRDefault="00AD1761"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ISMS-03-04</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Responsibilities for TRE Unmanaged Projects</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1.1</w:t>
    </w:r>
    <w:r w:rsidRPr="002E4D92">
      <w:rPr>
        <w:rFonts w:cstheme="minorHAnsi"/>
      </w:rPr>
      <w:fldChar w:fldCharType="end"/>
    </w:r>
    <w:r w:rsidRPr="002E4D92">
      <w:rPr>
        <w:rStyle w:val="PageNumber"/>
        <w:rFonts w:cstheme="minorHAnsi"/>
      </w:rPr>
      <w:t xml:space="preserve"> </w:t>
    </w:r>
  </w:p>
  <w:p w14:paraId="237B9CD7" w14:textId="77777777" w:rsidR="008C17CD" w:rsidRPr="002E4D92" w:rsidRDefault="00AD1761"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07 Jun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2</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5</w:t>
    </w:r>
    <w:r w:rsidRPr="002E4D92">
      <w:rPr>
        <w:rStyle w:val="PageNumbe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EFC42" w14:textId="77777777" w:rsidR="00F60A5F" w:rsidRDefault="00F60A5F">
      <w:r>
        <w:separator/>
      </w:r>
    </w:p>
  </w:footnote>
  <w:footnote w:type="continuationSeparator" w:id="0">
    <w:p w14:paraId="359823C5" w14:textId="77777777" w:rsidR="00F60A5F" w:rsidRDefault="00F60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14D3" w14:textId="77777777" w:rsidR="002E4D92" w:rsidRDefault="00F60A5F">
    <w:pPr>
      <w:pStyle w:val="Header"/>
    </w:pPr>
    <w:r>
      <w:rPr>
        <w:noProof/>
      </w:rPr>
      <w:pict w14:anchorId="19298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881FA" w14:textId="77777777" w:rsidR="002E4D92" w:rsidRDefault="00F60A5F">
    <w:pPr>
      <w:pStyle w:val="Header"/>
    </w:pPr>
    <w:r>
      <w:rPr>
        <w:noProof/>
      </w:rPr>
      <w:pict w14:anchorId="744666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46A9D" w14:textId="77777777" w:rsidR="002E4D92" w:rsidRDefault="00F60A5F">
    <w:pPr>
      <w:pStyle w:val="Header"/>
    </w:pPr>
    <w:r>
      <w:rPr>
        <w:noProof/>
      </w:rPr>
      <w:pict w14:anchorId="29E4EE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5D550A"/>
    <w:multiLevelType w:val="hybridMultilevel"/>
    <w:tmpl w:val="14A8CEDE"/>
    <w:lvl w:ilvl="0" w:tplc="49D841D2">
      <w:start w:val="1"/>
      <w:numFmt w:val="upperLetter"/>
      <w:lvlText w:val="%1)"/>
      <w:lvlJc w:val="left"/>
      <w:pPr>
        <w:ind w:left="720" w:hanging="360"/>
      </w:pPr>
      <w:rPr>
        <w:rFonts w:hint="default"/>
      </w:rPr>
    </w:lvl>
    <w:lvl w:ilvl="1" w:tplc="A76C8A48" w:tentative="1">
      <w:start w:val="1"/>
      <w:numFmt w:val="lowerLetter"/>
      <w:lvlText w:val="%2."/>
      <w:lvlJc w:val="left"/>
      <w:pPr>
        <w:ind w:left="1440" w:hanging="360"/>
      </w:pPr>
    </w:lvl>
    <w:lvl w:ilvl="2" w:tplc="7A14BD2C" w:tentative="1">
      <w:start w:val="1"/>
      <w:numFmt w:val="lowerRoman"/>
      <w:lvlText w:val="%3."/>
      <w:lvlJc w:val="right"/>
      <w:pPr>
        <w:ind w:left="2160" w:hanging="180"/>
      </w:pPr>
    </w:lvl>
    <w:lvl w:ilvl="3" w:tplc="AFC82428" w:tentative="1">
      <w:start w:val="1"/>
      <w:numFmt w:val="decimal"/>
      <w:lvlText w:val="%4."/>
      <w:lvlJc w:val="left"/>
      <w:pPr>
        <w:ind w:left="2880" w:hanging="360"/>
      </w:pPr>
    </w:lvl>
    <w:lvl w:ilvl="4" w:tplc="89F03418" w:tentative="1">
      <w:start w:val="1"/>
      <w:numFmt w:val="lowerLetter"/>
      <w:lvlText w:val="%5."/>
      <w:lvlJc w:val="left"/>
      <w:pPr>
        <w:ind w:left="3600" w:hanging="360"/>
      </w:pPr>
    </w:lvl>
    <w:lvl w:ilvl="5" w:tplc="C8E22A22" w:tentative="1">
      <w:start w:val="1"/>
      <w:numFmt w:val="lowerRoman"/>
      <w:lvlText w:val="%6."/>
      <w:lvlJc w:val="right"/>
      <w:pPr>
        <w:ind w:left="4320" w:hanging="180"/>
      </w:pPr>
    </w:lvl>
    <w:lvl w:ilvl="6" w:tplc="B15E0DA6" w:tentative="1">
      <w:start w:val="1"/>
      <w:numFmt w:val="decimal"/>
      <w:lvlText w:val="%7."/>
      <w:lvlJc w:val="left"/>
      <w:pPr>
        <w:ind w:left="5040" w:hanging="360"/>
      </w:pPr>
    </w:lvl>
    <w:lvl w:ilvl="7" w:tplc="FF6EDF64" w:tentative="1">
      <w:start w:val="1"/>
      <w:numFmt w:val="lowerLetter"/>
      <w:lvlText w:val="%8."/>
      <w:lvlJc w:val="left"/>
      <w:pPr>
        <w:ind w:left="5760" w:hanging="360"/>
      </w:pPr>
    </w:lvl>
    <w:lvl w:ilvl="8" w:tplc="C01CA684" w:tentative="1">
      <w:start w:val="1"/>
      <w:numFmt w:val="lowerRoman"/>
      <w:lvlText w:val="%9."/>
      <w:lvlJc w:val="right"/>
      <w:pPr>
        <w:ind w:left="6480" w:hanging="180"/>
      </w:pPr>
    </w:lvl>
  </w:abstractNum>
  <w:abstractNum w:abstractNumId="2" w15:restartNumberingAfterBreak="0">
    <w:nsid w:val="3B5A34E2"/>
    <w:multiLevelType w:val="hybridMultilevel"/>
    <w:tmpl w:val="C19E5E3A"/>
    <w:lvl w:ilvl="0" w:tplc="CD0A9CAE">
      <w:start w:val="5"/>
      <w:numFmt w:val="bullet"/>
      <w:lvlText w:val="-"/>
      <w:lvlJc w:val="left"/>
      <w:pPr>
        <w:ind w:left="720" w:hanging="360"/>
      </w:pPr>
      <w:rPr>
        <w:rFonts w:ascii="Arial" w:eastAsia="Times New Roman" w:hAnsi="Arial" w:cs="Arial" w:hint="default"/>
      </w:rPr>
    </w:lvl>
    <w:lvl w:ilvl="1" w:tplc="308CE206" w:tentative="1">
      <w:start w:val="1"/>
      <w:numFmt w:val="bullet"/>
      <w:lvlText w:val="o"/>
      <w:lvlJc w:val="left"/>
      <w:pPr>
        <w:ind w:left="1440" w:hanging="360"/>
      </w:pPr>
      <w:rPr>
        <w:rFonts w:ascii="Courier New" w:hAnsi="Courier New" w:cs="Courier New" w:hint="default"/>
      </w:rPr>
    </w:lvl>
    <w:lvl w:ilvl="2" w:tplc="BEA69F4A" w:tentative="1">
      <w:start w:val="1"/>
      <w:numFmt w:val="bullet"/>
      <w:lvlText w:val=""/>
      <w:lvlJc w:val="left"/>
      <w:pPr>
        <w:ind w:left="2160" w:hanging="360"/>
      </w:pPr>
      <w:rPr>
        <w:rFonts w:ascii="Wingdings" w:hAnsi="Wingdings" w:hint="default"/>
      </w:rPr>
    </w:lvl>
    <w:lvl w:ilvl="3" w:tplc="735AB57A" w:tentative="1">
      <w:start w:val="1"/>
      <w:numFmt w:val="bullet"/>
      <w:lvlText w:val=""/>
      <w:lvlJc w:val="left"/>
      <w:pPr>
        <w:ind w:left="2880" w:hanging="360"/>
      </w:pPr>
      <w:rPr>
        <w:rFonts w:ascii="Symbol" w:hAnsi="Symbol" w:hint="default"/>
      </w:rPr>
    </w:lvl>
    <w:lvl w:ilvl="4" w:tplc="892252DA" w:tentative="1">
      <w:start w:val="1"/>
      <w:numFmt w:val="bullet"/>
      <w:lvlText w:val="o"/>
      <w:lvlJc w:val="left"/>
      <w:pPr>
        <w:ind w:left="3600" w:hanging="360"/>
      </w:pPr>
      <w:rPr>
        <w:rFonts w:ascii="Courier New" w:hAnsi="Courier New" w:cs="Courier New" w:hint="default"/>
      </w:rPr>
    </w:lvl>
    <w:lvl w:ilvl="5" w:tplc="E85810D8" w:tentative="1">
      <w:start w:val="1"/>
      <w:numFmt w:val="bullet"/>
      <w:lvlText w:val=""/>
      <w:lvlJc w:val="left"/>
      <w:pPr>
        <w:ind w:left="4320" w:hanging="360"/>
      </w:pPr>
      <w:rPr>
        <w:rFonts w:ascii="Wingdings" w:hAnsi="Wingdings" w:hint="default"/>
      </w:rPr>
    </w:lvl>
    <w:lvl w:ilvl="6" w:tplc="91B67CC0" w:tentative="1">
      <w:start w:val="1"/>
      <w:numFmt w:val="bullet"/>
      <w:lvlText w:val=""/>
      <w:lvlJc w:val="left"/>
      <w:pPr>
        <w:ind w:left="5040" w:hanging="360"/>
      </w:pPr>
      <w:rPr>
        <w:rFonts w:ascii="Symbol" w:hAnsi="Symbol" w:hint="default"/>
      </w:rPr>
    </w:lvl>
    <w:lvl w:ilvl="7" w:tplc="3C3C23C4" w:tentative="1">
      <w:start w:val="1"/>
      <w:numFmt w:val="bullet"/>
      <w:lvlText w:val="o"/>
      <w:lvlJc w:val="left"/>
      <w:pPr>
        <w:ind w:left="5760" w:hanging="360"/>
      </w:pPr>
      <w:rPr>
        <w:rFonts w:ascii="Courier New" w:hAnsi="Courier New" w:cs="Courier New" w:hint="default"/>
      </w:rPr>
    </w:lvl>
    <w:lvl w:ilvl="8" w:tplc="733AECE6"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3BE0755A">
      <w:start w:val="1"/>
      <w:numFmt w:val="decimal"/>
      <w:pStyle w:val="Heading2"/>
      <w:lvlText w:val="%1."/>
      <w:lvlJc w:val="left"/>
      <w:pPr>
        <w:ind w:left="5760" w:hanging="360"/>
      </w:pPr>
    </w:lvl>
    <w:lvl w:ilvl="1" w:tplc="6EAC4736" w:tentative="1">
      <w:start w:val="1"/>
      <w:numFmt w:val="lowerLetter"/>
      <w:lvlText w:val="%2."/>
      <w:lvlJc w:val="left"/>
      <w:pPr>
        <w:ind w:left="6480" w:hanging="360"/>
      </w:pPr>
    </w:lvl>
    <w:lvl w:ilvl="2" w:tplc="34389C34" w:tentative="1">
      <w:start w:val="1"/>
      <w:numFmt w:val="lowerRoman"/>
      <w:lvlText w:val="%3."/>
      <w:lvlJc w:val="right"/>
      <w:pPr>
        <w:ind w:left="7200" w:hanging="180"/>
      </w:pPr>
    </w:lvl>
    <w:lvl w:ilvl="3" w:tplc="F5160D2C" w:tentative="1">
      <w:start w:val="1"/>
      <w:numFmt w:val="decimal"/>
      <w:lvlText w:val="%4."/>
      <w:lvlJc w:val="left"/>
      <w:pPr>
        <w:ind w:left="7920" w:hanging="360"/>
      </w:pPr>
    </w:lvl>
    <w:lvl w:ilvl="4" w:tplc="9BF204A6" w:tentative="1">
      <w:start w:val="1"/>
      <w:numFmt w:val="lowerLetter"/>
      <w:lvlText w:val="%5."/>
      <w:lvlJc w:val="left"/>
      <w:pPr>
        <w:ind w:left="8640" w:hanging="360"/>
      </w:pPr>
    </w:lvl>
    <w:lvl w:ilvl="5" w:tplc="CCAC768C" w:tentative="1">
      <w:start w:val="1"/>
      <w:numFmt w:val="lowerRoman"/>
      <w:lvlText w:val="%6."/>
      <w:lvlJc w:val="right"/>
      <w:pPr>
        <w:ind w:left="9360" w:hanging="180"/>
      </w:pPr>
    </w:lvl>
    <w:lvl w:ilvl="6" w:tplc="770C98CA" w:tentative="1">
      <w:start w:val="1"/>
      <w:numFmt w:val="decimal"/>
      <w:lvlText w:val="%7."/>
      <w:lvlJc w:val="left"/>
      <w:pPr>
        <w:ind w:left="10080" w:hanging="360"/>
      </w:pPr>
    </w:lvl>
    <w:lvl w:ilvl="7" w:tplc="1334273C" w:tentative="1">
      <w:start w:val="1"/>
      <w:numFmt w:val="lowerLetter"/>
      <w:lvlText w:val="%8."/>
      <w:lvlJc w:val="left"/>
      <w:pPr>
        <w:ind w:left="10800" w:hanging="360"/>
      </w:pPr>
    </w:lvl>
    <w:lvl w:ilvl="8" w:tplc="6BFAF648"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515E06CA">
      <w:start w:val="1"/>
      <w:numFmt w:val="bullet"/>
      <w:lvlText w:val=""/>
      <w:lvlJc w:val="left"/>
      <w:pPr>
        <w:ind w:left="720" w:hanging="360"/>
      </w:pPr>
      <w:rPr>
        <w:rFonts w:ascii="Symbol" w:hAnsi="Symbol" w:hint="default"/>
      </w:rPr>
    </w:lvl>
    <w:lvl w:ilvl="1" w:tplc="DD72EFD4" w:tentative="1">
      <w:start w:val="1"/>
      <w:numFmt w:val="bullet"/>
      <w:lvlText w:val="o"/>
      <w:lvlJc w:val="left"/>
      <w:pPr>
        <w:ind w:left="1440" w:hanging="360"/>
      </w:pPr>
      <w:rPr>
        <w:rFonts w:ascii="Courier New" w:hAnsi="Courier New" w:hint="default"/>
      </w:rPr>
    </w:lvl>
    <w:lvl w:ilvl="2" w:tplc="5B2E7708" w:tentative="1">
      <w:start w:val="1"/>
      <w:numFmt w:val="bullet"/>
      <w:lvlText w:val=""/>
      <w:lvlJc w:val="left"/>
      <w:pPr>
        <w:ind w:left="2160" w:hanging="360"/>
      </w:pPr>
      <w:rPr>
        <w:rFonts w:ascii="Wingdings" w:hAnsi="Wingdings" w:hint="default"/>
      </w:rPr>
    </w:lvl>
    <w:lvl w:ilvl="3" w:tplc="E1BA44BA" w:tentative="1">
      <w:start w:val="1"/>
      <w:numFmt w:val="bullet"/>
      <w:lvlText w:val=""/>
      <w:lvlJc w:val="left"/>
      <w:pPr>
        <w:ind w:left="2880" w:hanging="360"/>
      </w:pPr>
      <w:rPr>
        <w:rFonts w:ascii="Symbol" w:hAnsi="Symbol" w:hint="default"/>
      </w:rPr>
    </w:lvl>
    <w:lvl w:ilvl="4" w:tplc="E162F142" w:tentative="1">
      <w:start w:val="1"/>
      <w:numFmt w:val="bullet"/>
      <w:lvlText w:val="o"/>
      <w:lvlJc w:val="left"/>
      <w:pPr>
        <w:ind w:left="3600" w:hanging="360"/>
      </w:pPr>
      <w:rPr>
        <w:rFonts w:ascii="Courier New" w:hAnsi="Courier New" w:hint="default"/>
      </w:rPr>
    </w:lvl>
    <w:lvl w:ilvl="5" w:tplc="297CE3A6" w:tentative="1">
      <w:start w:val="1"/>
      <w:numFmt w:val="bullet"/>
      <w:lvlText w:val=""/>
      <w:lvlJc w:val="left"/>
      <w:pPr>
        <w:ind w:left="4320" w:hanging="360"/>
      </w:pPr>
      <w:rPr>
        <w:rFonts w:ascii="Wingdings" w:hAnsi="Wingdings" w:hint="default"/>
      </w:rPr>
    </w:lvl>
    <w:lvl w:ilvl="6" w:tplc="E4EA8536" w:tentative="1">
      <w:start w:val="1"/>
      <w:numFmt w:val="bullet"/>
      <w:lvlText w:val=""/>
      <w:lvlJc w:val="left"/>
      <w:pPr>
        <w:ind w:left="5040" w:hanging="360"/>
      </w:pPr>
      <w:rPr>
        <w:rFonts w:ascii="Symbol" w:hAnsi="Symbol" w:hint="default"/>
      </w:rPr>
    </w:lvl>
    <w:lvl w:ilvl="7" w:tplc="101C50D2" w:tentative="1">
      <w:start w:val="1"/>
      <w:numFmt w:val="bullet"/>
      <w:lvlText w:val="o"/>
      <w:lvlJc w:val="left"/>
      <w:pPr>
        <w:ind w:left="5760" w:hanging="360"/>
      </w:pPr>
      <w:rPr>
        <w:rFonts w:ascii="Courier New" w:hAnsi="Courier New" w:hint="default"/>
      </w:rPr>
    </w:lvl>
    <w:lvl w:ilvl="8" w:tplc="E206C4E2"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9F5297B8">
      <w:start w:val="3"/>
      <w:numFmt w:val="bullet"/>
      <w:lvlText w:val="-"/>
      <w:lvlJc w:val="left"/>
      <w:pPr>
        <w:ind w:left="720" w:hanging="360"/>
      </w:pPr>
      <w:rPr>
        <w:rFonts w:ascii="Arial" w:eastAsia="Times New Roman" w:hAnsi="Arial" w:cs="Arial" w:hint="default"/>
      </w:rPr>
    </w:lvl>
    <w:lvl w:ilvl="1" w:tplc="1138F172" w:tentative="1">
      <w:start w:val="1"/>
      <w:numFmt w:val="bullet"/>
      <w:lvlText w:val="o"/>
      <w:lvlJc w:val="left"/>
      <w:pPr>
        <w:ind w:left="1440" w:hanging="360"/>
      </w:pPr>
      <w:rPr>
        <w:rFonts w:ascii="Courier New" w:hAnsi="Courier New" w:cs="Courier New" w:hint="default"/>
      </w:rPr>
    </w:lvl>
    <w:lvl w:ilvl="2" w:tplc="28CC91E0" w:tentative="1">
      <w:start w:val="1"/>
      <w:numFmt w:val="bullet"/>
      <w:lvlText w:val=""/>
      <w:lvlJc w:val="left"/>
      <w:pPr>
        <w:ind w:left="2160" w:hanging="360"/>
      </w:pPr>
      <w:rPr>
        <w:rFonts w:ascii="Wingdings" w:hAnsi="Wingdings" w:hint="default"/>
      </w:rPr>
    </w:lvl>
    <w:lvl w:ilvl="3" w:tplc="E26E4A8A" w:tentative="1">
      <w:start w:val="1"/>
      <w:numFmt w:val="bullet"/>
      <w:lvlText w:val=""/>
      <w:lvlJc w:val="left"/>
      <w:pPr>
        <w:ind w:left="2880" w:hanging="360"/>
      </w:pPr>
      <w:rPr>
        <w:rFonts w:ascii="Symbol" w:hAnsi="Symbol" w:hint="default"/>
      </w:rPr>
    </w:lvl>
    <w:lvl w:ilvl="4" w:tplc="24F2BB9C" w:tentative="1">
      <w:start w:val="1"/>
      <w:numFmt w:val="bullet"/>
      <w:lvlText w:val="o"/>
      <w:lvlJc w:val="left"/>
      <w:pPr>
        <w:ind w:left="3600" w:hanging="360"/>
      </w:pPr>
      <w:rPr>
        <w:rFonts w:ascii="Courier New" w:hAnsi="Courier New" w:cs="Courier New" w:hint="default"/>
      </w:rPr>
    </w:lvl>
    <w:lvl w:ilvl="5" w:tplc="D9D8C4B2" w:tentative="1">
      <w:start w:val="1"/>
      <w:numFmt w:val="bullet"/>
      <w:lvlText w:val=""/>
      <w:lvlJc w:val="left"/>
      <w:pPr>
        <w:ind w:left="4320" w:hanging="360"/>
      </w:pPr>
      <w:rPr>
        <w:rFonts w:ascii="Wingdings" w:hAnsi="Wingdings" w:hint="default"/>
      </w:rPr>
    </w:lvl>
    <w:lvl w:ilvl="6" w:tplc="939AF7AE" w:tentative="1">
      <w:start w:val="1"/>
      <w:numFmt w:val="bullet"/>
      <w:lvlText w:val=""/>
      <w:lvlJc w:val="left"/>
      <w:pPr>
        <w:ind w:left="5040" w:hanging="360"/>
      </w:pPr>
      <w:rPr>
        <w:rFonts w:ascii="Symbol" w:hAnsi="Symbol" w:hint="default"/>
      </w:rPr>
    </w:lvl>
    <w:lvl w:ilvl="7" w:tplc="6B786C42" w:tentative="1">
      <w:start w:val="1"/>
      <w:numFmt w:val="bullet"/>
      <w:lvlText w:val="o"/>
      <w:lvlJc w:val="left"/>
      <w:pPr>
        <w:ind w:left="5760" w:hanging="360"/>
      </w:pPr>
      <w:rPr>
        <w:rFonts w:ascii="Courier New" w:hAnsi="Courier New" w:cs="Courier New" w:hint="default"/>
      </w:rPr>
    </w:lvl>
    <w:lvl w:ilvl="8" w:tplc="B6D46776"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763A23EC">
      <w:start w:val="3"/>
      <w:numFmt w:val="bullet"/>
      <w:pStyle w:val="ListParagraph"/>
      <w:lvlText w:val="-"/>
      <w:lvlJc w:val="left"/>
      <w:pPr>
        <w:ind w:left="360" w:hanging="360"/>
      </w:pPr>
      <w:rPr>
        <w:rFonts w:ascii="Arial" w:eastAsia="Times New Roman" w:hAnsi="Arial" w:cs="Arial" w:hint="default"/>
      </w:rPr>
    </w:lvl>
    <w:lvl w:ilvl="1" w:tplc="974E3626" w:tentative="1">
      <w:start w:val="1"/>
      <w:numFmt w:val="bullet"/>
      <w:lvlText w:val="o"/>
      <w:lvlJc w:val="left"/>
      <w:pPr>
        <w:ind w:left="1080" w:hanging="360"/>
      </w:pPr>
      <w:rPr>
        <w:rFonts w:ascii="Courier New" w:hAnsi="Courier New" w:cs="Courier New" w:hint="default"/>
      </w:rPr>
    </w:lvl>
    <w:lvl w:ilvl="2" w:tplc="D800175C" w:tentative="1">
      <w:start w:val="1"/>
      <w:numFmt w:val="bullet"/>
      <w:lvlText w:val=""/>
      <w:lvlJc w:val="left"/>
      <w:pPr>
        <w:ind w:left="1800" w:hanging="360"/>
      </w:pPr>
      <w:rPr>
        <w:rFonts w:ascii="Wingdings" w:hAnsi="Wingdings" w:hint="default"/>
      </w:rPr>
    </w:lvl>
    <w:lvl w:ilvl="3" w:tplc="763C4422" w:tentative="1">
      <w:start w:val="1"/>
      <w:numFmt w:val="bullet"/>
      <w:lvlText w:val=""/>
      <w:lvlJc w:val="left"/>
      <w:pPr>
        <w:ind w:left="2520" w:hanging="360"/>
      </w:pPr>
      <w:rPr>
        <w:rFonts w:ascii="Symbol" w:hAnsi="Symbol" w:hint="default"/>
      </w:rPr>
    </w:lvl>
    <w:lvl w:ilvl="4" w:tplc="45C2ABF4" w:tentative="1">
      <w:start w:val="1"/>
      <w:numFmt w:val="bullet"/>
      <w:lvlText w:val="o"/>
      <w:lvlJc w:val="left"/>
      <w:pPr>
        <w:ind w:left="3240" w:hanging="360"/>
      </w:pPr>
      <w:rPr>
        <w:rFonts w:ascii="Courier New" w:hAnsi="Courier New" w:cs="Courier New" w:hint="default"/>
      </w:rPr>
    </w:lvl>
    <w:lvl w:ilvl="5" w:tplc="5D6C7374" w:tentative="1">
      <w:start w:val="1"/>
      <w:numFmt w:val="bullet"/>
      <w:lvlText w:val=""/>
      <w:lvlJc w:val="left"/>
      <w:pPr>
        <w:ind w:left="3960" w:hanging="360"/>
      </w:pPr>
      <w:rPr>
        <w:rFonts w:ascii="Wingdings" w:hAnsi="Wingdings" w:hint="default"/>
      </w:rPr>
    </w:lvl>
    <w:lvl w:ilvl="6" w:tplc="8856EF42" w:tentative="1">
      <w:start w:val="1"/>
      <w:numFmt w:val="bullet"/>
      <w:lvlText w:val=""/>
      <w:lvlJc w:val="left"/>
      <w:pPr>
        <w:ind w:left="4680" w:hanging="360"/>
      </w:pPr>
      <w:rPr>
        <w:rFonts w:ascii="Symbol" w:hAnsi="Symbol" w:hint="default"/>
      </w:rPr>
    </w:lvl>
    <w:lvl w:ilvl="7" w:tplc="45AC57C0" w:tentative="1">
      <w:start w:val="1"/>
      <w:numFmt w:val="bullet"/>
      <w:lvlText w:val="o"/>
      <w:lvlJc w:val="left"/>
      <w:pPr>
        <w:ind w:left="5400" w:hanging="360"/>
      </w:pPr>
      <w:rPr>
        <w:rFonts w:ascii="Courier New" w:hAnsi="Courier New" w:cs="Courier New" w:hint="default"/>
      </w:rPr>
    </w:lvl>
    <w:lvl w:ilvl="8" w:tplc="C950B338" w:tentative="1">
      <w:start w:val="1"/>
      <w:numFmt w:val="bullet"/>
      <w:lvlText w:val=""/>
      <w:lvlJc w:val="left"/>
      <w:pPr>
        <w:ind w:left="6120" w:hanging="360"/>
      </w:pPr>
      <w:rPr>
        <w:rFonts w:ascii="Wingdings" w:hAnsi="Wingdings" w:hint="default"/>
      </w:rPr>
    </w:lvl>
  </w:abstractNum>
  <w:abstractNum w:abstractNumId="7" w15:restartNumberingAfterBreak="0">
    <w:nsid w:val="787E41E8"/>
    <w:multiLevelType w:val="hybridMultilevel"/>
    <w:tmpl w:val="5BBEDE86"/>
    <w:lvl w:ilvl="0" w:tplc="8130836C">
      <w:start w:val="1"/>
      <w:numFmt w:val="decimal"/>
      <w:lvlText w:val="%1."/>
      <w:lvlJc w:val="left"/>
      <w:pPr>
        <w:ind w:left="4680" w:hanging="360"/>
      </w:pPr>
    </w:lvl>
    <w:lvl w:ilvl="1" w:tplc="277C07DC" w:tentative="1">
      <w:start w:val="1"/>
      <w:numFmt w:val="lowerLetter"/>
      <w:lvlText w:val="%2."/>
      <w:lvlJc w:val="left"/>
      <w:pPr>
        <w:ind w:left="5400" w:hanging="360"/>
      </w:pPr>
    </w:lvl>
    <w:lvl w:ilvl="2" w:tplc="F5CC2C1E" w:tentative="1">
      <w:start w:val="1"/>
      <w:numFmt w:val="lowerRoman"/>
      <w:lvlText w:val="%3."/>
      <w:lvlJc w:val="right"/>
      <w:pPr>
        <w:ind w:left="6120" w:hanging="180"/>
      </w:pPr>
    </w:lvl>
    <w:lvl w:ilvl="3" w:tplc="F3C20D14" w:tentative="1">
      <w:start w:val="1"/>
      <w:numFmt w:val="decimal"/>
      <w:lvlText w:val="%4."/>
      <w:lvlJc w:val="left"/>
      <w:pPr>
        <w:ind w:left="6840" w:hanging="360"/>
      </w:pPr>
    </w:lvl>
    <w:lvl w:ilvl="4" w:tplc="20FA5D1E" w:tentative="1">
      <w:start w:val="1"/>
      <w:numFmt w:val="lowerLetter"/>
      <w:lvlText w:val="%5."/>
      <w:lvlJc w:val="left"/>
      <w:pPr>
        <w:ind w:left="7560" w:hanging="360"/>
      </w:pPr>
    </w:lvl>
    <w:lvl w:ilvl="5" w:tplc="DDF46370" w:tentative="1">
      <w:start w:val="1"/>
      <w:numFmt w:val="lowerRoman"/>
      <w:lvlText w:val="%6."/>
      <w:lvlJc w:val="right"/>
      <w:pPr>
        <w:ind w:left="8280" w:hanging="180"/>
      </w:pPr>
    </w:lvl>
    <w:lvl w:ilvl="6" w:tplc="33968510" w:tentative="1">
      <w:start w:val="1"/>
      <w:numFmt w:val="decimal"/>
      <w:lvlText w:val="%7."/>
      <w:lvlJc w:val="left"/>
      <w:pPr>
        <w:ind w:left="9000" w:hanging="360"/>
      </w:pPr>
    </w:lvl>
    <w:lvl w:ilvl="7" w:tplc="263C26A2" w:tentative="1">
      <w:start w:val="1"/>
      <w:numFmt w:val="lowerLetter"/>
      <w:lvlText w:val="%8."/>
      <w:lvlJc w:val="left"/>
      <w:pPr>
        <w:ind w:left="9720" w:hanging="360"/>
      </w:pPr>
    </w:lvl>
    <w:lvl w:ilvl="8" w:tplc="6A500D92" w:tentative="1">
      <w:start w:val="1"/>
      <w:numFmt w:val="lowerRoman"/>
      <w:lvlText w:val="%9."/>
      <w:lvlJc w:val="right"/>
      <w:pPr>
        <w:ind w:left="10440" w:hanging="180"/>
      </w:pPr>
    </w:lvl>
  </w:abstractNum>
  <w:num w:numId="1">
    <w:abstractNumId w:val="0"/>
  </w:num>
  <w:num w:numId="2">
    <w:abstractNumId w:val="3"/>
  </w:num>
  <w:num w:numId="3">
    <w:abstractNumId w:val="7"/>
  </w:num>
  <w:num w:numId="4">
    <w:abstractNumId w:val="4"/>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52"/>
    <w:docVar w:name="InternalQPulse_CurrentUserName" w:val="Document Management Process Owner,  "/>
    <w:docVar w:name="InternalQPulse_DatabaseAlias" w:val="Default"/>
    <w:docVar w:name="InternalQPulse_DocActiveDate" w:val="07/06/2019"/>
    <w:docVar w:name="InternalQPulse_DocAuthor" w:val="Information Security Manager,  "/>
    <w:docVar w:name="InternalQPulse_DocChangeDetails" w:val="Addition of sections for the agreement and requesting changes to the service provision"/>
    <w:docVar w:name="InternalQPulse_DocNumber" w:val="ISMS-03-04"/>
    <w:docVar w:name="InternalQPulse_DocOwner" w:val="Information Security Manager,  "/>
    <w:docVar w:name="InternalQPulse_DocReviewDate" w:val="02/05/2021"/>
    <w:docVar w:name="InternalQPulse_DocRevisionNumber" w:val="1.1"/>
    <w:docVar w:name="InternalQPulse_DocStatus" w:val="Active"/>
    <w:docVar w:name="InternalQPulse_DocTitle" w:val="Responsibilities for TRE Unmanaged Projects"/>
    <w:docVar w:name="InternalQPulse_DocType" w:val="ISMS\Policy &amp; Guidance\TRE Operations - policy &amp; guidance"/>
    <w:docVar w:name="InternalQPulse_LanguageID" w:val="0"/>
    <w:docVar w:name="QPulse_CurrentDateTime" w:val="19/03/2020 17:53:52"/>
    <w:docVar w:name="QPulse_CurrentUserName" w:val="Document Management Process Owner,  "/>
    <w:docVar w:name="QPulse_DatabaseAlias" w:val="Default"/>
    <w:docVar w:name="QPulse_DocActiveDate" w:val="07/06/2019"/>
    <w:docVar w:name="QPulse_DocAuthor" w:val="Information Security Manager,  "/>
    <w:docVar w:name="QPulse_DocChangeDetails" w:val="Addition of sections for the agreement and requesting changes to the service provision"/>
    <w:docVar w:name="QPulse_DocLastReviewDate" w:val="&lt;QPulse_DocLastReviewDate&gt;"/>
    <w:docVar w:name="QPulse_DocLastReviewDetails" w:val="&lt;QPulse_DocLastReviewDetails&gt;"/>
    <w:docVar w:name="QPulse_DocLastReviewOwner" w:val="&lt;QPulse_DocLastReviewOwner&gt;"/>
    <w:docVar w:name="QPulse_DocNumber" w:val="ISMS-03-04"/>
    <w:docVar w:name="QPulse_DocOwner" w:val="Information Security Manager,  "/>
    <w:docVar w:name="QPulse_DocReviewDate" w:val="02/05/2021"/>
    <w:docVar w:name="QPulse_DocRevisionNumber" w:val="1.1"/>
    <w:docVar w:name="QPulse_DocStatus" w:val="Active"/>
    <w:docVar w:name="QPulse_DocTitle" w:val="Responsibilities for TRE Unmanaged Projects"/>
    <w:docVar w:name="QPulse_DocType" w:val="ISMS\Policy &amp; Guidance\TRE Operations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6ffe2dbd-006b-498d-aa9d-1dd48ebd57d8"/>
  </w:docVars>
  <w:rsids>
    <w:rsidRoot w:val="00705DF4"/>
    <w:rsid w:val="005D13F3"/>
    <w:rsid w:val="00705DF4"/>
    <w:rsid w:val="008270F4"/>
    <w:rsid w:val="00AD1761"/>
    <w:rsid w:val="00F60A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844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053448"/>
    <w:pPr>
      <w:spacing w:after="0" w:line="240" w:lineRule="auto"/>
    </w:pPr>
    <w:rPr>
      <w:rFonts w:asciiTheme="minorHAnsi" w:hAnsi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6C1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re-support@manchester.ac.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75101-E3AF-034C-9673-9727D7B3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1276</Words>
  <Characters>7019</Characters>
  <Application>Microsoft Office Word</Application>
  <DocSecurity>0</DocSecurity>
  <Lines>219</Lines>
  <Paragraphs>150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2020-04-14T14:59:00Z</dcterms:modified>
</cp:coreProperties>
</file>