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327F" w:rsidRDefault="003A1867" w:rsidP="00DB327F">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DB327F" w:rsidRPr="009D002B" w:rsidRDefault="00E062EA" w:rsidP="00DB327F"/>
    <w:p w:rsidR="00DB327F" w:rsidRPr="005B6D5E" w:rsidRDefault="003A1867" w:rsidP="00DB327F">
      <w:pPr>
        <w:pStyle w:val="ISMSNormal"/>
        <w:jc w:val="center"/>
        <w:rPr>
          <w:b/>
        </w:rPr>
      </w:pPr>
      <w:r>
        <w:rPr>
          <w:b/>
        </w:rPr>
        <w:t>POLICY AND GUIDANCE</w:t>
      </w:r>
    </w:p>
    <w:p w:rsidR="00DB327F" w:rsidRPr="005B6D5E" w:rsidRDefault="003A1867" w:rsidP="00DB327F">
      <w:pPr>
        <w:pStyle w:val="ISMSNormal"/>
        <w:jc w:val="center"/>
        <w:rPr>
          <w:b/>
        </w:rPr>
      </w:pPr>
      <w:r w:rsidRPr="005B6D5E">
        <w:rPr>
          <w:b/>
        </w:rPr>
        <w:t>Do not Photocopy</w:t>
      </w:r>
    </w:p>
    <w:p w:rsidR="00DB327F" w:rsidRPr="005B6D5E" w:rsidRDefault="00E062EA" w:rsidP="00DB327F">
      <w:pPr>
        <w:pStyle w:val="ISMSNormal"/>
        <w:jc w:val="center"/>
        <w:rPr>
          <w:b/>
        </w:rPr>
      </w:pPr>
    </w:p>
    <w:p w:rsidR="00DB327F" w:rsidRPr="00F06990" w:rsidRDefault="003A1867" w:rsidP="00DB327F">
      <w:pPr>
        <w:pStyle w:val="ISMSNormal"/>
        <w:jc w:val="center"/>
        <w:rPr>
          <w:b/>
        </w:rPr>
      </w:pPr>
      <w:r>
        <w:rPr>
          <w:b/>
        </w:rPr>
        <w:t xml:space="preserve">Document Information Classification: </w:t>
      </w:r>
      <w:r w:rsidRPr="00AE1A55">
        <w:rPr>
          <w:b/>
        </w:rPr>
        <w:t>Unrestricted</w:t>
      </w:r>
    </w:p>
    <w:p w:rsidR="00DB327F" w:rsidRPr="00A214A6" w:rsidRDefault="00E062EA" w:rsidP="00DB327F"/>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992F3A" w:rsidTr="00DB327F">
        <w:trPr>
          <w:jc w:val="center"/>
        </w:trPr>
        <w:tc>
          <w:tcPr>
            <w:tcW w:w="1912" w:type="pct"/>
            <w:tcBorders>
              <w:top w:val="single" w:sz="8" w:space="0" w:color="auto"/>
            </w:tcBorders>
          </w:tcPr>
          <w:p w:rsidR="00DB327F" w:rsidRPr="005B6D5E" w:rsidRDefault="003A1867" w:rsidP="00DB327F">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DB327F" w:rsidRPr="005B6D5E" w:rsidRDefault="003A1867" w:rsidP="00DB327F">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Supplier Management</w:t>
            </w:r>
            <w:r w:rsidRPr="005B6D5E">
              <w:rPr>
                <w:b/>
                <w:lang w:eastAsia="en-GB"/>
              </w:rPr>
              <w:fldChar w:fldCharType="end"/>
            </w:r>
          </w:p>
        </w:tc>
      </w:tr>
      <w:tr w:rsidR="00992F3A" w:rsidTr="00DB327F">
        <w:trPr>
          <w:jc w:val="center"/>
        </w:trPr>
        <w:tc>
          <w:tcPr>
            <w:tcW w:w="1912" w:type="pct"/>
          </w:tcPr>
          <w:p w:rsidR="00DB327F" w:rsidRPr="005B6D5E" w:rsidRDefault="003A1867" w:rsidP="00DB327F">
            <w:pPr>
              <w:pStyle w:val="ISMSNormal"/>
              <w:spacing w:before="120" w:after="120"/>
              <w:rPr>
                <w:b/>
                <w:lang w:eastAsia="en-GB"/>
              </w:rPr>
            </w:pPr>
            <w:r w:rsidRPr="005B6D5E">
              <w:rPr>
                <w:b/>
                <w:lang w:eastAsia="en-GB"/>
              </w:rPr>
              <w:t>Effective Date:</w:t>
            </w:r>
          </w:p>
        </w:tc>
        <w:tc>
          <w:tcPr>
            <w:tcW w:w="3088" w:type="pct"/>
          </w:tcPr>
          <w:p w:rsidR="00DB327F" w:rsidRPr="005B6D5E" w:rsidRDefault="003A1867" w:rsidP="00DB327F">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27 Sep 2019</w:t>
            </w:r>
            <w:r w:rsidRPr="005B6D5E">
              <w:rPr>
                <w:b/>
                <w:lang w:eastAsia="en-GB"/>
              </w:rPr>
              <w:fldChar w:fldCharType="end"/>
            </w:r>
          </w:p>
        </w:tc>
      </w:tr>
      <w:tr w:rsidR="00992F3A" w:rsidTr="00DB327F">
        <w:trPr>
          <w:jc w:val="center"/>
        </w:trPr>
        <w:tc>
          <w:tcPr>
            <w:tcW w:w="1912" w:type="pct"/>
          </w:tcPr>
          <w:p w:rsidR="00DB327F" w:rsidRPr="005B6D5E" w:rsidRDefault="003A1867" w:rsidP="00DB327F">
            <w:pPr>
              <w:pStyle w:val="ISMSNormal"/>
              <w:spacing w:before="120" w:after="120"/>
              <w:rPr>
                <w:b/>
                <w:lang w:eastAsia="en-GB"/>
              </w:rPr>
            </w:pPr>
            <w:r w:rsidRPr="005B6D5E">
              <w:rPr>
                <w:b/>
                <w:lang w:eastAsia="en-GB"/>
              </w:rPr>
              <w:t>Reference Number:</w:t>
            </w:r>
          </w:p>
        </w:tc>
        <w:tc>
          <w:tcPr>
            <w:tcW w:w="3088" w:type="pct"/>
          </w:tcPr>
          <w:p w:rsidR="00DB327F" w:rsidRPr="005B6D5E" w:rsidRDefault="003A1867" w:rsidP="00DB327F">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ISMS-03-06</w:t>
            </w:r>
            <w:r w:rsidRPr="005B6D5E">
              <w:rPr>
                <w:b/>
                <w:lang w:eastAsia="en-GB"/>
              </w:rPr>
              <w:fldChar w:fldCharType="end"/>
            </w:r>
          </w:p>
        </w:tc>
      </w:tr>
      <w:tr w:rsidR="00992F3A" w:rsidTr="00DB327F">
        <w:trPr>
          <w:jc w:val="center"/>
        </w:trPr>
        <w:tc>
          <w:tcPr>
            <w:tcW w:w="1912" w:type="pct"/>
          </w:tcPr>
          <w:p w:rsidR="00DB327F" w:rsidRPr="005B6D5E" w:rsidRDefault="003A1867" w:rsidP="00DB327F">
            <w:pPr>
              <w:pStyle w:val="ISMSNormal"/>
              <w:spacing w:before="120" w:after="120"/>
              <w:rPr>
                <w:b/>
                <w:lang w:eastAsia="en-GB"/>
              </w:rPr>
            </w:pPr>
            <w:r w:rsidRPr="005B6D5E">
              <w:rPr>
                <w:b/>
                <w:lang w:eastAsia="en-GB"/>
              </w:rPr>
              <w:t>Version Number:</w:t>
            </w:r>
          </w:p>
        </w:tc>
        <w:tc>
          <w:tcPr>
            <w:tcW w:w="3088" w:type="pct"/>
          </w:tcPr>
          <w:p w:rsidR="00DB327F" w:rsidRPr="005B6D5E" w:rsidRDefault="003A1867" w:rsidP="00DB327F">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3.0</w:t>
            </w:r>
            <w:r w:rsidRPr="005B6D5E">
              <w:rPr>
                <w:b/>
                <w:lang w:eastAsia="en-GB"/>
              </w:rPr>
              <w:fldChar w:fldCharType="end"/>
            </w:r>
          </w:p>
        </w:tc>
      </w:tr>
      <w:tr w:rsidR="00992F3A" w:rsidTr="00DB327F">
        <w:trPr>
          <w:jc w:val="center"/>
        </w:trPr>
        <w:tc>
          <w:tcPr>
            <w:tcW w:w="1912" w:type="pct"/>
          </w:tcPr>
          <w:p w:rsidR="00DB327F" w:rsidRPr="005B6D5E" w:rsidRDefault="003A1867" w:rsidP="00DB327F">
            <w:pPr>
              <w:pStyle w:val="ISMSNormal"/>
              <w:spacing w:before="120" w:after="120"/>
              <w:rPr>
                <w:b/>
                <w:lang w:eastAsia="en-GB"/>
              </w:rPr>
            </w:pPr>
            <w:r w:rsidRPr="005B6D5E">
              <w:rPr>
                <w:b/>
                <w:lang w:eastAsia="en-GB"/>
              </w:rPr>
              <w:t>Owner:</w:t>
            </w:r>
          </w:p>
        </w:tc>
        <w:tc>
          <w:tcPr>
            <w:tcW w:w="3088" w:type="pct"/>
          </w:tcPr>
          <w:p w:rsidR="00DB327F" w:rsidRPr="005B6D5E" w:rsidRDefault="003A1867" w:rsidP="00DB327F">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992F3A" w:rsidTr="00DB327F">
        <w:trPr>
          <w:jc w:val="center"/>
        </w:trPr>
        <w:tc>
          <w:tcPr>
            <w:tcW w:w="1912" w:type="pct"/>
            <w:tcBorders>
              <w:bottom w:val="single" w:sz="8" w:space="0" w:color="auto"/>
            </w:tcBorders>
          </w:tcPr>
          <w:p w:rsidR="00DB327F" w:rsidRPr="005B6D5E" w:rsidRDefault="003A1867" w:rsidP="00DB327F">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DB327F" w:rsidRPr="005B6D5E" w:rsidRDefault="003A1867" w:rsidP="00DB327F">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27 Sep 2021</w:t>
            </w:r>
            <w:r w:rsidRPr="005B6D5E">
              <w:rPr>
                <w:b/>
                <w:lang w:eastAsia="en-GB"/>
              </w:rPr>
              <w:fldChar w:fldCharType="end"/>
            </w:r>
          </w:p>
        </w:tc>
      </w:tr>
    </w:tbl>
    <w:p w:rsidR="00DB327F" w:rsidRPr="00A214A6" w:rsidRDefault="00E062EA" w:rsidP="00DB327F"/>
    <w:p w:rsidR="00DB327F" w:rsidRPr="00A214A6" w:rsidRDefault="003A1867" w:rsidP="00DB327F">
      <w:r w:rsidRPr="00A214A6">
        <w:br w:type="page"/>
      </w:r>
    </w:p>
    <w:p w:rsidR="00DB327F" w:rsidRPr="009D002B" w:rsidRDefault="00E062EA" w:rsidP="00DB327F"/>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DB327F" w:rsidRDefault="003A1867" w:rsidP="00DB327F">
          <w:pPr>
            <w:pStyle w:val="TOCHeading"/>
          </w:pPr>
          <w:r w:rsidRPr="00A35784">
            <w:t>Table of Contents</w:t>
          </w:r>
        </w:p>
        <w:p w:rsidR="00DB327F" w:rsidRPr="006735AF" w:rsidRDefault="00E062EA" w:rsidP="00DB327F">
          <w:pPr>
            <w:rPr>
              <w:lang w:val="en-US" w:eastAsia="ja-JP"/>
            </w:rPr>
          </w:pPr>
        </w:p>
        <w:p w:rsidR="00992F3A" w:rsidRDefault="003A1867">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sidRPr="00F5426C">
              <w:rPr>
                <w:rStyle w:val="Hyperlink"/>
              </w:rPr>
              <w:t>Purpose</w:t>
            </w:r>
            <w:r>
              <w:tab/>
            </w:r>
            <w:r>
              <w:fldChar w:fldCharType="begin"/>
            </w:r>
            <w:r>
              <w:instrText xml:space="preserve"> PAGEREF _Toc256000006 \h </w:instrText>
            </w:r>
            <w:r>
              <w:fldChar w:fldCharType="separate"/>
            </w:r>
            <w:r>
              <w:t>3</w:t>
            </w:r>
            <w:r>
              <w:fldChar w:fldCharType="end"/>
            </w:r>
          </w:hyperlink>
        </w:p>
        <w:p w:rsidR="00992F3A" w:rsidRDefault="00E062EA">
          <w:pPr>
            <w:pStyle w:val="TOC1"/>
            <w:tabs>
              <w:tab w:val="left" w:pos="480"/>
              <w:tab w:val="right" w:leader="dot" w:pos="9016"/>
            </w:tabs>
            <w:rPr>
              <w:rFonts w:asciiTheme="minorHAnsi" w:hAnsiTheme="minorHAnsi"/>
              <w:noProof/>
            </w:rPr>
          </w:pPr>
          <w:hyperlink w:anchor="_Toc256000007" w:history="1">
            <w:r w:rsidR="003A1867">
              <w:rPr>
                <w:rStyle w:val="Hyperlink"/>
              </w:rPr>
              <w:t>2.</w:t>
            </w:r>
            <w:r w:rsidR="003A1867">
              <w:rPr>
                <w:rFonts w:asciiTheme="minorHAnsi" w:hAnsiTheme="minorHAnsi"/>
                <w:noProof/>
              </w:rPr>
              <w:tab/>
            </w:r>
            <w:r w:rsidR="003A1867" w:rsidRPr="006E49B5">
              <w:rPr>
                <w:rStyle w:val="Hyperlink"/>
              </w:rPr>
              <w:t>Scope</w:t>
            </w:r>
            <w:r w:rsidR="003A1867">
              <w:tab/>
            </w:r>
            <w:r w:rsidR="003A1867">
              <w:fldChar w:fldCharType="begin"/>
            </w:r>
            <w:r w:rsidR="003A1867">
              <w:instrText xml:space="preserve"> PAGEREF _Toc256000007 \h </w:instrText>
            </w:r>
            <w:r w:rsidR="003A1867">
              <w:fldChar w:fldCharType="separate"/>
            </w:r>
            <w:r w:rsidR="003A1867">
              <w:t>3</w:t>
            </w:r>
            <w:r w:rsidR="003A1867">
              <w:fldChar w:fldCharType="end"/>
            </w:r>
          </w:hyperlink>
        </w:p>
        <w:p w:rsidR="00992F3A" w:rsidRDefault="00E062EA">
          <w:pPr>
            <w:pStyle w:val="TOC1"/>
            <w:tabs>
              <w:tab w:val="left" w:pos="480"/>
              <w:tab w:val="right" w:leader="dot" w:pos="9016"/>
            </w:tabs>
            <w:rPr>
              <w:rFonts w:asciiTheme="minorHAnsi" w:hAnsiTheme="minorHAnsi"/>
              <w:noProof/>
            </w:rPr>
          </w:pPr>
          <w:hyperlink w:anchor="_Toc256000008" w:history="1">
            <w:r w:rsidR="003A1867">
              <w:rPr>
                <w:rStyle w:val="Hyperlink"/>
              </w:rPr>
              <w:t>3.</w:t>
            </w:r>
            <w:r w:rsidR="003A1867">
              <w:rPr>
                <w:rFonts w:asciiTheme="minorHAnsi" w:hAnsiTheme="minorHAnsi"/>
                <w:noProof/>
              </w:rPr>
              <w:tab/>
            </w:r>
            <w:r w:rsidR="003A1867" w:rsidRPr="00A53C31">
              <w:rPr>
                <w:rStyle w:val="Hyperlink"/>
              </w:rPr>
              <w:t>Responsibilities</w:t>
            </w:r>
            <w:r w:rsidR="003A1867">
              <w:tab/>
            </w:r>
            <w:r w:rsidR="003A1867">
              <w:fldChar w:fldCharType="begin"/>
            </w:r>
            <w:r w:rsidR="003A1867">
              <w:instrText xml:space="preserve"> PAGEREF _Toc256000008 \h </w:instrText>
            </w:r>
            <w:r w:rsidR="003A1867">
              <w:fldChar w:fldCharType="separate"/>
            </w:r>
            <w:r w:rsidR="003A1867">
              <w:t>3</w:t>
            </w:r>
            <w:r w:rsidR="003A1867">
              <w:fldChar w:fldCharType="end"/>
            </w:r>
          </w:hyperlink>
        </w:p>
        <w:p w:rsidR="00992F3A" w:rsidRDefault="00E062EA">
          <w:pPr>
            <w:pStyle w:val="TOC1"/>
            <w:tabs>
              <w:tab w:val="left" w:pos="480"/>
              <w:tab w:val="right" w:leader="dot" w:pos="9016"/>
            </w:tabs>
            <w:rPr>
              <w:rFonts w:asciiTheme="minorHAnsi" w:hAnsiTheme="minorHAnsi"/>
              <w:noProof/>
            </w:rPr>
          </w:pPr>
          <w:hyperlink w:anchor="_Toc256000009" w:history="1">
            <w:r w:rsidR="003A1867">
              <w:rPr>
                <w:rStyle w:val="Hyperlink"/>
              </w:rPr>
              <w:t>4.</w:t>
            </w:r>
            <w:r w:rsidR="003A1867">
              <w:rPr>
                <w:rFonts w:asciiTheme="minorHAnsi" w:hAnsiTheme="minorHAnsi"/>
                <w:noProof/>
              </w:rPr>
              <w:tab/>
            </w:r>
            <w:r w:rsidR="003A1867" w:rsidRPr="006E49B5">
              <w:rPr>
                <w:rStyle w:val="Hyperlink"/>
              </w:rPr>
              <w:t>P</w:t>
            </w:r>
            <w:r w:rsidR="003A1867">
              <w:rPr>
                <w:rStyle w:val="Hyperlink"/>
              </w:rPr>
              <w:t>olicy</w:t>
            </w:r>
            <w:r w:rsidR="003A1867">
              <w:tab/>
            </w:r>
            <w:r w:rsidR="003A1867">
              <w:fldChar w:fldCharType="begin"/>
            </w:r>
            <w:r w:rsidR="003A1867">
              <w:instrText xml:space="preserve"> PAGEREF _Toc256000009 \h </w:instrText>
            </w:r>
            <w:r w:rsidR="003A1867">
              <w:fldChar w:fldCharType="separate"/>
            </w:r>
            <w:r w:rsidR="003A1867">
              <w:t>4</w:t>
            </w:r>
            <w:r w:rsidR="003A1867">
              <w:fldChar w:fldCharType="end"/>
            </w:r>
          </w:hyperlink>
        </w:p>
        <w:p w:rsidR="00992F3A" w:rsidRDefault="00E062EA">
          <w:pPr>
            <w:pStyle w:val="TOC2"/>
            <w:tabs>
              <w:tab w:val="left" w:pos="880"/>
              <w:tab w:val="right" w:leader="dot" w:pos="9016"/>
            </w:tabs>
            <w:rPr>
              <w:rFonts w:asciiTheme="minorHAnsi" w:hAnsiTheme="minorHAnsi"/>
              <w:noProof/>
            </w:rPr>
          </w:pPr>
          <w:hyperlink w:anchor="_Toc256000010" w:history="1">
            <w:r w:rsidR="003A1867">
              <w:rPr>
                <w:rStyle w:val="Hyperlink"/>
              </w:rPr>
              <w:t>4.1.</w:t>
            </w:r>
            <w:r w:rsidR="003A1867">
              <w:rPr>
                <w:rFonts w:asciiTheme="minorHAnsi" w:hAnsiTheme="minorHAnsi"/>
                <w:noProof/>
              </w:rPr>
              <w:tab/>
            </w:r>
            <w:r w:rsidR="003A1867">
              <w:rPr>
                <w:rStyle w:val="Hyperlink"/>
              </w:rPr>
              <w:t>Approved Suppliers</w:t>
            </w:r>
            <w:r w:rsidR="003A1867">
              <w:tab/>
            </w:r>
            <w:r w:rsidR="003A1867">
              <w:fldChar w:fldCharType="begin"/>
            </w:r>
            <w:r w:rsidR="003A1867">
              <w:instrText xml:space="preserve"> PAGEREF _Toc256000010 \h </w:instrText>
            </w:r>
            <w:r w:rsidR="003A1867">
              <w:fldChar w:fldCharType="separate"/>
            </w:r>
            <w:r w:rsidR="003A1867">
              <w:t>4</w:t>
            </w:r>
            <w:r w:rsidR="003A1867">
              <w:fldChar w:fldCharType="end"/>
            </w:r>
          </w:hyperlink>
        </w:p>
        <w:p w:rsidR="00992F3A" w:rsidRDefault="00E062EA">
          <w:pPr>
            <w:pStyle w:val="TOC2"/>
            <w:tabs>
              <w:tab w:val="left" w:pos="880"/>
              <w:tab w:val="right" w:leader="dot" w:pos="9016"/>
            </w:tabs>
            <w:rPr>
              <w:rFonts w:asciiTheme="minorHAnsi" w:hAnsiTheme="minorHAnsi"/>
              <w:noProof/>
            </w:rPr>
          </w:pPr>
          <w:hyperlink w:anchor="_Toc256000011" w:history="1">
            <w:r w:rsidR="003A1867">
              <w:rPr>
                <w:rStyle w:val="Hyperlink"/>
              </w:rPr>
              <w:t>4.2.</w:t>
            </w:r>
            <w:r w:rsidR="003A1867">
              <w:rPr>
                <w:rFonts w:asciiTheme="minorHAnsi" w:hAnsiTheme="minorHAnsi"/>
                <w:noProof/>
              </w:rPr>
              <w:tab/>
            </w:r>
            <w:r w:rsidR="003A1867">
              <w:rPr>
                <w:rStyle w:val="Hyperlink"/>
              </w:rPr>
              <w:t>Setting up new Suppliers</w:t>
            </w:r>
            <w:r w:rsidR="003A1867">
              <w:tab/>
            </w:r>
            <w:r w:rsidR="003A1867">
              <w:fldChar w:fldCharType="begin"/>
            </w:r>
            <w:r w:rsidR="003A1867">
              <w:instrText xml:space="preserve"> PAGEREF _Toc256000011 \h </w:instrText>
            </w:r>
            <w:r w:rsidR="003A1867">
              <w:fldChar w:fldCharType="separate"/>
            </w:r>
            <w:r w:rsidR="003A1867">
              <w:t>4</w:t>
            </w:r>
            <w:r w:rsidR="003A1867">
              <w:fldChar w:fldCharType="end"/>
            </w:r>
          </w:hyperlink>
        </w:p>
        <w:p w:rsidR="00992F3A" w:rsidRDefault="00E062EA">
          <w:pPr>
            <w:pStyle w:val="TOC2"/>
            <w:tabs>
              <w:tab w:val="left" w:pos="880"/>
              <w:tab w:val="right" w:leader="dot" w:pos="9016"/>
            </w:tabs>
            <w:rPr>
              <w:rFonts w:asciiTheme="minorHAnsi" w:hAnsiTheme="minorHAnsi"/>
              <w:noProof/>
            </w:rPr>
          </w:pPr>
          <w:hyperlink w:anchor="_Toc256000016" w:history="1">
            <w:r w:rsidR="003A1867">
              <w:rPr>
                <w:rStyle w:val="Hyperlink"/>
              </w:rPr>
              <w:t>4.3.</w:t>
            </w:r>
            <w:r w:rsidR="003A1867">
              <w:rPr>
                <w:rFonts w:asciiTheme="minorHAnsi" w:hAnsiTheme="minorHAnsi"/>
                <w:noProof/>
              </w:rPr>
              <w:tab/>
            </w:r>
            <w:r w:rsidR="003A1867">
              <w:rPr>
                <w:rStyle w:val="Hyperlink"/>
              </w:rPr>
              <w:t>Cost of Supply</w:t>
            </w:r>
            <w:r w:rsidR="003A1867">
              <w:tab/>
            </w:r>
            <w:r w:rsidR="003A1867">
              <w:fldChar w:fldCharType="begin"/>
            </w:r>
            <w:r w:rsidR="003A1867">
              <w:instrText xml:space="preserve"> PAGEREF _Toc256000016 \h </w:instrText>
            </w:r>
            <w:r w:rsidR="003A1867">
              <w:fldChar w:fldCharType="separate"/>
            </w:r>
            <w:r w:rsidR="003A1867">
              <w:t>4</w:t>
            </w:r>
            <w:r w:rsidR="003A1867">
              <w:fldChar w:fldCharType="end"/>
            </w:r>
          </w:hyperlink>
        </w:p>
        <w:p w:rsidR="00992F3A" w:rsidRDefault="00E062EA">
          <w:pPr>
            <w:pStyle w:val="TOC2"/>
            <w:tabs>
              <w:tab w:val="left" w:pos="880"/>
              <w:tab w:val="right" w:leader="dot" w:pos="9016"/>
            </w:tabs>
            <w:rPr>
              <w:rFonts w:asciiTheme="minorHAnsi" w:hAnsiTheme="minorHAnsi"/>
              <w:noProof/>
            </w:rPr>
          </w:pPr>
          <w:hyperlink w:anchor="_Toc256000024" w:history="1">
            <w:r w:rsidR="003A1867">
              <w:rPr>
                <w:rStyle w:val="Hyperlink"/>
              </w:rPr>
              <w:t>4.4.</w:t>
            </w:r>
            <w:r w:rsidR="003A1867">
              <w:rPr>
                <w:rFonts w:asciiTheme="minorHAnsi" w:hAnsiTheme="minorHAnsi"/>
                <w:noProof/>
              </w:rPr>
              <w:tab/>
            </w:r>
            <w:r w:rsidR="003A1867">
              <w:rPr>
                <w:rStyle w:val="Hyperlink"/>
              </w:rPr>
              <w:t>Criticality of a TRE Supplier</w:t>
            </w:r>
            <w:r w:rsidR="003A1867">
              <w:tab/>
            </w:r>
            <w:r w:rsidR="003A1867">
              <w:fldChar w:fldCharType="begin"/>
            </w:r>
            <w:r w:rsidR="003A1867">
              <w:instrText xml:space="preserve"> PAGEREF _Toc256000024 \h </w:instrText>
            </w:r>
            <w:r w:rsidR="003A1867">
              <w:fldChar w:fldCharType="separate"/>
            </w:r>
            <w:r w:rsidR="003A1867">
              <w:t>5</w:t>
            </w:r>
            <w:r w:rsidR="003A1867">
              <w:fldChar w:fldCharType="end"/>
            </w:r>
          </w:hyperlink>
        </w:p>
        <w:p w:rsidR="00992F3A" w:rsidRDefault="00E062EA">
          <w:pPr>
            <w:pStyle w:val="TOC2"/>
            <w:tabs>
              <w:tab w:val="left" w:pos="880"/>
              <w:tab w:val="right" w:leader="dot" w:pos="9016"/>
            </w:tabs>
            <w:rPr>
              <w:rFonts w:asciiTheme="minorHAnsi" w:hAnsiTheme="minorHAnsi"/>
              <w:noProof/>
            </w:rPr>
          </w:pPr>
          <w:hyperlink w:anchor="_Toc256000025" w:history="1">
            <w:r w:rsidR="003A1867">
              <w:rPr>
                <w:rStyle w:val="Hyperlink"/>
              </w:rPr>
              <w:t>4.5.</w:t>
            </w:r>
            <w:r w:rsidR="003A1867">
              <w:rPr>
                <w:rFonts w:asciiTheme="minorHAnsi" w:hAnsiTheme="minorHAnsi"/>
                <w:noProof/>
              </w:rPr>
              <w:tab/>
            </w:r>
            <w:r w:rsidR="003A1867">
              <w:rPr>
                <w:rStyle w:val="Hyperlink"/>
              </w:rPr>
              <w:t>Supplier Assessment Process</w:t>
            </w:r>
            <w:r w:rsidR="003A1867">
              <w:tab/>
            </w:r>
            <w:r w:rsidR="003A1867">
              <w:fldChar w:fldCharType="begin"/>
            </w:r>
            <w:r w:rsidR="003A1867">
              <w:instrText xml:space="preserve"> PAGEREF _Toc256000025 \h </w:instrText>
            </w:r>
            <w:r w:rsidR="003A1867">
              <w:fldChar w:fldCharType="separate"/>
            </w:r>
            <w:r w:rsidR="003A1867">
              <w:t>6</w:t>
            </w:r>
            <w:r w:rsidR="003A1867">
              <w:fldChar w:fldCharType="end"/>
            </w:r>
          </w:hyperlink>
        </w:p>
        <w:p w:rsidR="00992F3A" w:rsidRDefault="00E062EA">
          <w:pPr>
            <w:pStyle w:val="TOC3"/>
            <w:tabs>
              <w:tab w:val="left" w:pos="1320"/>
              <w:tab w:val="right" w:leader="dot" w:pos="9016"/>
            </w:tabs>
            <w:rPr>
              <w:rFonts w:asciiTheme="minorHAnsi" w:hAnsiTheme="minorHAnsi"/>
              <w:noProof/>
            </w:rPr>
          </w:pPr>
          <w:hyperlink w:anchor="_Toc256000026" w:history="1">
            <w:r w:rsidR="003A1867">
              <w:rPr>
                <w:rStyle w:val="Hyperlink"/>
              </w:rPr>
              <w:t>4.5.1.</w:t>
            </w:r>
            <w:r w:rsidR="003A1867">
              <w:rPr>
                <w:rFonts w:asciiTheme="minorHAnsi" w:hAnsiTheme="minorHAnsi"/>
                <w:noProof/>
              </w:rPr>
              <w:tab/>
            </w:r>
            <w:r w:rsidR="003A1867">
              <w:rPr>
                <w:rStyle w:val="Hyperlink"/>
              </w:rPr>
              <w:t>New Suppliers</w:t>
            </w:r>
            <w:r w:rsidR="003A1867">
              <w:tab/>
            </w:r>
            <w:r w:rsidR="003A1867">
              <w:fldChar w:fldCharType="begin"/>
            </w:r>
            <w:r w:rsidR="003A1867">
              <w:instrText xml:space="preserve"> PAGEREF _Toc256000026 \h </w:instrText>
            </w:r>
            <w:r w:rsidR="003A1867">
              <w:fldChar w:fldCharType="separate"/>
            </w:r>
            <w:r w:rsidR="003A1867">
              <w:t>6</w:t>
            </w:r>
            <w:r w:rsidR="003A1867">
              <w:fldChar w:fldCharType="end"/>
            </w:r>
          </w:hyperlink>
        </w:p>
        <w:p w:rsidR="00992F3A" w:rsidRDefault="00E062EA">
          <w:pPr>
            <w:pStyle w:val="TOC3"/>
            <w:tabs>
              <w:tab w:val="left" w:pos="1320"/>
              <w:tab w:val="right" w:leader="dot" w:pos="9016"/>
            </w:tabs>
            <w:rPr>
              <w:rFonts w:asciiTheme="minorHAnsi" w:hAnsiTheme="minorHAnsi"/>
              <w:noProof/>
            </w:rPr>
          </w:pPr>
          <w:hyperlink w:anchor="_Toc256000037" w:history="1">
            <w:r w:rsidR="003A1867">
              <w:rPr>
                <w:rStyle w:val="Hyperlink"/>
              </w:rPr>
              <w:t>4.5.2.</w:t>
            </w:r>
            <w:r w:rsidR="003A1867">
              <w:rPr>
                <w:rFonts w:asciiTheme="minorHAnsi" w:hAnsiTheme="minorHAnsi"/>
                <w:noProof/>
              </w:rPr>
              <w:tab/>
            </w:r>
            <w:r w:rsidR="003A1867">
              <w:rPr>
                <w:rStyle w:val="Hyperlink"/>
              </w:rPr>
              <w:t>Suppliers with ongoing Service Provision</w:t>
            </w:r>
            <w:r w:rsidR="003A1867">
              <w:tab/>
            </w:r>
            <w:r w:rsidR="003A1867">
              <w:fldChar w:fldCharType="begin"/>
            </w:r>
            <w:r w:rsidR="003A1867">
              <w:instrText xml:space="preserve"> PAGEREF _Toc256000037 \h </w:instrText>
            </w:r>
            <w:r w:rsidR="003A1867">
              <w:fldChar w:fldCharType="separate"/>
            </w:r>
            <w:r w:rsidR="003A1867">
              <w:t>6</w:t>
            </w:r>
            <w:r w:rsidR="003A1867">
              <w:fldChar w:fldCharType="end"/>
            </w:r>
          </w:hyperlink>
        </w:p>
        <w:p w:rsidR="00992F3A" w:rsidRDefault="00E062EA">
          <w:pPr>
            <w:pStyle w:val="TOC3"/>
            <w:tabs>
              <w:tab w:val="left" w:pos="1320"/>
              <w:tab w:val="right" w:leader="dot" w:pos="9016"/>
            </w:tabs>
            <w:rPr>
              <w:rFonts w:asciiTheme="minorHAnsi" w:hAnsiTheme="minorHAnsi"/>
              <w:noProof/>
            </w:rPr>
          </w:pPr>
          <w:hyperlink w:anchor="_Toc256000038" w:history="1">
            <w:r w:rsidR="003A1867">
              <w:rPr>
                <w:rStyle w:val="Hyperlink"/>
              </w:rPr>
              <w:t>4.5.3.</w:t>
            </w:r>
            <w:r w:rsidR="003A1867">
              <w:rPr>
                <w:rFonts w:asciiTheme="minorHAnsi" w:hAnsiTheme="minorHAnsi"/>
                <w:noProof/>
              </w:rPr>
              <w:tab/>
            </w:r>
            <w:r w:rsidR="003A1867">
              <w:rPr>
                <w:rStyle w:val="Hyperlink"/>
              </w:rPr>
              <w:t>One-off Suppliers</w:t>
            </w:r>
            <w:r w:rsidR="003A1867">
              <w:tab/>
            </w:r>
            <w:r w:rsidR="003A1867">
              <w:fldChar w:fldCharType="begin"/>
            </w:r>
            <w:r w:rsidR="003A1867">
              <w:instrText xml:space="preserve"> PAGEREF _Toc256000038 \h </w:instrText>
            </w:r>
            <w:r w:rsidR="003A1867">
              <w:fldChar w:fldCharType="separate"/>
            </w:r>
            <w:r w:rsidR="003A1867">
              <w:t>6</w:t>
            </w:r>
            <w:r w:rsidR="003A1867">
              <w:fldChar w:fldCharType="end"/>
            </w:r>
          </w:hyperlink>
        </w:p>
        <w:p w:rsidR="00992F3A" w:rsidRDefault="00E062EA">
          <w:pPr>
            <w:pStyle w:val="TOC2"/>
            <w:tabs>
              <w:tab w:val="left" w:pos="880"/>
              <w:tab w:val="right" w:leader="dot" w:pos="9016"/>
            </w:tabs>
            <w:rPr>
              <w:rFonts w:asciiTheme="minorHAnsi" w:hAnsiTheme="minorHAnsi"/>
              <w:noProof/>
            </w:rPr>
          </w:pPr>
          <w:hyperlink w:anchor="_Toc256000047" w:history="1">
            <w:r w:rsidR="003A1867">
              <w:rPr>
                <w:rStyle w:val="Hyperlink"/>
              </w:rPr>
              <w:t>4.6.</w:t>
            </w:r>
            <w:r w:rsidR="003A1867">
              <w:rPr>
                <w:rFonts w:asciiTheme="minorHAnsi" w:hAnsiTheme="minorHAnsi"/>
                <w:noProof/>
              </w:rPr>
              <w:tab/>
            </w:r>
            <w:r w:rsidR="003A1867">
              <w:rPr>
                <w:rStyle w:val="Hyperlink"/>
              </w:rPr>
              <w:t>Supplier Assessment Review</w:t>
            </w:r>
            <w:r w:rsidR="003A1867">
              <w:tab/>
            </w:r>
            <w:r w:rsidR="003A1867">
              <w:fldChar w:fldCharType="begin"/>
            </w:r>
            <w:r w:rsidR="003A1867">
              <w:instrText xml:space="preserve"> PAGEREF _Toc256000047 \h </w:instrText>
            </w:r>
            <w:r w:rsidR="003A1867">
              <w:fldChar w:fldCharType="separate"/>
            </w:r>
            <w:r w:rsidR="003A1867">
              <w:t>6</w:t>
            </w:r>
            <w:r w:rsidR="003A1867">
              <w:fldChar w:fldCharType="end"/>
            </w:r>
          </w:hyperlink>
        </w:p>
        <w:p w:rsidR="00992F3A" w:rsidRDefault="00E062EA">
          <w:pPr>
            <w:pStyle w:val="TOC3"/>
            <w:tabs>
              <w:tab w:val="left" w:pos="1320"/>
              <w:tab w:val="right" w:leader="dot" w:pos="9016"/>
            </w:tabs>
            <w:rPr>
              <w:rFonts w:asciiTheme="minorHAnsi" w:hAnsiTheme="minorHAnsi"/>
              <w:noProof/>
            </w:rPr>
          </w:pPr>
          <w:hyperlink w:anchor="_Toc256000048" w:history="1">
            <w:r w:rsidR="003A1867">
              <w:rPr>
                <w:rStyle w:val="Hyperlink"/>
              </w:rPr>
              <w:t>4.6.1.</w:t>
            </w:r>
            <w:r w:rsidR="003A1867">
              <w:rPr>
                <w:rFonts w:asciiTheme="minorHAnsi" w:hAnsiTheme="minorHAnsi"/>
                <w:noProof/>
              </w:rPr>
              <w:tab/>
            </w:r>
            <w:r w:rsidR="003A1867">
              <w:rPr>
                <w:rStyle w:val="Hyperlink"/>
              </w:rPr>
              <w:t>Checklist Questions</w:t>
            </w:r>
            <w:r w:rsidR="003A1867">
              <w:tab/>
            </w:r>
            <w:r w:rsidR="003A1867">
              <w:fldChar w:fldCharType="begin"/>
            </w:r>
            <w:r w:rsidR="003A1867">
              <w:instrText xml:space="preserve"> PAGEREF _Toc256000048 \h </w:instrText>
            </w:r>
            <w:r w:rsidR="003A1867">
              <w:fldChar w:fldCharType="separate"/>
            </w:r>
            <w:r w:rsidR="003A1867">
              <w:t>7</w:t>
            </w:r>
            <w:r w:rsidR="003A1867">
              <w:fldChar w:fldCharType="end"/>
            </w:r>
          </w:hyperlink>
        </w:p>
        <w:p w:rsidR="00992F3A" w:rsidRDefault="00E062EA">
          <w:pPr>
            <w:pStyle w:val="TOC2"/>
            <w:tabs>
              <w:tab w:val="left" w:pos="880"/>
              <w:tab w:val="right" w:leader="dot" w:pos="9016"/>
            </w:tabs>
            <w:rPr>
              <w:rFonts w:asciiTheme="minorHAnsi" w:hAnsiTheme="minorHAnsi"/>
              <w:noProof/>
            </w:rPr>
          </w:pPr>
          <w:hyperlink w:anchor="_Toc256000051" w:history="1">
            <w:r w:rsidR="003A1867">
              <w:rPr>
                <w:rStyle w:val="Hyperlink"/>
              </w:rPr>
              <w:t>4.7.</w:t>
            </w:r>
            <w:r w:rsidR="003A1867">
              <w:rPr>
                <w:rFonts w:asciiTheme="minorHAnsi" w:hAnsiTheme="minorHAnsi"/>
                <w:noProof/>
              </w:rPr>
              <w:tab/>
            </w:r>
            <w:r w:rsidR="003A1867">
              <w:rPr>
                <w:rStyle w:val="Hyperlink"/>
              </w:rPr>
              <w:t>Communication with Suppliers during assessment</w:t>
            </w:r>
            <w:r w:rsidR="003A1867">
              <w:tab/>
            </w:r>
            <w:r w:rsidR="003A1867">
              <w:fldChar w:fldCharType="begin"/>
            </w:r>
            <w:r w:rsidR="003A1867">
              <w:instrText xml:space="preserve"> PAGEREF _Toc256000051 \h </w:instrText>
            </w:r>
            <w:r w:rsidR="003A1867">
              <w:fldChar w:fldCharType="separate"/>
            </w:r>
            <w:r w:rsidR="003A1867">
              <w:t>7</w:t>
            </w:r>
            <w:r w:rsidR="003A1867">
              <w:fldChar w:fldCharType="end"/>
            </w:r>
          </w:hyperlink>
        </w:p>
        <w:p w:rsidR="00992F3A" w:rsidRDefault="00E062EA">
          <w:pPr>
            <w:pStyle w:val="TOC1"/>
            <w:tabs>
              <w:tab w:val="left" w:pos="480"/>
              <w:tab w:val="right" w:leader="dot" w:pos="9016"/>
            </w:tabs>
            <w:rPr>
              <w:rFonts w:asciiTheme="minorHAnsi" w:hAnsiTheme="minorHAnsi"/>
              <w:noProof/>
            </w:rPr>
          </w:pPr>
          <w:hyperlink w:anchor="_Toc256000052" w:history="1">
            <w:r w:rsidR="003A1867">
              <w:rPr>
                <w:rStyle w:val="Hyperlink"/>
              </w:rPr>
              <w:t>5.</w:t>
            </w:r>
            <w:r w:rsidR="003A1867">
              <w:rPr>
                <w:rFonts w:asciiTheme="minorHAnsi" w:hAnsiTheme="minorHAnsi"/>
                <w:noProof/>
              </w:rPr>
              <w:tab/>
            </w:r>
            <w:r w:rsidR="003A1867">
              <w:rPr>
                <w:rStyle w:val="Hyperlink"/>
              </w:rPr>
              <w:t>Cross-referenced ISMS Documents</w:t>
            </w:r>
            <w:r w:rsidR="003A1867">
              <w:tab/>
            </w:r>
            <w:r w:rsidR="003A1867">
              <w:fldChar w:fldCharType="begin"/>
            </w:r>
            <w:r w:rsidR="003A1867">
              <w:instrText xml:space="preserve"> PAGEREF _Toc256000052 \h </w:instrText>
            </w:r>
            <w:r w:rsidR="003A1867">
              <w:fldChar w:fldCharType="separate"/>
            </w:r>
            <w:r w:rsidR="003A1867">
              <w:t>7</w:t>
            </w:r>
            <w:r w:rsidR="003A1867">
              <w:fldChar w:fldCharType="end"/>
            </w:r>
          </w:hyperlink>
        </w:p>
        <w:p w:rsidR="00992F3A" w:rsidRDefault="00E062EA">
          <w:pPr>
            <w:pStyle w:val="TOC1"/>
            <w:tabs>
              <w:tab w:val="left" w:pos="480"/>
              <w:tab w:val="right" w:leader="dot" w:pos="9016"/>
            </w:tabs>
            <w:rPr>
              <w:rFonts w:asciiTheme="minorHAnsi" w:hAnsiTheme="minorHAnsi"/>
              <w:noProof/>
            </w:rPr>
          </w:pPr>
          <w:hyperlink w:anchor="_Toc256000053" w:history="1">
            <w:r w:rsidR="003A1867">
              <w:rPr>
                <w:rStyle w:val="Hyperlink"/>
              </w:rPr>
              <w:t>6.</w:t>
            </w:r>
            <w:r w:rsidR="003A1867">
              <w:rPr>
                <w:rFonts w:asciiTheme="minorHAnsi" w:hAnsiTheme="minorHAnsi"/>
                <w:noProof/>
              </w:rPr>
              <w:tab/>
            </w:r>
            <w:r w:rsidR="003A1867" w:rsidRPr="00A53C31">
              <w:rPr>
                <w:rStyle w:val="Hyperlink"/>
              </w:rPr>
              <w:t>Appendices</w:t>
            </w:r>
            <w:r w:rsidR="003A1867">
              <w:tab/>
            </w:r>
            <w:r w:rsidR="003A1867">
              <w:fldChar w:fldCharType="begin"/>
            </w:r>
            <w:r w:rsidR="003A1867">
              <w:instrText xml:space="preserve"> PAGEREF _Toc256000053 \h </w:instrText>
            </w:r>
            <w:r w:rsidR="003A1867">
              <w:fldChar w:fldCharType="separate"/>
            </w:r>
            <w:r w:rsidR="003A1867">
              <w:t>8</w:t>
            </w:r>
            <w:r w:rsidR="003A1867">
              <w:fldChar w:fldCharType="end"/>
            </w:r>
          </w:hyperlink>
        </w:p>
        <w:p w:rsidR="00992F3A" w:rsidRDefault="00E062EA">
          <w:pPr>
            <w:pStyle w:val="TOC2"/>
            <w:tabs>
              <w:tab w:val="left" w:pos="880"/>
              <w:tab w:val="right" w:leader="dot" w:pos="9016"/>
            </w:tabs>
            <w:rPr>
              <w:rFonts w:asciiTheme="minorHAnsi" w:hAnsiTheme="minorHAnsi"/>
              <w:noProof/>
            </w:rPr>
          </w:pPr>
          <w:hyperlink w:anchor="_Toc256000054" w:history="1">
            <w:r w:rsidR="003A1867">
              <w:rPr>
                <w:rStyle w:val="Hyperlink"/>
              </w:rPr>
              <w:t>6.1.</w:t>
            </w:r>
            <w:r w:rsidR="003A1867">
              <w:rPr>
                <w:rFonts w:asciiTheme="minorHAnsi" w:hAnsiTheme="minorHAnsi"/>
                <w:noProof/>
              </w:rPr>
              <w:tab/>
            </w:r>
            <w:r w:rsidR="003A1867">
              <w:rPr>
                <w:rStyle w:val="Hyperlink"/>
              </w:rPr>
              <w:t>Use of Q-Pulse to Manage Supplier Records</w:t>
            </w:r>
            <w:r w:rsidR="003A1867">
              <w:tab/>
            </w:r>
            <w:r w:rsidR="003A1867">
              <w:fldChar w:fldCharType="begin"/>
            </w:r>
            <w:r w:rsidR="003A1867">
              <w:instrText xml:space="preserve"> PAGEREF _Toc256000054 \h </w:instrText>
            </w:r>
            <w:r w:rsidR="003A1867">
              <w:fldChar w:fldCharType="separate"/>
            </w:r>
            <w:r w:rsidR="003A1867">
              <w:t>8</w:t>
            </w:r>
            <w:r w:rsidR="003A1867">
              <w:fldChar w:fldCharType="end"/>
            </w:r>
          </w:hyperlink>
        </w:p>
        <w:p w:rsidR="00992F3A" w:rsidRDefault="00E062EA">
          <w:pPr>
            <w:pStyle w:val="TOC3"/>
            <w:tabs>
              <w:tab w:val="left" w:pos="1320"/>
              <w:tab w:val="right" w:leader="dot" w:pos="9016"/>
            </w:tabs>
            <w:rPr>
              <w:rFonts w:asciiTheme="minorHAnsi" w:hAnsiTheme="minorHAnsi"/>
              <w:noProof/>
            </w:rPr>
          </w:pPr>
          <w:hyperlink w:anchor="_Toc256000055" w:history="1">
            <w:r w:rsidR="003A1867">
              <w:rPr>
                <w:rStyle w:val="Hyperlink"/>
              </w:rPr>
              <w:t>6.1.1.</w:t>
            </w:r>
            <w:r w:rsidR="003A1867">
              <w:rPr>
                <w:rFonts w:asciiTheme="minorHAnsi" w:hAnsiTheme="minorHAnsi"/>
                <w:noProof/>
              </w:rPr>
              <w:tab/>
            </w:r>
            <w:r w:rsidR="003A1867">
              <w:rPr>
                <w:rStyle w:val="Hyperlink"/>
              </w:rPr>
              <w:t>Create a New Supplier Record</w:t>
            </w:r>
            <w:r w:rsidR="003A1867">
              <w:tab/>
            </w:r>
            <w:r w:rsidR="003A1867">
              <w:fldChar w:fldCharType="begin"/>
            </w:r>
            <w:r w:rsidR="003A1867">
              <w:instrText xml:space="preserve"> PAGEREF _Toc256000055 \h </w:instrText>
            </w:r>
            <w:r w:rsidR="003A1867">
              <w:fldChar w:fldCharType="separate"/>
            </w:r>
            <w:r w:rsidR="003A1867">
              <w:t>8</w:t>
            </w:r>
            <w:r w:rsidR="003A1867">
              <w:fldChar w:fldCharType="end"/>
            </w:r>
          </w:hyperlink>
        </w:p>
        <w:p w:rsidR="00992F3A" w:rsidRDefault="00E062EA">
          <w:pPr>
            <w:pStyle w:val="TOC2"/>
            <w:tabs>
              <w:tab w:val="left" w:pos="880"/>
              <w:tab w:val="right" w:leader="dot" w:pos="9016"/>
            </w:tabs>
            <w:rPr>
              <w:rFonts w:asciiTheme="minorHAnsi" w:hAnsiTheme="minorHAnsi"/>
              <w:noProof/>
            </w:rPr>
          </w:pPr>
          <w:hyperlink w:anchor="_Toc256000056" w:history="1">
            <w:r w:rsidR="003A1867">
              <w:rPr>
                <w:rStyle w:val="Hyperlink"/>
              </w:rPr>
              <w:t>6.2.</w:t>
            </w:r>
            <w:r w:rsidR="003A1867">
              <w:rPr>
                <w:rFonts w:asciiTheme="minorHAnsi" w:hAnsiTheme="minorHAnsi"/>
                <w:noProof/>
              </w:rPr>
              <w:tab/>
            </w:r>
            <w:r w:rsidR="003A1867">
              <w:rPr>
                <w:rStyle w:val="Hyperlink"/>
              </w:rPr>
              <w:t>Use of Q-Pulse to Manage Supplier Audits</w:t>
            </w:r>
            <w:r w:rsidR="003A1867">
              <w:tab/>
            </w:r>
            <w:r w:rsidR="003A1867">
              <w:fldChar w:fldCharType="begin"/>
            </w:r>
            <w:r w:rsidR="003A1867">
              <w:instrText xml:space="preserve"> PAGEREF _Toc256000056 \h </w:instrText>
            </w:r>
            <w:r w:rsidR="003A1867">
              <w:fldChar w:fldCharType="separate"/>
            </w:r>
            <w:r w:rsidR="003A1867">
              <w:t>9</w:t>
            </w:r>
            <w:r w:rsidR="003A1867">
              <w:fldChar w:fldCharType="end"/>
            </w:r>
          </w:hyperlink>
        </w:p>
        <w:p w:rsidR="00992F3A" w:rsidRDefault="00E062EA">
          <w:pPr>
            <w:pStyle w:val="TOC3"/>
            <w:tabs>
              <w:tab w:val="left" w:pos="1320"/>
              <w:tab w:val="right" w:leader="dot" w:pos="9016"/>
            </w:tabs>
            <w:rPr>
              <w:rFonts w:asciiTheme="minorHAnsi" w:hAnsiTheme="minorHAnsi"/>
              <w:noProof/>
            </w:rPr>
          </w:pPr>
          <w:hyperlink w:anchor="_Toc256000057" w:history="1">
            <w:r w:rsidR="003A1867">
              <w:rPr>
                <w:rStyle w:val="Hyperlink"/>
              </w:rPr>
              <w:t>6.2.1.</w:t>
            </w:r>
            <w:r w:rsidR="003A1867">
              <w:rPr>
                <w:rFonts w:asciiTheme="minorHAnsi" w:hAnsiTheme="minorHAnsi"/>
                <w:noProof/>
              </w:rPr>
              <w:tab/>
            </w:r>
            <w:r w:rsidR="003A1867">
              <w:rPr>
                <w:rStyle w:val="Hyperlink"/>
              </w:rPr>
              <w:t>Create a New Supplier Audit Record</w:t>
            </w:r>
            <w:r w:rsidR="003A1867">
              <w:tab/>
            </w:r>
            <w:r w:rsidR="003A1867">
              <w:fldChar w:fldCharType="begin"/>
            </w:r>
            <w:r w:rsidR="003A1867">
              <w:instrText xml:space="preserve"> PAGEREF _Toc256000057 \h </w:instrText>
            </w:r>
            <w:r w:rsidR="003A1867">
              <w:fldChar w:fldCharType="separate"/>
            </w:r>
            <w:r w:rsidR="003A1867">
              <w:t>9</w:t>
            </w:r>
            <w:r w:rsidR="003A1867">
              <w:fldChar w:fldCharType="end"/>
            </w:r>
          </w:hyperlink>
        </w:p>
        <w:p w:rsidR="00992F3A" w:rsidRDefault="00E062EA">
          <w:pPr>
            <w:pStyle w:val="TOC4"/>
            <w:tabs>
              <w:tab w:val="left" w:pos="1920"/>
              <w:tab w:val="right" w:leader="dot" w:pos="9016"/>
            </w:tabs>
            <w:rPr>
              <w:rFonts w:asciiTheme="minorHAnsi" w:hAnsiTheme="minorHAnsi"/>
              <w:noProof/>
            </w:rPr>
          </w:pPr>
          <w:hyperlink w:anchor="_Toc256000058" w:history="1">
            <w:r w:rsidR="003A1867">
              <w:rPr>
                <w:rStyle w:val="Hyperlink"/>
              </w:rPr>
              <w:t>6.2.1.1.</w:t>
            </w:r>
            <w:r w:rsidR="003A1867">
              <w:rPr>
                <w:rFonts w:asciiTheme="minorHAnsi" w:hAnsiTheme="minorHAnsi"/>
                <w:noProof/>
              </w:rPr>
              <w:tab/>
            </w:r>
            <w:r w:rsidR="003A1867">
              <w:rPr>
                <w:rStyle w:val="Hyperlink"/>
              </w:rPr>
              <w:t>Adding the Checklist</w:t>
            </w:r>
            <w:r w:rsidR="003A1867">
              <w:tab/>
            </w:r>
            <w:r w:rsidR="003A1867">
              <w:fldChar w:fldCharType="begin"/>
            </w:r>
            <w:r w:rsidR="003A1867">
              <w:instrText xml:space="preserve"> PAGEREF _Toc256000058 \h </w:instrText>
            </w:r>
            <w:r w:rsidR="003A1867">
              <w:fldChar w:fldCharType="separate"/>
            </w:r>
            <w:r w:rsidR="003A1867">
              <w:t>11</w:t>
            </w:r>
            <w:r w:rsidR="003A1867">
              <w:fldChar w:fldCharType="end"/>
            </w:r>
          </w:hyperlink>
        </w:p>
        <w:p w:rsidR="00992F3A" w:rsidRDefault="00E062EA">
          <w:pPr>
            <w:pStyle w:val="TOC3"/>
            <w:tabs>
              <w:tab w:val="left" w:pos="1320"/>
              <w:tab w:val="right" w:leader="dot" w:pos="9016"/>
            </w:tabs>
            <w:rPr>
              <w:rFonts w:asciiTheme="minorHAnsi" w:hAnsiTheme="minorHAnsi"/>
              <w:noProof/>
            </w:rPr>
          </w:pPr>
          <w:hyperlink w:anchor="_Toc256000059" w:history="1">
            <w:r w:rsidR="003A1867">
              <w:rPr>
                <w:rStyle w:val="Hyperlink"/>
              </w:rPr>
              <w:t>6.2.2.</w:t>
            </w:r>
            <w:r w:rsidR="003A1867">
              <w:rPr>
                <w:rFonts w:asciiTheme="minorHAnsi" w:hAnsiTheme="minorHAnsi"/>
                <w:noProof/>
              </w:rPr>
              <w:tab/>
            </w:r>
            <w:r w:rsidR="003A1867">
              <w:rPr>
                <w:rStyle w:val="Hyperlink"/>
              </w:rPr>
              <w:t>Starting the Audit</w:t>
            </w:r>
            <w:r w:rsidR="003A1867">
              <w:tab/>
            </w:r>
            <w:r w:rsidR="003A1867">
              <w:fldChar w:fldCharType="begin"/>
            </w:r>
            <w:r w:rsidR="003A1867">
              <w:instrText xml:space="preserve"> PAGEREF _Toc256000059 \h </w:instrText>
            </w:r>
            <w:r w:rsidR="003A1867">
              <w:fldChar w:fldCharType="separate"/>
            </w:r>
            <w:r w:rsidR="003A1867">
              <w:t>12</w:t>
            </w:r>
            <w:r w:rsidR="003A1867">
              <w:fldChar w:fldCharType="end"/>
            </w:r>
          </w:hyperlink>
        </w:p>
        <w:p w:rsidR="00992F3A" w:rsidRDefault="00E062EA">
          <w:pPr>
            <w:pStyle w:val="TOC4"/>
            <w:tabs>
              <w:tab w:val="left" w:pos="1920"/>
              <w:tab w:val="right" w:leader="dot" w:pos="9016"/>
            </w:tabs>
            <w:rPr>
              <w:rFonts w:asciiTheme="minorHAnsi" w:hAnsiTheme="minorHAnsi"/>
              <w:noProof/>
            </w:rPr>
          </w:pPr>
          <w:hyperlink w:anchor="_Toc256000060" w:history="1">
            <w:r w:rsidR="003A1867">
              <w:rPr>
                <w:rStyle w:val="Hyperlink"/>
              </w:rPr>
              <w:t>6.2.2.1.</w:t>
            </w:r>
            <w:r w:rsidR="003A1867">
              <w:rPr>
                <w:rFonts w:asciiTheme="minorHAnsi" w:hAnsiTheme="minorHAnsi"/>
                <w:noProof/>
              </w:rPr>
              <w:tab/>
            </w:r>
            <w:r w:rsidR="003A1867">
              <w:rPr>
                <w:rStyle w:val="Hyperlink"/>
              </w:rPr>
              <w:t>Completing the Audit Checklist</w:t>
            </w:r>
            <w:r w:rsidR="003A1867">
              <w:tab/>
            </w:r>
            <w:r w:rsidR="003A1867">
              <w:fldChar w:fldCharType="begin"/>
            </w:r>
            <w:r w:rsidR="003A1867">
              <w:instrText xml:space="preserve"> PAGEREF _Toc256000060 \h </w:instrText>
            </w:r>
            <w:r w:rsidR="003A1867">
              <w:fldChar w:fldCharType="separate"/>
            </w:r>
            <w:r w:rsidR="003A1867">
              <w:t>14</w:t>
            </w:r>
            <w:r w:rsidR="003A1867">
              <w:fldChar w:fldCharType="end"/>
            </w:r>
          </w:hyperlink>
        </w:p>
        <w:p w:rsidR="00992F3A" w:rsidRDefault="00E062EA">
          <w:pPr>
            <w:pStyle w:val="TOC4"/>
            <w:tabs>
              <w:tab w:val="left" w:pos="1920"/>
              <w:tab w:val="right" w:leader="dot" w:pos="9016"/>
            </w:tabs>
            <w:rPr>
              <w:rFonts w:asciiTheme="minorHAnsi" w:hAnsiTheme="minorHAnsi"/>
              <w:noProof/>
            </w:rPr>
          </w:pPr>
          <w:hyperlink w:anchor="_Toc256000061" w:history="1">
            <w:r w:rsidR="003A1867">
              <w:rPr>
                <w:rStyle w:val="Hyperlink"/>
              </w:rPr>
              <w:t>6.2.2.2.</w:t>
            </w:r>
            <w:r w:rsidR="003A1867">
              <w:rPr>
                <w:rFonts w:asciiTheme="minorHAnsi" w:hAnsiTheme="minorHAnsi"/>
                <w:noProof/>
              </w:rPr>
              <w:tab/>
            </w:r>
            <w:r w:rsidR="003A1867">
              <w:rPr>
                <w:rStyle w:val="Hyperlink"/>
              </w:rPr>
              <w:t>Audit Findings</w:t>
            </w:r>
            <w:r w:rsidR="003A1867">
              <w:tab/>
            </w:r>
            <w:r w:rsidR="003A1867">
              <w:fldChar w:fldCharType="begin"/>
            </w:r>
            <w:r w:rsidR="003A1867">
              <w:instrText xml:space="preserve"> PAGEREF _Toc256000061 \h </w:instrText>
            </w:r>
            <w:r w:rsidR="003A1867">
              <w:fldChar w:fldCharType="separate"/>
            </w:r>
            <w:r w:rsidR="003A1867">
              <w:t>14</w:t>
            </w:r>
            <w:r w:rsidR="003A1867">
              <w:fldChar w:fldCharType="end"/>
            </w:r>
          </w:hyperlink>
        </w:p>
        <w:p w:rsidR="00992F3A" w:rsidRDefault="00E062EA">
          <w:pPr>
            <w:pStyle w:val="TOC3"/>
            <w:tabs>
              <w:tab w:val="left" w:pos="1320"/>
              <w:tab w:val="right" w:leader="dot" w:pos="9016"/>
            </w:tabs>
            <w:rPr>
              <w:rFonts w:asciiTheme="minorHAnsi" w:hAnsiTheme="minorHAnsi"/>
              <w:noProof/>
            </w:rPr>
          </w:pPr>
          <w:hyperlink w:anchor="_Toc256000062" w:history="1">
            <w:r w:rsidR="003A1867">
              <w:rPr>
                <w:rStyle w:val="Hyperlink"/>
              </w:rPr>
              <w:t>6.2.3.</w:t>
            </w:r>
            <w:r w:rsidR="003A1867">
              <w:rPr>
                <w:rFonts w:asciiTheme="minorHAnsi" w:hAnsiTheme="minorHAnsi"/>
                <w:noProof/>
              </w:rPr>
              <w:tab/>
            </w:r>
            <w:r w:rsidR="003A1867">
              <w:rPr>
                <w:rStyle w:val="Hyperlink"/>
              </w:rPr>
              <w:t>Updating the Supplier Record</w:t>
            </w:r>
            <w:r w:rsidR="003A1867">
              <w:tab/>
            </w:r>
            <w:r w:rsidR="003A1867">
              <w:fldChar w:fldCharType="begin"/>
            </w:r>
            <w:r w:rsidR="003A1867">
              <w:instrText xml:space="preserve"> PAGEREF _Toc256000062 \h </w:instrText>
            </w:r>
            <w:r w:rsidR="003A1867">
              <w:fldChar w:fldCharType="separate"/>
            </w:r>
            <w:r w:rsidR="003A1867">
              <w:t>15</w:t>
            </w:r>
            <w:r w:rsidR="003A1867">
              <w:fldChar w:fldCharType="end"/>
            </w:r>
          </w:hyperlink>
        </w:p>
        <w:p w:rsidR="00992F3A" w:rsidRDefault="003A1867" w:rsidP="00DB327F">
          <w:pPr>
            <w:pStyle w:val="TOCHeading"/>
            <w:jc w:val="left"/>
          </w:pPr>
          <w:r>
            <w:fldChar w:fldCharType="end"/>
          </w:r>
        </w:p>
      </w:sdtContent>
    </w:sdt>
    <w:p w:rsidR="00DB327F" w:rsidRPr="00F5426C" w:rsidRDefault="003A1867" w:rsidP="00DB327F">
      <w:pPr>
        <w:pStyle w:val="ISMSHeading1"/>
      </w:pPr>
      <w:r>
        <w:br w:type="page"/>
      </w:r>
      <w:bookmarkStart w:id="0" w:name="_Toc256000006"/>
      <w:bookmarkStart w:id="1" w:name="_Toc256000041"/>
      <w:bookmarkStart w:id="2" w:name="_Toc256000031"/>
      <w:bookmarkStart w:id="3" w:name="_Toc256000004"/>
      <w:bookmarkStart w:id="4" w:name="_Toc256000020"/>
      <w:bookmarkStart w:id="5" w:name="_Toc256000000"/>
      <w:bookmarkStart w:id="6" w:name="_Toc479584175"/>
      <w:bookmarkStart w:id="7" w:name="_Toc490655156"/>
      <w:bookmarkStart w:id="8" w:name="_Toc498416184"/>
      <w:bookmarkStart w:id="9" w:name="_Toc955739"/>
      <w:bookmarkStart w:id="10" w:name="_Toc18316237"/>
      <w:r w:rsidRPr="00F5426C">
        <w:lastRenderedPageBreak/>
        <w:t>Purpose</w:t>
      </w:r>
      <w:bookmarkEnd w:id="0"/>
      <w:bookmarkEnd w:id="1"/>
      <w:bookmarkEnd w:id="2"/>
      <w:bookmarkEnd w:id="3"/>
      <w:bookmarkEnd w:id="4"/>
      <w:bookmarkEnd w:id="5"/>
      <w:bookmarkEnd w:id="6"/>
      <w:bookmarkEnd w:id="7"/>
      <w:bookmarkEnd w:id="8"/>
      <w:bookmarkEnd w:id="9"/>
      <w:bookmarkEnd w:id="10"/>
    </w:p>
    <w:p w:rsidR="00511C32" w:rsidRPr="00707960" w:rsidRDefault="003A1867" w:rsidP="00707960">
      <w:pPr>
        <w:pStyle w:val="ISMSNormal"/>
      </w:pPr>
      <w:r w:rsidRPr="00707960">
        <w:t xml:space="preserve">Agreements with suppliers should include requirements to address the information security risks associated with information and communications technology services and product supply chain. </w:t>
      </w:r>
      <w:r w:rsidRPr="00511C32">
        <w:t xml:space="preserve">Organisations should regularly monitor, review and audit supplier service delivery to </w:t>
      </w:r>
      <w:r w:rsidRPr="009329C2">
        <w:t>ensure that the information security terms and conditions of the agreements are being adhered to</w:t>
      </w:r>
      <w:r w:rsidRPr="00707960">
        <w:t>.</w:t>
      </w:r>
    </w:p>
    <w:p w:rsidR="00511C32" w:rsidRDefault="00E062EA" w:rsidP="00DB327F">
      <w:pPr>
        <w:pStyle w:val="ISMSNormal"/>
      </w:pPr>
    </w:p>
    <w:p w:rsidR="00DB327F" w:rsidRDefault="003A1867" w:rsidP="00DB327F">
      <w:pPr>
        <w:pStyle w:val="ISMSNormal"/>
      </w:pPr>
      <w:r>
        <w:t xml:space="preserve">This policy defines the approach to assessing and selecting suppliers of services to the TRE and the regular review of existing suppliers. The </w:t>
      </w:r>
      <w:r w:rsidRPr="00F5426C">
        <w:t>TRE requires the security of its informati</w:t>
      </w:r>
      <w:r>
        <w:t xml:space="preserve">on to be maintained in order to </w:t>
      </w:r>
      <w:r w:rsidRPr="00F5426C">
        <w:t xml:space="preserve">ensure </w:t>
      </w:r>
      <w:r>
        <w:t>the overall service</w:t>
      </w:r>
      <w:r w:rsidRPr="00F5426C">
        <w:t xml:space="preserve"> is </w:t>
      </w:r>
      <w:r>
        <w:t xml:space="preserve">a reliable resource for users and other stakeholders, and to meet </w:t>
      </w:r>
      <w:r w:rsidRPr="00F5426C">
        <w:t>its statutory</w:t>
      </w:r>
      <w:r>
        <w:t xml:space="preserve"> and </w:t>
      </w:r>
      <w:r w:rsidRPr="00F5426C">
        <w:t>regulatory obligation</w:t>
      </w:r>
      <w:r>
        <w:t>s.</w:t>
      </w:r>
    </w:p>
    <w:p w:rsidR="00DB327F" w:rsidRPr="006E49B5" w:rsidRDefault="00E062EA" w:rsidP="00DB327F">
      <w:pPr>
        <w:pStyle w:val="ISMSNormal"/>
      </w:pPr>
    </w:p>
    <w:p w:rsidR="00DB327F" w:rsidRPr="006E49B5" w:rsidRDefault="003A1867" w:rsidP="00DB327F">
      <w:pPr>
        <w:pStyle w:val="ISMSHeading1"/>
      </w:pPr>
      <w:bookmarkStart w:id="11" w:name="_Toc256000007"/>
      <w:bookmarkStart w:id="12" w:name="_Toc256000042"/>
      <w:bookmarkStart w:id="13" w:name="_Toc256000032"/>
      <w:bookmarkStart w:id="14" w:name="_Toc256000005"/>
      <w:bookmarkStart w:id="15" w:name="_Toc256000021"/>
      <w:bookmarkStart w:id="16" w:name="_Toc256000001"/>
      <w:bookmarkStart w:id="17" w:name="_Toc479584176"/>
      <w:bookmarkStart w:id="18" w:name="_Toc490655157"/>
      <w:bookmarkStart w:id="19" w:name="_Toc498416185"/>
      <w:bookmarkStart w:id="20" w:name="_Toc955740"/>
      <w:bookmarkStart w:id="21" w:name="_Toc18316238"/>
      <w:r w:rsidRPr="006E49B5">
        <w:t>Scope</w:t>
      </w:r>
      <w:bookmarkEnd w:id="11"/>
      <w:bookmarkEnd w:id="12"/>
      <w:bookmarkEnd w:id="13"/>
      <w:bookmarkEnd w:id="14"/>
      <w:bookmarkEnd w:id="15"/>
      <w:bookmarkEnd w:id="16"/>
      <w:bookmarkEnd w:id="17"/>
      <w:bookmarkEnd w:id="18"/>
      <w:bookmarkEnd w:id="19"/>
      <w:bookmarkEnd w:id="20"/>
      <w:bookmarkEnd w:id="21"/>
    </w:p>
    <w:p w:rsidR="00511C32" w:rsidRDefault="003A1867" w:rsidP="009329C2">
      <w:pPr>
        <w:pStyle w:val="ISMSNormal"/>
      </w:pPr>
      <w:r>
        <w:t xml:space="preserve">The term “supplier” refers to any service provider, contractor, consultants or university (specifically The University of Manchester) that are not employees of the Centre for Health Informatics. </w:t>
      </w:r>
    </w:p>
    <w:p w:rsidR="00511C32" w:rsidRDefault="00E062EA" w:rsidP="0037048D">
      <w:pPr>
        <w:pStyle w:val="ISMSNormal"/>
      </w:pPr>
    </w:p>
    <w:p w:rsidR="0037048D" w:rsidRPr="001A1836" w:rsidRDefault="003A1867" w:rsidP="0037048D">
      <w:pPr>
        <w:pStyle w:val="ISMSNormal"/>
      </w:pPr>
      <w:r>
        <w:t xml:space="preserve">All contractors and supplier personnel who have the potential to impact the confidentiality, integrity and/or availability of TRE data by any interaction with the TRE infrastructure and environmental management systems at Vaughan House and the TRE data stored there are in the scope of this policy. This includes all services provided by the University that directly affect TRE infrastructure assets. </w:t>
      </w:r>
    </w:p>
    <w:p w:rsidR="00DB327F" w:rsidRDefault="00E062EA" w:rsidP="00DB327F">
      <w:pPr>
        <w:pStyle w:val="ISMSNormal"/>
      </w:pPr>
    </w:p>
    <w:p w:rsidR="00511C32" w:rsidRPr="00F5426C" w:rsidRDefault="003A1867" w:rsidP="00511C32">
      <w:pPr>
        <w:pStyle w:val="ISMSNormal"/>
      </w:pPr>
      <w:r>
        <w:t>Categories of TRE assets and services that can be supplied to the organisation are shown in Table 1</w:t>
      </w:r>
    </w:p>
    <w:p w:rsidR="00511C32" w:rsidRDefault="00E062EA" w:rsidP="00DB327F">
      <w:pPr>
        <w:pStyle w:val="ISMSNormal"/>
      </w:pPr>
    </w:p>
    <w:p w:rsidR="0037048D" w:rsidRDefault="003A1867" w:rsidP="0037048D">
      <w:pPr>
        <w:pStyle w:val="ISMSNormal"/>
      </w:pPr>
      <w:r>
        <w:t>The provision of datasets and data processing services (e.g. data anonymisation) is out of scope because the selection of data owner/controller/processor is the responsibility of the research project.</w:t>
      </w:r>
    </w:p>
    <w:p w:rsidR="00DB327F" w:rsidRPr="006E49B5" w:rsidRDefault="00E062EA" w:rsidP="00DB327F">
      <w:pPr>
        <w:pStyle w:val="ISMSNormal"/>
      </w:pPr>
    </w:p>
    <w:p w:rsidR="00DB327F" w:rsidRPr="006E49B5" w:rsidRDefault="003A1867" w:rsidP="00DB327F">
      <w:pPr>
        <w:pStyle w:val="ISMSHeading1"/>
        <w:rPr>
          <w:rFonts w:cs="Arial"/>
        </w:rPr>
      </w:pPr>
      <w:bookmarkStart w:id="22" w:name="_Toc256000008"/>
      <w:bookmarkStart w:id="23" w:name="_Toc256000043"/>
      <w:bookmarkStart w:id="24" w:name="_Toc256000033"/>
      <w:bookmarkStart w:id="25" w:name="_Toc256000022"/>
      <w:bookmarkStart w:id="26" w:name="_Toc256000012"/>
      <w:bookmarkStart w:id="27" w:name="_Toc256000002"/>
      <w:bookmarkStart w:id="28" w:name="_Toc479584177"/>
      <w:bookmarkStart w:id="29" w:name="_Toc490655158"/>
      <w:bookmarkStart w:id="30" w:name="_Toc498416186"/>
      <w:bookmarkStart w:id="31" w:name="_Toc955741"/>
      <w:bookmarkStart w:id="32" w:name="_Toc18316239"/>
      <w:r w:rsidRPr="00A53C31">
        <w:t>Responsibilities</w:t>
      </w:r>
      <w:bookmarkEnd w:id="22"/>
      <w:bookmarkEnd w:id="23"/>
      <w:bookmarkEnd w:id="24"/>
      <w:bookmarkEnd w:id="25"/>
      <w:bookmarkEnd w:id="26"/>
      <w:bookmarkEnd w:id="27"/>
      <w:bookmarkEnd w:id="28"/>
      <w:bookmarkEnd w:id="29"/>
      <w:bookmarkEnd w:id="30"/>
      <w:bookmarkEnd w:id="31"/>
      <w:bookmarkEnd w:id="32"/>
    </w:p>
    <w:p w:rsidR="00DB327F" w:rsidRDefault="003A1867" w:rsidP="00DB327F">
      <w:pPr>
        <w:pStyle w:val="ISMSNormal"/>
      </w:pPr>
      <w:r>
        <w:t>The ISM is responsible for:</w:t>
      </w:r>
    </w:p>
    <w:p w:rsidR="00DB327F" w:rsidRDefault="003A1867" w:rsidP="00DB327F">
      <w:pPr>
        <w:pStyle w:val="ListParagraph"/>
        <w:numPr>
          <w:ilvl w:val="0"/>
          <w:numId w:val="8"/>
        </w:numPr>
        <w:jc w:val="both"/>
      </w:pPr>
      <w:r>
        <w:t>Considering any potential risks associated with using each supplier and ensuring these are managed within the Information Security Risk Register</w:t>
      </w:r>
    </w:p>
    <w:p w:rsidR="001D08AF" w:rsidRDefault="00E062EA" w:rsidP="001D08AF">
      <w:pPr>
        <w:pStyle w:val="ListParagraph"/>
        <w:numPr>
          <w:ilvl w:val="0"/>
          <w:numId w:val="0"/>
        </w:numPr>
        <w:ind w:left="720"/>
        <w:jc w:val="both"/>
      </w:pPr>
    </w:p>
    <w:p w:rsidR="001D08AF" w:rsidRDefault="003A1867" w:rsidP="001D08AF">
      <w:pPr>
        <w:pStyle w:val="ISMSNormal"/>
      </w:pPr>
      <w:r>
        <w:t>The TRE Operations Manager is responsible for:</w:t>
      </w:r>
    </w:p>
    <w:p w:rsidR="001D08AF" w:rsidRDefault="003A1867" w:rsidP="001D08AF">
      <w:pPr>
        <w:pStyle w:val="ListParagraph"/>
        <w:numPr>
          <w:ilvl w:val="0"/>
          <w:numId w:val="8"/>
        </w:numPr>
        <w:jc w:val="both"/>
      </w:pPr>
      <w:r>
        <w:t>Using the results from supplier assessments to determine their suitability to become an approved TRE supplier</w:t>
      </w:r>
    </w:p>
    <w:p w:rsidR="001D08AF" w:rsidRDefault="00E062EA" w:rsidP="001D08AF">
      <w:pPr>
        <w:jc w:val="both"/>
      </w:pPr>
    </w:p>
    <w:p w:rsidR="00DB327F" w:rsidRDefault="003A1867" w:rsidP="00DB327F">
      <w:pPr>
        <w:pStyle w:val="ISMSNormal"/>
      </w:pPr>
      <w:r>
        <w:t>TRE Staff are responsible for:</w:t>
      </w:r>
    </w:p>
    <w:p w:rsidR="001D08AF" w:rsidRDefault="003A1867" w:rsidP="001D08AF">
      <w:pPr>
        <w:pStyle w:val="ListParagraph"/>
        <w:numPr>
          <w:ilvl w:val="0"/>
          <w:numId w:val="8"/>
        </w:numPr>
        <w:jc w:val="both"/>
      </w:pPr>
      <w:r>
        <w:t>Maintaining an up to date Q-Pulse supplier record for each TRE supplier including the relationship to Q-Pulse TRE asset records</w:t>
      </w:r>
    </w:p>
    <w:p w:rsidR="001D08AF" w:rsidRDefault="003A1867" w:rsidP="001D08AF">
      <w:pPr>
        <w:pStyle w:val="ListParagraph"/>
        <w:numPr>
          <w:ilvl w:val="0"/>
          <w:numId w:val="8"/>
        </w:numPr>
        <w:jc w:val="both"/>
      </w:pPr>
      <w:r>
        <w:t>Completing assessments for new and existing suppliers</w:t>
      </w:r>
    </w:p>
    <w:p w:rsidR="00DB327F" w:rsidRPr="00880EB4" w:rsidRDefault="003A1867" w:rsidP="00DB327F">
      <w:pPr>
        <w:pStyle w:val="ListParagraph"/>
        <w:numPr>
          <w:ilvl w:val="0"/>
          <w:numId w:val="8"/>
        </w:numPr>
        <w:jc w:val="both"/>
      </w:pPr>
      <w:r>
        <w:t>Maintaining an up to date record of all service plans, contracts, warranties and supplier agreements within the Q-Pulse records associated with the TRE assets provided by or supported by that supplier</w:t>
      </w:r>
    </w:p>
    <w:p w:rsidR="00DB327F" w:rsidRPr="006E49B5" w:rsidRDefault="00E062EA" w:rsidP="00DB327F">
      <w:pPr>
        <w:pStyle w:val="ISMSNormal"/>
      </w:pPr>
    </w:p>
    <w:p w:rsidR="00DB327F" w:rsidRDefault="003A1867" w:rsidP="00DB327F">
      <w:pPr>
        <w:pStyle w:val="ISMSHeading1"/>
      </w:pPr>
      <w:bookmarkStart w:id="33" w:name="_Toc256000044"/>
      <w:bookmarkStart w:id="34" w:name="_Toc256000034"/>
      <w:bookmarkStart w:id="35" w:name="_Toc256000014"/>
      <w:bookmarkStart w:id="36" w:name="_Toc256000023"/>
      <w:bookmarkStart w:id="37" w:name="_Toc256000013"/>
      <w:bookmarkStart w:id="38" w:name="_Toc256000003"/>
      <w:bookmarkStart w:id="39" w:name="_Toc479584178"/>
      <w:bookmarkStart w:id="40" w:name="_Toc490655159"/>
      <w:bookmarkStart w:id="41" w:name="_Toc498416187"/>
      <w:bookmarkStart w:id="42" w:name="_Toc955742"/>
      <w:bookmarkStart w:id="43" w:name="_Toc256000009"/>
      <w:bookmarkStart w:id="44" w:name="_Toc18316240"/>
      <w:r w:rsidRPr="006E49B5">
        <w:lastRenderedPageBreak/>
        <w:t>P</w:t>
      </w:r>
      <w:bookmarkEnd w:id="33"/>
      <w:bookmarkEnd w:id="34"/>
      <w:bookmarkEnd w:id="35"/>
      <w:bookmarkEnd w:id="36"/>
      <w:bookmarkEnd w:id="37"/>
      <w:bookmarkEnd w:id="38"/>
      <w:bookmarkEnd w:id="39"/>
      <w:bookmarkEnd w:id="40"/>
      <w:bookmarkEnd w:id="41"/>
      <w:bookmarkEnd w:id="42"/>
      <w:r>
        <w:t>olicy</w:t>
      </w:r>
      <w:bookmarkEnd w:id="43"/>
      <w:bookmarkEnd w:id="44"/>
    </w:p>
    <w:p w:rsidR="00DB327F" w:rsidRDefault="003A1867" w:rsidP="00DB327F">
      <w:pPr>
        <w:pStyle w:val="ISMSHeading2"/>
      </w:pPr>
      <w:bookmarkStart w:id="45" w:name="_Toc256000010"/>
      <w:bookmarkStart w:id="46" w:name="_Toc256000045"/>
      <w:bookmarkStart w:id="47" w:name="_Toc256000035"/>
      <w:bookmarkStart w:id="48" w:name="_Toc256000015"/>
      <w:bookmarkStart w:id="49" w:name="_Toc498416188"/>
      <w:bookmarkStart w:id="50" w:name="_Toc955743"/>
      <w:bookmarkStart w:id="51" w:name="_Toc18316241"/>
      <w:r>
        <w:t>Approved Suppliers</w:t>
      </w:r>
      <w:bookmarkEnd w:id="45"/>
      <w:bookmarkEnd w:id="46"/>
      <w:bookmarkEnd w:id="47"/>
      <w:bookmarkEnd w:id="48"/>
      <w:bookmarkEnd w:id="49"/>
      <w:bookmarkEnd w:id="50"/>
      <w:bookmarkEnd w:id="51"/>
    </w:p>
    <w:p w:rsidR="0051685E" w:rsidRDefault="003A1867" w:rsidP="00DB327F">
      <w:pPr>
        <w:pStyle w:val="ISMSNormal"/>
      </w:pPr>
      <w:r>
        <w:t xml:space="preserve">The term ‘Supplier’ means an organisation within, or external to the University that provides a TRE asset. Most assets procured for the TRE are either infrastructure components or services; both of which usually require service contracts and warranties to meet business continuity objectives. </w:t>
      </w:r>
    </w:p>
    <w:p w:rsidR="0051685E" w:rsidRDefault="00E062EA" w:rsidP="00DB327F">
      <w:pPr>
        <w:pStyle w:val="ISMSNormal"/>
      </w:pPr>
    </w:p>
    <w:p w:rsidR="00AD547E" w:rsidRDefault="003A1867" w:rsidP="00DB327F">
      <w:pPr>
        <w:pStyle w:val="ISMSNormal"/>
      </w:pPr>
      <w:r>
        <w:t>A record is maintained for each TRE Supplier, along with the TRE assets provided by those suppliers. The suitability of a TRE supplier is determined by conducting an assessment of that supplier; both prior to initial procurement, and annually for existing suppliers.</w:t>
      </w:r>
    </w:p>
    <w:p w:rsidR="0051685E" w:rsidRDefault="003A1867" w:rsidP="00DB327F">
      <w:pPr>
        <w:pStyle w:val="ISMSHeading2"/>
      </w:pPr>
      <w:bookmarkStart w:id="52" w:name="_Toc256000011"/>
      <w:bookmarkStart w:id="53" w:name="_Toc18316242"/>
      <w:r>
        <w:t>Setting up new Suppliers</w:t>
      </w:r>
      <w:bookmarkEnd w:id="52"/>
      <w:bookmarkEnd w:id="53"/>
    </w:p>
    <w:p w:rsidR="00DB036C" w:rsidRDefault="003A1867" w:rsidP="00DB327F">
      <w:pPr>
        <w:pStyle w:val="ISMSNormal"/>
      </w:pPr>
      <w:r>
        <w:t xml:space="preserve">The TRE Operations team has full responsibility for the selection of all TRE suppliers; commissioned for both routine maintenance of existing assets and the procurement and delivery of new assets. An exception to this rule is where a particular service can only be supplied to the Centre for Health Informatics (CHI) by the University of Manchester’s IT Services, HR or Estates departments. This is because all University departments must adopt the core services provided by the University. In this case a supplier assessment should still be conducted. However, as most University departments do not have the resource or internal procedures to respond to assessments of their suitability, a ‘best-efforts’ approach must be taken, which means it will not be possible to complete all sections of the supplier assessment form. In all cases, a written agreement or some form of correspondence should exist between CHI and the corresponding University department, and where possible, access to their documented procedures. </w:t>
      </w:r>
    </w:p>
    <w:p w:rsidR="00DB036C" w:rsidRDefault="00E062EA" w:rsidP="00DB327F">
      <w:pPr>
        <w:pStyle w:val="ISMSNormal"/>
      </w:pPr>
    </w:p>
    <w:p w:rsidR="0037048D" w:rsidRDefault="003A1867" w:rsidP="00DB327F">
      <w:pPr>
        <w:pStyle w:val="ISMSNormal"/>
      </w:pPr>
      <w:r>
        <w:t xml:space="preserve">Another exception to CHI conducting its own supplier assessment is when the University’s central finance department selects and appoints an external supplier from their list of ‘approved suppliers’. The most common reason for this approach is cost (see section 4.2). In such cases, CHI expects the finance department to have conducted an assessment of that supplier and for the results to be made available. Furthermore, for the procurement of items critical to TRE security, members of CHI’s ISSG will be consulted during the selection of supplier, realisation of product requirements and specification, and during contract negotiations. </w:t>
      </w:r>
    </w:p>
    <w:p w:rsidR="0054691C" w:rsidRDefault="00E062EA" w:rsidP="00DB327F">
      <w:pPr>
        <w:pStyle w:val="ISMSNormal"/>
      </w:pPr>
    </w:p>
    <w:p w:rsidR="0054691C" w:rsidRDefault="003A1867" w:rsidP="00DB327F">
      <w:pPr>
        <w:pStyle w:val="ISMSNormal"/>
      </w:pPr>
      <w:r>
        <w:t>In all cases, it is the responsibility of the TRE Operations team to ensure all necessary documentation is suitable and stored so that it easily accessible and auditable.</w:t>
      </w:r>
    </w:p>
    <w:p w:rsidR="002B5F8A" w:rsidRDefault="003A1867" w:rsidP="00DB327F">
      <w:pPr>
        <w:pStyle w:val="ISMSHeading2"/>
      </w:pPr>
      <w:bookmarkStart w:id="54" w:name="_Toc256000016"/>
      <w:bookmarkStart w:id="55" w:name="_Toc18316243"/>
      <w:r>
        <w:t>Cost of Supply</w:t>
      </w:r>
      <w:bookmarkEnd w:id="54"/>
      <w:bookmarkEnd w:id="55"/>
    </w:p>
    <w:p w:rsidR="0037048D" w:rsidRDefault="003A1867" w:rsidP="0037048D">
      <w:pPr>
        <w:pStyle w:val="ISMSNormal"/>
        <w:rPr>
          <w:lang w:val="en-GB"/>
        </w:rPr>
      </w:pPr>
      <w:r>
        <w:rPr>
          <w:lang w:val="en-GB"/>
        </w:rPr>
        <w:t xml:space="preserve">CHI is entitled to select suppliers and approve its own purchase orders below a certain low-band cost threshold (all purchase orders are overseen by University central finance who will notify us if the threshold is exceeded). </w:t>
      </w:r>
    </w:p>
    <w:p w:rsidR="0037048D" w:rsidRDefault="00E062EA" w:rsidP="0037048D">
      <w:pPr>
        <w:pStyle w:val="ISMSNormal"/>
        <w:rPr>
          <w:lang w:val="en-GB"/>
        </w:rPr>
      </w:pPr>
    </w:p>
    <w:p w:rsidR="0037048D" w:rsidRDefault="003A1867" w:rsidP="0037048D">
      <w:pPr>
        <w:pStyle w:val="ISMSNormal"/>
        <w:rPr>
          <w:lang w:val="en-GB"/>
        </w:rPr>
      </w:pPr>
      <w:r>
        <w:rPr>
          <w:lang w:val="en-GB"/>
        </w:rPr>
        <w:t xml:space="preserve">For purchase orders where the cost is above this low-band threshold, the University central finance department may require justification for the selection of the supplier, in which case we can provide the results of our assessment of that TRE Supplier. </w:t>
      </w:r>
    </w:p>
    <w:p w:rsidR="0037048D" w:rsidRDefault="00E062EA" w:rsidP="0037048D">
      <w:pPr>
        <w:pStyle w:val="ISMSNormal"/>
        <w:rPr>
          <w:lang w:val="en-GB"/>
        </w:rPr>
      </w:pPr>
    </w:p>
    <w:p w:rsidR="0037048D" w:rsidRDefault="003A1867" w:rsidP="0037048D">
      <w:pPr>
        <w:pStyle w:val="ISMSNormal"/>
        <w:rPr>
          <w:lang w:val="en-GB"/>
        </w:rPr>
      </w:pPr>
      <w:r>
        <w:rPr>
          <w:lang w:val="en-GB"/>
        </w:rPr>
        <w:lastRenderedPageBreak/>
        <w:t>For purchase orders that are above an upper-band cost threshold, the University central finance department may choose to conduct its own supplier selection process, e.g. a tender exercise, which will involve some due diligence.</w:t>
      </w:r>
    </w:p>
    <w:p w:rsidR="00BE3084" w:rsidRPr="00BE3084" w:rsidRDefault="003A1867" w:rsidP="0037048D">
      <w:pPr>
        <w:pStyle w:val="ISMSHeading2"/>
      </w:pPr>
      <w:bookmarkStart w:id="56" w:name="_Toc256000024"/>
      <w:bookmarkStart w:id="57" w:name="_Toc18316244"/>
      <w:r>
        <w:t>Criticality of a TRE Supplier</w:t>
      </w:r>
      <w:bookmarkEnd w:id="56"/>
      <w:bookmarkEnd w:id="57"/>
    </w:p>
    <w:p w:rsidR="0037048D" w:rsidRDefault="003A1867" w:rsidP="0037048D">
      <w:pPr>
        <w:pStyle w:val="ISMSNormal"/>
        <w:rPr>
          <w:lang w:val="en-GB"/>
        </w:rPr>
      </w:pPr>
      <w:r>
        <w:rPr>
          <w:lang w:val="en-GB"/>
        </w:rPr>
        <w:t xml:space="preserve">It is necessary to adopt a risk-based approach when determining the scrutiny of assessment for a supplier of TRE assets and services. The TRE/ISMS risk register places emphasis on the confidentiality of data. Most services provided to the TRE only have the potential to impact the availability of TRE data, while some have the potential to impact the integrity; both of which are therefore deemed to be ‘non-critical’ services (meaning unlikely to impact TRE data confidentiality). Services supplied to the TRE that directly handle TRE Data, or have the potential to impact its confidentiality are deemed to be ‘critical’ and therefore the corresponding Supplier is classified as critical within the ISMS. </w:t>
      </w:r>
    </w:p>
    <w:p w:rsidR="009329C2" w:rsidRDefault="00E062EA" w:rsidP="0037048D">
      <w:pPr>
        <w:pStyle w:val="ISMSNormal"/>
        <w:rPr>
          <w:lang w:val="en-GB"/>
        </w:rPr>
      </w:pPr>
    </w:p>
    <w:p w:rsidR="009329C2" w:rsidRPr="00D61F2E" w:rsidRDefault="003A1867" w:rsidP="0037048D">
      <w:pPr>
        <w:pStyle w:val="ISMSNormal"/>
        <w:rPr>
          <w:lang w:val="en-GB"/>
        </w:rPr>
      </w:pPr>
      <w:r>
        <w:rPr>
          <w:lang w:val="en-GB"/>
        </w:rPr>
        <w:t>Services provided to the TRE are recorded within the ISMS Asset Register (the Q-Pulse Asset module), where an asset record can be marked as critical within the properties section. A supplier of a critical asset is categorised as a Critical Supplier by selecting ‘Yes’ within the corresponding Q-Pulse supplier record.</w:t>
      </w:r>
    </w:p>
    <w:p w:rsidR="00DB327F" w:rsidRDefault="00E062EA" w:rsidP="00DB327F">
      <w:pPr>
        <w:pStyle w:val="ISMSNormal"/>
      </w:pPr>
    </w:p>
    <w:p w:rsidR="00BE3084" w:rsidRDefault="003A1867" w:rsidP="00DB327F">
      <w:pPr>
        <w:pStyle w:val="ISMSNormal"/>
      </w:pPr>
      <w:r>
        <w:t>Table 1 lists services/assets provided to the TRE and the corresponding level of criticality:</w:t>
      </w:r>
    </w:p>
    <w:p w:rsidR="00BE3084" w:rsidRDefault="00E062EA" w:rsidP="00DB327F">
      <w:pPr>
        <w:pStyle w:val="ISMSNormal"/>
      </w:pPr>
    </w:p>
    <w:tbl>
      <w:tblPr>
        <w:tblStyle w:val="TableGrid"/>
        <w:tblW w:w="0" w:type="auto"/>
        <w:tblLook w:val="04A0" w:firstRow="1" w:lastRow="0" w:firstColumn="1" w:lastColumn="0" w:noHBand="0" w:noVBand="1"/>
      </w:tblPr>
      <w:tblGrid>
        <w:gridCol w:w="4508"/>
        <w:gridCol w:w="4508"/>
      </w:tblGrid>
      <w:tr w:rsidR="00992F3A" w:rsidTr="006C33AB">
        <w:tc>
          <w:tcPr>
            <w:tcW w:w="4508" w:type="dxa"/>
            <w:shd w:val="clear" w:color="auto" w:fill="D9D9D9" w:themeFill="background1" w:themeFillShade="D9"/>
          </w:tcPr>
          <w:p w:rsidR="00BE3084" w:rsidRPr="006C33AB" w:rsidRDefault="003A1867" w:rsidP="00DB327F">
            <w:pPr>
              <w:pStyle w:val="ISMSNormal"/>
              <w:rPr>
                <w:b/>
              </w:rPr>
            </w:pPr>
            <w:r>
              <w:rPr>
                <w:b/>
              </w:rPr>
              <w:t>Asset</w:t>
            </w:r>
            <w:r w:rsidRPr="006C33AB">
              <w:rPr>
                <w:b/>
              </w:rPr>
              <w:t xml:space="preserve"> Type</w:t>
            </w:r>
          </w:p>
        </w:tc>
        <w:tc>
          <w:tcPr>
            <w:tcW w:w="4508" w:type="dxa"/>
            <w:shd w:val="clear" w:color="auto" w:fill="D9D9D9" w:themeFill="background1" w:themeFillShade="D9"/>
          </w:tcPr>
          <w:p w:rsidR="00BE3084" w:rsidRPr="006C33AB" w:rsidRDefault="003A1867" w:rsidP="00DB327F">
            <w:pPr>
              <w:pStyle w:val="ISMSNormal"/>
              <w:rPr>
                <w:b/>
              </w:rPr>
            </w:pPr>
            <w:r w:rsidRPr="006C33AB">
              <w:rPr>
                <w:b/>
              </w:rPr>
              <w:t>Criticality (to TRE Data Confidentiality)</w:t>
            </w:r>
          </w:p>
        </w:tc>
      </w:tr>
      <w:tr w:rsidR="00992F3A" w:rsidTr="00BE3084">
        <w:tc>
          <w:tcPr>
            <w:tcW w:w="4508" w:type="dxa"/>
          </w:tcPr>
          <w:p w:rsidR="00F01537" w:rsidRDefault="003A1867" w:rsidP="00DB327F">
            <w:pPr>
              <w:pStyle w:val="ISMSNormal"/>
            </w:pPr>
            <w:r>
              <w:t>Software and licenses</w:t>
            </w:r>
          </w:p>
        </w:tc>
        <w:tc>
          <w:tcPr>
            <w:tcW w:w="4508" w:type="dxa"/>
          </w:tcPr>
          <w:p w:rsidR="00F01537" w:rsidRDefault="003A1867" w:rsidP="00DB327F">
            <w:pPr>
              <w:pStyle w:val="ISMSNormal"/>
            </w:pPr>
            <w:r>
              <w:t>Non-Critical</w:t>
            </w:r>
          </w:p>
        </w:tc>
      </w:tr>
      <w:tr w:rsidR="00992F3A" w:rsidTr="00BE3084">
        <w:tc>
          <w:tcPr>
            <w:tcW w:w="4508" w:type="dxa"/>
          </w:tcPr>
          <w:p w:rsidR="00BE3084" w:rsidRDefault="003A1867" w:rsidP="00BE3084">
            <w:pPr>
              <w:pStyle w:val="ISMSNormal"/>
            </w:pPr>
            <w:r>
              <w:rPr>
                <w:rFonts w:cstheme="minorHAnsi"/>
              </w:rPr>
              <w:t>Electrical power (to server room)</w:t>
            </w:r>
          </w:p>
        </w:tc>
        <w:tc>
          <w:tcPr>
            <w:tcW w:w="4508" w:type="dxa"/>
          </w:tcPr>
          <w:p w:rsidR="00BE3084" w:rsidRDefault="003A1867" w:rsidP="00BE3084">
            <w:pPr>
              <w:pStyle w:val="ISMSNormal"/>
            </w:pPr>
            <w:r>
              <w:t>Non-Critical</w:t>
            </w:r>
          </w:p>
        </w:tc>
      </w:tr>
      <w:tr w:rsidR="00992F3A" w:rsidTr="00BE3084">
        <w:tc>
          <w:tcPr>
            <w:tcW w:w="4508" w:type="dxa"/>
          </w:tcPr>
          <w:p w:rsidR="00BE3084" w:rsidRDefault="003A1867" w:rsidP="00BE3084">
            <w:pPr>
              <w:pStyle w:val="ISMSNormal"/>
            </w:pPr>
            <w:r>
              <w:rPr>
                <w:rFonts w:cstheme="minorHAnsi"/>
              </w:rPr>
              <w:t>Temperature control (within server room)</w:t>
            </w:r>
          </w:p>
        </w:tc>
        <w:tc>
          <w:tcPr>
            <w:tcW w:w="4508" w:type="dxa"/>
          </w:tcPr>
          <w:p w:rsidR="00BE3084" w:rsidRDefault="003A1867" w:rsidP="00BE3084">
            <w:pPr>
              <w:pStyle w:val="ISMSNormal"/>
            </w:pPr>
            <w:r>
              <w:t>Non-Critical</w:t>
            </w:r>
          </w:p>
        </w:tc>
      </w:tr>
      <w:tr w:rsidR="00992F3A" w:rsidTr="00BE3084">
        <w:tc>
          <w:tcPr>
            <w:tcW w:w="4508" w:type="dxa"/>
          </w:tcPr>
          <w:p w:rsidR="00BE3084" w:rsidRDefault="003A1867" w:rsidP="00BE3084">
            <w:pPr>
              <w:pStyle w:val="ISMSNormal"/>
            </w:pPr>
            <w:r>
              <w:rPr>
                <w:rFonts w:cstheme="minorHAnsi"/>
              </w:rPr>
              <w:t>Server hosting (external to server room)</w:t>
            </w:r>
          </w:p>
        </w:tc>
        <w:tc>
          <w:tcPr>
            <w:tcW w:w="4508" w:type="dxa"/>
          </w:tcPr>
          <w:p w:rsidR="00BE3084" w:rsidRDefault="003A1867" w:rsidP="00BE3084">
            <w:pPr>
              <w:pStyle w:val="ISMSNormal"/>
            </w:pPr>
            <w:r>
              <w:t>Non-Critical (as TRE data cannot be made available from an externally hosted service)</w:t>
            </w:r>
          </w:p>
        </w:tc>
      </w:tr>
      <w:tr w:rsidR="00992F3A" w:rsidTr="00BE3084">
        <w:tc>
          <w:tcPr>
            <w:tcW w:w="4508" w:type="dxa"/>
          </w:tcPr>
          <w:p w:rsidR="00BE3084" w:rsidRDefault="003A1867" w:rsidP="00BE3084">
            <w:pPr>
              <w:pStyle w:val="ISMSNormal"/>
              <w:rPr>
                <w:rFonts w:cstheme="minorHAnsi"/>
              </w:rPr>
            </w:pPr>
            <w:r>
              <w:rPr>
                <w:rFonts w:cstheme="minorHAnsi"/>
              </w:rPr>
              <w:t xml:space="preserve">Data Backup services (external to server room) </w:t>
            </w:r>
          </w:p>
        </w:tc>
        <w:tc>
          <w:tcPr>
            <w:tcW w:w="4508" w:type="dxa"/>
          </w:tcPr>
          <w:p w:rsidR="00BE3084" w:rsidRDefault="003A1867" w:rsidP="00BE3084">
            <w:pPr>
              <w:pStyle w:val="ISMSNormal"/>
            </w:pPr>
            <w:r>
              <w:t>Critical</w:t>
            </w:r>
          </w:p>
        </w:tc>
      </w:tr>
      <w:tr w:rsidR="00992F3A" w:rsidTr="00BE3084">
        <w:tc>
          <w:tcPr>
            <w:tcW w:w="4508" w:type="dxa"/>
          </w:tcPr>
          <w:p w:rsidR="00BE3084" w:rsidRDefault="003A1867" w:rsidP="00BE3084">
            <w:pPr>
              <w:pStyle w:val="ISMSNormal"/>
            </w:pPr>
            <w:r>
              <w:rPr>
                <w:rFonts w:cstheme="minorHAnsi"/>
              </w:rPr>
              <w:t>Network connectivity</w:t>
            </w:r>
          </w:p>
        </w:tc>
        <w:tc>
          <w:tcPr>
            <w:tcW w:w="4508" w:type="dxa"/>
          </w:tcPr>
          <w:p w:rsidR="00BE3084" w:rsidRDefault="003A1867" w:rsidP="00BE3084">
            <w:pPr>
              <w:pStyle w:val="ISMSNormal"/>
            </w:pPr>
            <w:r>
              <w:t>Non-Critical</w:t>
            </w:r>
          </w:p>
        </w:tc>
      </w:tr>
      <w:tr w:rsidR="00992F3A" w:rsidTr="00BE3084">
        <w:tc>
          <w:tcPr>
            <w:tcW w:w="4508" w:type="dxa"/>
          </w:tcPr>
          <w:p w:rsidR="00BE3084" w:rsidRDefault="003A1867" w:rsidP="00BE3084">
            <w:pPr>
              <w:pStyle w:val="ISMSNormal"/>
            </w:pPr>
            <w:r>
              <w:rPr>
                <w:rFonts w:cstheme="minorHAnsi"/>
              </w:rPr>
              <w:t>Network vulnerability scanning</w:t>
            </w:r>
          </w:p>
        </w:tc>
        <w:tc>
          <w:tcPr>
            <w:tcW w:w="4508" w:type="dxa"/>
          </w:tcPr>
          <w:p w:rsidR="00BE3084" w:rsidRDefault="003A1867" w:rsidP="00BE3084">
            <w:pPr>
              <w:pStyle w:val="ISMSNormal"/>
            </w:pPr>
            <w:r>
              <w:t>Non-Critical</w:t>
            </w:r>
          </w:p>
        </w:tc>
      </w:tr>
      <w:tr w:rsidR="00992F3A" w:rsidTr="00BE3084">
        <w:tc>
          <w:tcPr>
            <w:tcW w:w="4508" w:type="dxa"/>
          </w:tcPr>
          <w:p w:rsidR="00BE3084" w:rsidRDefault="003A1867" w:rsidP="00BE3084">
            <w:pPr>
              <w:pStyle w:val="ISMSNormal"/>
            </w:pPr>
            <w:r>
              <w:t>Penetration Testing</w:t>
            </w:r>
          </w:p>
        </w:tc>
        <w:tc>
          <w:tcPr>
            <w:tcW w:w="4508" w:type="dxa"/>
          </w:tcPr>
          <w:p w:rsidR="00BE3084" w:rsidRDefault="003A1867" w:rsidP="00BE3084">
            <w:pPr>
              <w:pStyle w:val="ISMSNormal"/>
            </w:pPr>
            <w:r>
              <w:t>Critical</w:t>
            </w:r>
          </w:p>
        </w:tc>
      </w:tr>
      <w:tr w:rsidR="00992F3A" w:rsidTr="00BE3084">
        <w:tc>
          <w:tcPr>
            <w:tcW w:w="4508" w:type="dxa"/>
          </w:tcPr>
          <w:p w:rsidR="00B54A5A" w:rsidRDefault="003A1867" w:rsidP="00BE3084">
            <w:pPr>
              <w:pStyle w:val="ISMSNormal"/>
            </w:pPr>
            <w:r>
              <w:t>Security Auditing/Standards Certification</w:t>
            </w:r>
          </w:p>
        </w:tc>
        <w:tc>
          <w:tcPr>
            <w:tcW w:w="4508" w:type="dxa"/>
          </w:tcPr>
          <w:p w:rsidR="00B54A5A" w:rsidRDefault="003A1867" w:rsidP="00BE3084">
            <w:pPr>
              <w:pStyle w:val="ISMSNormal"/>
            </w:pPr>
            <w:r>
              <w:t>Critical</w:t>
            </w:r>
          </w:p>
        </w:tc>
      </w:tr>
      <w:tr w:rsidR="00992F3A" w:rsidTr="00BE3084">
        <w:tc>
          <w:tcPr>
            <w:tcW w:w="4508" w:type="dxa"/>
          </w:tcPr>
          <w:p w:rsidR="00BE3084" w:rsidRDefault="003A1867" w:rsidP="00BE3084">
            <w:pPr>
              <w:pStyle w:val="ISMSNormal"/>
            </w:pPr>
            <w:r>
              <w:rPr>
                <w:rFonts w:cstheme="minorHAnsi"/>
              </w:rPr>
              <w:t>Site security</w:t>
            </w:r>
          </w:p>
        </w:tc>
        <w:tc>
          <w:tcPr>
            <w:tcW w:w="4508" w:type="dxa"/>
          </w:tcPr>
          <w:p w:rsidR="00BE3084" w:rsidRDefault="003A1867" w:rsidP="00BE3084">
            <w:pPr>
              <w:pStyle w:val="ISMSNormal"/>
            </w:pPr>
            <w:r>
              <w:t>Non-Critical</w:t>
            </w:r>
          </w:p>
        </w:tc>
      </w:tr>
      <w:tr w:rsidR="00992F3A" w:rsidTr="00BE3084">
        <w:tc>
          <w:tcPr>
            <w:tcW w:w="4508" w:type="dxa"/>
          </w:tcPr>
          <w:p w:rsidR="006A3F04" w:rsidRDefault="003A1867" w:rsidP="006A3F04">
            <w:pPr>
              <w:pStyle w:val="ISMSNormal"/>
              <w:rPr>
                <w:rFonts w:cstheme="minorHAnsi"/>
              </w:rPr>
            </w:pPr>
            <w:r>
              <w:rPr>
                <w:rFonts w:cstheme="minorHAnsi"/>
              </w:rPr>
              <w:t>Personnel (Recruitment)</w:t>
            </w:r>
          </w:p>
        </w:tc>
        <w:tc>
          <w:tcPr>
            <w:tcW w:w="4508" w:type="dxa"/>
          </w:tcPr>
          <w:p w:rsidR="006A3F04" w:rsidRDefault="003A1867" w:rsidP="006A3F04">
            <w:pPr>
              <w:pStyle w:val="ISMSNormal"/>
            </w:pPr>
            <w:r>
              <w:t>Critical</w:t>
            </w:r>
          </w:p>
        </w:tc>
      </w:tr>
      <w:tr w:rsidR="00992F3A" w:rsidTr="00BE3084">
        <w:tc>
          <w:tcPr>
            <w:tcW w:w="4508" w:type="dxa"/>
          </w:tcPr>
          <w:p w:rsidR="006A3F04" w:rsidRDefault="003A1867" w:rsidP="006A3F04">
            <w:pPr>
              <w:pStyle w:val="ISMSNormal"/>
            </w:pPr>
            <w:r>
              <w:rPr>
                <w:rFonts w:cstheme="minorHAnsi"/>
              </w:rPr>
              <w:t>Personnel (Training)</w:t>
            </w:r>
          </w:p>
        </w:tc>
        <w:tc>
          <w:tcPr>
            <w:tcW w:w="4508" w:type="dxa"/>
          </w:tcPr>
          <w:p w:rsidR="006A3F04" w:rsidRDefault="003A1867" w:rsidP="006A3F04">
            <w:pPr>
              <w:pStyle w:val="ISMSNormal"/>
            </w:pPr>
            <w:r>
              <w:t>Non-Critical</w:t>
            </w:r>
          </w:p>
        </w:tc>
      </w:tr>
    </w:tbl>
    <w:p w:rsidR="00BE3084" w:rsidRDefault="003A1867" w:rsidP="003B368F">
      <w:pPr>
        <w:pStyle w:val="Caption"/>
        <w:rPr>
          <w:noProof/>
        </w:rP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p>
    <w:p w:rsidR="00B54A5A" w:rsidRDefault="003A1867" w:rsidP="00B54A5A">
      <w:pPr>
        <w:pStyle w:val="ISMSNormal"/>
      </w:pPr>
      <w:bookmarkStart w:id="58" w:name="_Toc18316245"/>
      <w:bookmarkStart w:id="59" w:name="_Toc256000046"/>
      <w:bookmarkStart w:id="60" w:name="_Toc256000036"/>
      <w:bookmarkStart w:id="61" w:name="_Toc256000017"/>
      <w:bookmarkStart w:id="62" w:name="_Toc498416189"/>
      <w:bookmarkStart w:id="63" w:name="_Toc955744"/>
      <w:r>
        <w:t xml:space="preserve">To summarise: the TRE Asset is first classified as a ‘Critical Asset’ and recorded as such within the Asset Module (See SOP-05-01 Bringing Assets into the TRE for more details). Then, the Supplier Record corresponding to the supplier of that critical asset is flagged as a ‘Critical Supplier’. </w:t>
      </w:r>
    </w:p>
    <w:p w:rsidR="001F6C14" w:rsidRDefault="00E062EA" w:rsidP="00B54A5A">
      <w:pPr>
        <w:pStyle w:val="ISMSNormal"/>
      </w:pPr>
    </w:p>
    <w:p w:rsidR="001F6C14" w:rsidRPr="00B54A5A" w:rsidRDefault="003A1867" w:rsidP="00B54A5A">
      <w:pPr>
        <w:pStyle w:val="ISMSNormal"/>
      </w:pPr>
      <w:r>
        <w:t>Q-Pulse doesn’t readily allow Asset records to be linked to Supplier records. The only way to achieve a persistent relationship is to link asset purchase/warranty/maintenance events with a Supplier. In practice, this has the advantage that the supplier of asset support/maintenance isn’t always the same organisation that the asset was purchased from. It also ensures that each TRE asset must have some record of where it was purchased from and its ongoing warranty/service contract status. SOP-05-01 provides details of how to record these details within the asset record, and link it to the supplier.</w:t>
      </w:r>
    </w:p>
    <w:p w:rsidR="00E43BCC" w:rsidRDefault="003A1867" w:rsidP="00DB327F">
      <w:pPr>
        <w:pStyle w:val="ISMSHeading2"/>
      </w:pPr>
      <w:bookmarkStart w:id="64" w:name="_Toc256000025"/>
      <w:r>
        <w:lastRenderedPageBreak/>
        <w:t>Supplier Assessment Process</w:t>
      </w:r>
      <w:bookmarkEnd w:id="58"/>
      <w:bookmarkEnd w:id="64"/>
    </w:p>
    <w:p w:rsidR="00CD553F" w:rsidRDefault="003A1867" w:rsidP="00A71BE0">
      <w:pPr>
        <w:pStyle w:val="ISMSNormal"/>
        <w:rPr>
          <w:lang w:val="en-GB"/>
        </w:rPr>
      </w:pPr>
      <w:r w:rsidRPr="00CD553F">
        <w:rPr>
          <w:lang w:val="en-GB"/>
        </w:rPr>
        <w:t>In addition to the consideration for information security, the assessment will be commensurate with the criticality and complexity of the product or service to be provided and the maturity and reputation of the supplier and product within the IT industry</w:t>
      </w:r>
      <w:r>
        <w:rPr>
          <w:lang w:val="en-GB"/>
        </w:rPr>
        <w:t>.</w:t>
      </w:r>
    </w:p>
    <w:p w:rsidR="00CD553F" w:rsidRDefault="00E062EA" w:rsidP="00A71BE0">
      <w:pPr>
        <w:pStyle w:val="ISMSNormal"/>
        <w:rPr>
          <w:lang w:val="en-GB"/>
        </w:rPr>
      </w:pPr>
    </w:p>
    <w:p w:rsidR="00A71BE0" w:rsidRDefault="003A1867" w:rsidP="00A71BE0">
      <w:pPr>
        <w:pStyle w:val="ISMSNormal"/>
        <w:rPr>
          <w:lang w:val="en-GB"/>
        </w:rPr>
      </w:pPr>
      <w:r>
        <w:rPr>
          <w:lang w:val="en-GB"/>
        </w:rPr>
        <w:t>The workflow for approving a TRE supplier is:</w:t>
      </w:r>
    </w:p>
    <w:p w:rsidR="00A71BE0" w:rsidRDefault="00E062EA" w:rsidP="00A71BE0">
      <w:pPr>
        <w:pStyle w:val="ISMSNormal"/>
        <w:rPr>
          <w:lang w:val="en-GB"/>
        </w:rPr>
      </w:pPr>
    </w:p>
    <w:p w:rsidR="00A71BE0" w:rsidRPr="00017283" w:rsidRDefault="003A1867" w:rsidP="00A71BE0">
      <w:pPr>
        <w:pStyle w:val="ISMSNormal"/>
        <w:rPr>
          <w:b/>
          <w:lang w:val="en-GB"/>
        </w:rPr>
      </w:pPr>
      <w:r w:rsidRPr="00017283">
        <w:rPr>
          <w:b/>
          <w:lang w:val="en-GB"/>
        </w:rPr>
        <w:t>Potential Suppliers identified</w:t>
      </w:r>
      <w:r>
        <w:rPr>
          <w:lang w:val="en-GB"/>
        </w:rPr>
        <w:t xml:space="preserve"> =&gt; </w:t>
      </w:r>
      <w:r w:rsidRPr="00017283">
        <w:rPr>
          <w:b/>
          <w:lang w:val="en-GB"/>
        </w:rPr>
        <w:t>Supplier Questionnaire completed (Sections A or B of FORM-010)</w:t>
      </w:r>
      <w:r>
        <w:rPr>
          <w:lang w:val="en-GB"/>
        </w:rPr>
        <w:t xml:space="preserve"> =&gt; </w:t>
      </w:r>
      <w:r w:rsidRPr="00017283">
        <w:rPr>
          <w:b/>
          <w:lang w:val="en-GB"/>
        </w:rPr>
        <w:t>Completed questionnaire reviewed (</w:t>
      </w:r>
      <w:r>
        <w:rPr>
          <w:b/>
          <w:lang w:val="en-GB"/>
        </w:rPr>
        <w:t>Q-Pulse audit record created)</w:t>
      </w:r>
      <w:r>
        <w:rPr>
          <w:lang w:val="en-GB"/>
        </w:rPr>
        <w:t xml:space="preserve"> =&gt; </w:t>
      </w:r>
      <w:r>
        <w:rPr>
          <w:b/>
          <w:lang w:val="en-GB"/>
        </w:rPr>
        <w:t xml:space="preserve">Issues identified during review are resolved =&gt; </w:t>
      </w:r>
      <w:r w:rsidRPr="00017283">
        <w:rPr>
          <w:b/>
          <w:lang w:val="en-GB"/>
        </w:rPr>
        <w:t>Supplier approved/rejected for provision of TRE services/assets</w:t>
      </w:r>
    </w:p>
    <w:p w:rsidR="00A71BE0" w:rsidRDefault="00E062EA" w:rsidP="00A71BE0">
      <w:pPr>
        <w:pStyle w:val="ISMSNormal"/>
        <w:rPr>
          <w:lang w:val="en-GB"/>
        </w:rPr>
      </w:pPr>
    </w:p>
    <w:p w:rsidR="00A71BE0" w:rsidRDefault="003A1867" w:rsidP="00A71BE0">
      <w:pPr>
        <w:pStyle w:val="ISMSNormal"/>
        <w:rPr>
          <w:lang w:val="en-GB"/>
        </w:rPr>
      </w:pPr>
      <w:r>
        <w:rPr>
          <w:lang w:val="en-GB"/>
        </w:rPr>
        <w:t>The Supplier Assessment form (document FORM-010) is split into two main parts: Part A is for new Suppliers (e.g. tender exercise, or setting them as first-time suppliers) and Part B is for existing Suppliers (renewal of their ‘approved supplier’ status).</w:t>
      </w:r>
    </w:p>
    <w:p w:rsidR="00883238" w:rsidRDefault="00E062EA" w:rsidP="00A71BE0">
      <w:pPr>
        <w:pStyle w:val="ISMSNormal"/>
        <w:rPr>
          <w:lang w:val="en-GB"/>
        </w:rPr>
      </w:pPr>
    </w:p>
    <w:p w:rsidR="00A71BE0" w:rsidRPr="00A71BE0" w:rsidRDefault="003A1867" w:rsidP="00A71BE0">
      <w:pPr>
        <w:pStyle w:val="ISMSNormal"/>
        <w:rPr>
          <w:lang w:val="en-GB"/>
        </w:rPr>
      </w:pPr>
      <w:r>
        <w:rPr>
          <w:lang w:val="en-GB"/>
        </w:rPr>
        <w:t>In some cases, a supplier may publish information that helps potential customers with their selection, in which case some or all of the assessment questionnaire can be completed by the TRE Operations team.</w:t>
      </w:r>
    </w:p>
    <w:p w:rsidR="00A71BE0" w:rsidRDefault="003A1867" w:rsidP="00A71BE0">
      <w:pPr>
        <w:pStyle w:val="ISMSHeading3"/>
      </w:pPr>
      <w:bookmarkStart w:id="65" w:name="_Toc256000026"/>
      <w:bookmarkStart w:id="66" w:name="_Toc18316246"/>
      <w:r>
        <w:t>New Suppliers</w:t>
      </w:r>
      <w:bookmarkEnd w:id="65"/>
      <w:bookmarkEnd w:id="66"/>
    </w:p>
    <w:p w:rsidR="00A71BE0" w:rsidRPr="00A71BE0" w:rsidRDefault="003A1867" w:rsidP="00A71BE0">
      <w:pPr>
        <w:pStyle w:val="ISMSNormal"/>
        <w:rPr>
          <w:lang w:val="en-GB"/>
        </w:rPr>
      </w:pPr>
      <w:r>
        <w:rPr>
          <w:lang w:val="en-GB"/>
        </w:rPr>
        <w:t>Part A Section 1 of FORM-010 must be completed by all new suppliers, and Section 2 by Critical Suppliers. A new Supplier record should be created in the Q-Pulse Supplier’s module and a copy of the completed form must be attached to a new Supplier Assessment audit record in Q-Pulse (see Appendix).</w:t>
      </w:r>
    </w:p>
    <w:p w:rsidR="00E7778E" w:rsidRDefault="003A1867" w:rsidP="00E7778E">
      <w:pPr>
        <w:pStyle w:val="ISMSHeading3"/>
      </w:pPr>
      <w:bookmarkStart w:id="67" w:name="_Toc256000037"/>
      <w:bookmarkStart w:id="68" w:name="_Toc18316247"/>
      <w:r>
        <w:t>Suppliers with ongoing Service Provision</w:t>
      </w:r>
      <w:bookmarkEnd w:id="67"/>
      <w:bookmarkEnd w:id="68"/>
    </w:p>
    <w:p w:rsidR="00D552A0" w:rsidRDefault="003A1867" w:rsidP="00E7778E">
      <w:pPr>
        <w:pStyle w:val="ISMSNormal"/>
        <w:rPr>
          <w:lang w:val="en-GB"/>
        </w:rPr>
      </w:pPr>
      <w:r>
        <w:rPr>
          <w:lang w:val="en-GB"/>
        </w:rPr>
        <w:t xml:space="preserve">Part B of FORM-010 must be completed every 12 months by all suppliers. A copy of the completed form must be attached to a new the Supplier audit record in Q-Pulse. </w:t>
      </w:r>
    </w:p>
    <w:p w:rsidR="00E7778E" w:rsidRDefault="003A1867" w:rsidP="00E7778E">
      <w:pPr>
        <w:pStyle w:val="ISMSHeading3"/>
      </w:pPr>
      <w:bookmarkStart w:id="69" w:name="_Toc10713060"/>
      <w:bookmarkStart w:id="70" w:name="_Toc11828972"/>
      <w:bookmarkStart w:id="71" w:name="_Toc12878989"/>
      <w:bookmarkStart w:id="72" w:name="_Toc256000038"/>
      <w:bookmarkStart w:id="73" w:name="_Toc18316248"/>
      <w:bookmarkEnd w:id="69"/>
      <w:bookmarkEnd w:id="70"/>
      <w:bookmarkEnd w:id="71"/>
      <w:r>
        <w:t>One-off Suppliers</w:t>
      </w:r>
      <w:bookmarkEnd w:id="72"/>
      <w:bookmarkEnd w:id="73"/>
    </w:p>
    <w:p w:rsidR="00E7778E" w:rsidRPr="00856E1C" w:rsidRDefault="003A1867" w:rsidP="00E7778E">
      <w:pPr>
        <w:pStyle w:val="ISMSNormal"/>
      </w:pPr>
      <w:r w:rsidRPr="00E7778E">
        <w:t xml:space="preserve">For suppliers </w:t>
      </w:r>
      <w:r>
        <w:t xml:space="preserve">that </w:t>
      </w:r>
      <w:r w:rsidRPr="00E7778E">
        <w:t xml:space="preserve">provide a one-off product e.g. </w:t>
      </w:r>
      <w:r>
        <w:t>a software vendor</w:t>
      </w:r>
      <w:r w:rsidRPr="00E7778E">
        <w:t>, it may not be appropriate to set up and ongoing supplier management relationship</w:t>
      </w:r>
      <w:r>
        <w:t>. In such cases, m</w:t>
      </w:r>
      <w:r w:rsidRPr="00E7778E">
        <w:t xml:space="preserve">anagement of the software should be passed on to the </w:t>
      </w:r>
      <w:r>
        <w:t xml:space="preserve">TRE </w:t>
      </w:r>
      <w:r w:rsidRPr="00E7778E">
        <w:t>Systems Administrator</w:t>
      </w:r>
      <w:r>
        <w:t>.  The TRE Systems Administrator</w:t>
      </w:r>
      <w:r w:rsidRPr="00E7778E">
        <w:t xml:space="preserve"> will be responsible for ensuring that the licensing requirements are complied with and that the service is assessed at regular periods to ensure that it does not fall out of support</w:t>
      </w:r>
      <w:r>
        <w:t>.  They will also ensure</w:t>
      </w:r>
      <w:r w:rsidRPr="00E7778E">
        <w:t xml:space="preserve"> that information security risks are assessed to ensure that any risks associated with the product which become apparent during</w:t>
      </w:r>
      <w:r>
        <w:t xml:space="preserve"> </w:t>
      </w:r>
      <w:r w:rsidRPr="00E7778E">
        <w:t>use of the product are highlighted to decision makers in the organisation so that they can be mitigated or removed.</w:t>
      </w:r>
    </w:p>
    <w:p w:rsidR="00E7778E" w:rsidRDefault="003A1867" w:rsidP="006C33AB">
      <w:pPr>
        <w:pStyle w:val="ISMSHeading2"/>
      </w:pPr>
      <w:bookmarkStart w:id="74" w:name="_Toc256000047"/>
      <w:bookmarkStart w:id="75" w:name="_Toc18316249"/>
      <w:r>
        <w:t>Supplier Assessment Review</w:t>
      </w:r>
      <w:bookmarkEnd w:id="74"/>
      <w:bookmarkEnd w:id="75"/>
    </w:p>
    <w:p w:rsidR="006C33AB" w:rsidRPr="006C33AB" w:rsidRDefault="003A1867" w:rsidP="006C33AB">
      <w:pPr>
        <w:pStyle w:val="ISMSNormal"/>
        <w:rPr>
          <w:lang w:val="en-GB"/>
        </w:rPr>
      </w:pPr>
      <w:r>
        <w:rPr>
          <w:lang w:val="en-GB"/>
        </w:rPr>
        <w:t>After Part A or B has been completed for an individual supplier, it is necessary for the supplier review to be completed by the TRE Operations team. This review is completed as part of an audit record in Q-Pulse and will contain a checklist that forms the basis of the review process and the additional rationale for supplier selection. Some of the checklist questions map directly to the responses on FORM-010, while others are derived from the response expected from several questions.</w:t>
      </w:r>
    </w:p>
    <w:p w:rsidR="00534573" w:rsidRDefault="00E062EA" w:rsidP="00E43BCC">
      <w:pPr>
        <w:pStyle w:val="ISMSNormal"/>
        <w:rPr>
          <w:lang w:val="en-GB"/>
        </w:rPr>
      </w:pPr>
    </w:p>
    <w:p w:rsidR="0037048D" w:rsidRDefault="003A1867" w:rsidP="00E43BCC">
      <w:pPr>
        <w:pStyle w:val="ISMSNormal"/>
        <w:rPr>
          <w:lang w:val="en-GB"/>
        </w:rPr>
      </w:pPr>
      <w:r>
        <w:rPr>
          <w:lang w:val="en-GB"/>
        </w:rPr>
        <w:lastRenderedPageBreak/>
        <w:t>Where key criteria are not initially met, the supplier can be given the opportunity to provide a resolution within an agreed time limit. Details must be recorded in the audit response, or if necessary raising a security event in Q-Pulse.</w:t>
      </w:r>
    </w:p>
    <w:p w:rsidR="0037048D" w:rsidRDefault="00E062EA" w:rsidP="00E43BCC">
      <w:pPr>
        <w:pStyle w:val="ISMSNormal"/>
        <w:rPr>
          <w:lang w:val="en-GB"/>
        </w:rPr>
      </w:pPr>
    </w:p>
    <w:p w:rsidR="00534573" w:rsidRDefault="003A1867" w:rsidP="00534573">
      <w:pPr>
        <w:pStyle w:val="ISMSNormal"/>
        <w:rPr>
          <w:lang w:val="en-GB"/>
        </w:rPr>
      </w:pPr>
      <w:r>
        <w:rPr>
          <w:lang w:val="en-GB"/>
        </w:rPr>
        <w:t>In scenarios where the University is allocating the provision of a service to a 3</w:t>
      </w:r>
      <w:r w:rsidRPr="00957C5C">
        <w:rPr>
          <w:vertAlign w:val="superscript"/>
          <w:lang w:val="en-GB"/>
        </w:rPr>
        <w:t>rd</w:t>
      </w:r>
      <w:r>
        <w:rPr>
          <w:lang w:val="en-GB"/>
        </w:rPr>
        <w:t xml:space="preserve"> party organisation, and where the University has conducted its own assessment of that supplier, it is acceptable for the TRE service to use the findings of the University’s own supplier assessment.</w:t>
      </w:r>
    </w:p>
    <w:p w:rsidR="00094618" w:rsidRDefault="00E062EA" w:rsidP="00534573">
      <w:pPr>
        <w:pStyle w:val="ISMSNormal"/>
        <w:rPr>
          <w:lang w:val="en-GB"/>
        </w:rPr>
      </w:pPr>
    </w:p>
    <w:p w:rsidR="00094618" w:rsidRDefault="003A1867" w:rsidP="009329C2">
      <w:pPr>
        <w:pStyle w:val="ISMSHeading3"/>
      </w:pPr>
      <w:bookmarkStart w:id="76" w:name="_Toc256000048"/>
      <w:bookmarkStart w:id="77" w:name="_Toc18316250"/>
      <w:r>
        <w:t>Checklist Questions</w:t>
      </w:r>
      <w:bookmarkEnd w:id="76"/>
      <w:bookmarkEnd w:id="77"/>
    </w:p>
    <w:p w:rsidR="00094618" w:rsidRPr="00094618" w:rsidRDefault="003A1867" w:rsidP="00094618">
      <w:pPr>
        <w:pStyle w:val="ISMSNormal"/>
        <w:rPr>
          <w:lang w:val="en-GB"/>
        </w:rPr>
      </w:pPr>
      <w:r>
        <w:rPr>
          <w:lang w:val="en-GB"/>
        </w:rPr>
        <w:t>The list of questions or checks that will be used for the assessment review are:</w:t>
      </w:r>
    </w:p>
    <w:p w:rsidR="00094618" w:rsidRPr="00094618" w:rsidRDefault="003A1867" w:rsidP="009329C2">
      <w:pPr>
        <w:pStyle w:val="ListParagraph"/>
      </w:pPr>
      <w:r w:rsidRPr="00094618">
        <w:t>QMS certified to a recognised standard</w:t>
      </w:r>
    </w:p>
    <w:p w:rsidR="00094618" w:rsidRPr="00094618" w:rsidRDefault="003A1867" w:rsidP="009329C2">
      <w:pPr>
        <w:pStyle w:val="ListParagraph"/>
      </w:pPr>
      <w:r w:rsidRPr="00094618">
        <w:t>ISMS certified to a recognised standard</w:t>
      </w:r>
    </w:p>
    <w:p w:rsidR="00094618" w:rsidRPr="00094618" w:rsidRDefault="003A1867" w:rsidP="009329C2">
      <w:pPr>
        <w:pStyle w:val="ListParagraph"/>
      </w:pPr>
      <w:r w:rsidRPr="00094618">
        <w:t>Staff vetting and training</w:t>
      </w:r>
    </w:p>
    <w:p w:rsidR="00094618" w:rsidRPr="00094618" w:rsidRDefault="003A1867" w:rsidP="009329C2">
      <w:pPr>
        <w:pStyle w:val="ListParagraph"/>
      </w:pPr>
      <w:r w:rsidRPr="00094618">
        <w:t>Product road map</w:t>
      </w:r>
    </w:p>
    <w:p w:rsidR="00094618" w:rsidRPr="00094618" w:rsidRDefault="003A1867" w:rsidP="009329C2">
      <w:pPr>
        <w:pStyle w:val="ListParagraph"/>
      </w:pPr>
      <w:r w:rsidRPr="00094618">
        <w:t>Commitment to continuous improvement</w:t>
      </w:r>
    </w:p>
    <w:p w:rsidR="00094618" w:rsidRPr="00094618" w:rsidRDefault="003A1867" w:rsidP="009329C2">
      <w:pPr>
        <w:pStyle w:val="ListParagraph"/>
      </w:pPr>
      <w:r w:rsidRPr="00094618">
        <w:t>Quality and project planning</w:t>
      </w:r>
    </w:p>
    <w:p w:rsidR="00094618" w:rsidRPr="00094618" w:rsidRDefault="003A1867" w:rsidP="009329C2">
      <w:pPr>
        <w:pStyle w:val="ListParagraph"/>
      </w:pPr>
      <w:r w:rsidRPr="00094618">
        <w:t>Documentation of user/supplier responsibilities</w:t>
      </w:r>
    </w:p>
    <w:p w:rsidR="00094618" w:rsidRPr="00094618" w:rsidRDefault="003A1867" w:rsidP="009329C2">
      <w:pPr>
        <w:pStyle w:val="ListParagraph"/>
      </w:pPr>
      <w:r w:rsidRPr="00094618">
        <w:t>Document revision notification</w:t>
      </w:r>
    </w:p>
    <w:p w:rsidR="00094618" w:rsidRPr="00094618" w:rsidRDefault="003A1867" w:rsidP="009329C2">
      <w:pPr>
        <w:pStyle w:val="ListParagraph"/>
      </w:pPr>
      <w:r w:rsidRPr="00094618">
        <w:t>Business Continuity plan</w:t>
      </w:r>
    </w:p>
    <w:p w:rsidR="00094618" w:rsidRPr="00094618" w:rsidRDefault="003A1867" w:rsidP="009329C2">
      <w:pPr>
        <w:pStyle w:val="ListParagraph"/>
      </w:pPr>
      <w:r w:rsidRPr="00094618">
        <w:t>Information Security Continuity plan</w:t>
      </w:r>
    </w:p>
    <w:p w:rsidR="00094618" w:rsidRPr="00511C32" w:rsidRDefault="003A1867" w:rsidP="009329C2">
      <w:pPr>
        <w:pStyle w:val="ListParagraph"/>
      </w:pPr>
      <w:r w:rsidRPr="00094618">
        <w:t>Disaster Recovery plan</w:t>
      </w:r>
    </w:p>
    <w:p w:rsidR="00094618" w:rsidRDefault="00E062EA" w:rsidP="00534573">
      <w:pPr>
        <w:pStyle w:val="ISMSNormal"/>
        <w:rPr>
          <w:lang w:val="en-GB"/>
        </w:rPr>
      </w:pPr>
    </w:p>
    <w:p w:rsidR="00224358" w:rsidRDefault="003A1867" w:rsidP="00534573">
      <w:pPr>
        <w:pStyle w:val="ISMSNormal"/>
        <w:rPr>
          <w:lang w:val="en-GB"/>
        </w:rPr>
      </w:pPr>
      <w:r>
        <w:rPr>
          <w:lang w:val="en-GB"/>
        </w:rPr>
        <w:t>The final outcome of the assessment review will be included in the Q-Pulse audit record.</w:t>
      </w:r>
    </w:p>
    <w:p w:rsidR="00224358" w:rsidRPr="00957C5C" w:rsidRDefault="00E062EA" w:rsidP="00534573">
      <w:pPr>
        <w:pStyle w:val="ISMSNormal"/>
        <w:rPr>
          <w:lang w:val="en-GB"/>
        </w:rPr>
      </w:pPr>
    </w:p>
    <w:p w:rsidR="00DB327F" w:rsidRPr="00554D13" w:rsidRDefault="003A1867" w:rsidP="00DB327F">
      <w:pPr>
        <w:pStyle w:val="ISMSHeading2"/>
      </w:pPr>
      <w:bookmarkStart w:id="78" w:name="_Toc256000051"/>
      <w:bookmarkStart w:id="79" w:name="_Toc18316251"/>
      <w:bookmarkEnd w:id="59"/>
      <w:bookmarkEnd w:id="60"/>
      <w:bookmarkEnd w:id="61"/>
      <w:bookmarkEnd w:id="62"/>
      <w:bookmarkEnd w:id="63"/>
      <w:r>
        <w:t>Communication with Suppliers during assessment</w:t>
      </w:r>
      <w:bookmarkEnd w:id="78"/>
      <w:bookmarkEnd w:id="79"/>
    </w:p>
    <w:p w:rsidR="00DB327F" w:rsidRDefault="003A1867" w:rsidP="00DB327F">
      <w:pPr>
        <w:pStyle w:val="ISMSNormal"/>
      </w:pPr>
      <w:r w:rsidRPr="00F5426C">
        <w:t>Suppliers</w:t>
      </w:r>
      <w:r>
        <w:t xml:space="preserve"> of critical assets/services</w:t>
      </w:r>
      <w:r w:rsidRPr="00F5426C">
        <w:t xml:space="preserve"> must agree to permit and facilitate audits of </w:t>
      </w:r>
      <w:r>
        <w:t>any relevant</w:t>
      </w:r>
      <w:r w:rsidRPr="00F5426C">
        <w:t xml:space="preserve"> aspects of their</w:t>
      </w:r>
      <w:r>
        <w:t xml:space="preserve"> </w:t>
      </w:r>
      <w:r w:rsidRPr="00F5426C">
        <w:t>informatio</w:t>
      </w:r>
      <w:r>
        <w:t>n security management system by the TRE</w:t>
      </w:r>
      <w:r w:rsidRPr="00F5426C">
        <w:t xml:space="preserve"> </w:t>
      </w:r>
      <w:r>
        <w:t xml:space="preserve">Operations team </w:t>
      </w:r>
      <w:r w:rsidRPr="00F5426C">
        <w:t>and to address any findings of</w:t>
      </w:r>
      <w:r>
        <w:t xml:space="preserve"> </w:t>
      </w:r>
      <w:r w:rsidRPr="00F5426C">
        <w:t xml:space="preserve">such audits in order to preserve the security of information to </w:t>
      </w:r>
      <w:r>
        <w:t>the TRE</w:t>
      </w:r>
      <w:r w:rsidRPr="00F5426C">
        <w:t>’s standards and</w:t>
      </w:r>
      <w:r>
        <w:t xml:space="preserve"> requirements.</w:t>
      </w:r>
    </w:p>
    <w:p w:rsidR="00DB327F" w:rsidRDefault="00E062EA" w:rsidP="00DB327F">
      <w:pPr>
        <w:pStyle w:val="ISMSNormal"/>
      </w:pPr>
    </w:p>
    <w:p w:rsidR="00DB327F" w:rsidRPr="00F5426C" w:rsidRDefault="003A1867" w:rsidP="00DB327F">
      <w:pPr>
        <w:pStyle w:val="ISMSNormal"/>
      </w:pPr>
      <w:r w:rsidRPr="00F5426C">
        <w:t xml:space="preserve">The transmission of information between </w:t>
      </w:r>
      <w:r>
        <w:t>the TRE</w:t>
      </w:r>
      <w:r w:rsidRPr="00F5426C">
        <w:t xml:space="preserve"> and a supplier must be</w:t>
      </w:r>
      <w:r>
        <w:t xml:space="preserve"> </w:t>
      </w:r>
      <w:r w:rsidRPr="00F5426C">
        <w:t>encrypted to a level commensurate with the security classification of the information.</w:t>
      </w:r>
    </w:p>
    <w:p w:rsidR="00DB327F" w:rsidRDefault="00E062EA" w:rsidP="00DB327F">
      <w:pPr>
        <w:pStyle w:val="ISMSNormal"/>
      </w:pPr>
    </w:p>
    <w:p w:rsidR="00DB327F" w:rsidRPr="00F5426C" w:rsidRDefault="003A1867" w:rsidP="00DB327F">
      <w:pPr>
        <w:pStyle w:val="ISMSNormal"/>
      </w:pPr>
      <w:r>
        <w:t>TRE</w:t>
      </w:r>
      <w:r w:rsidRPr="00F5426C">
        <w:t xml:space="preserve"> information may not be copied by any supplier other than as far as is</w:t>
      </w:r>
      <w:r>
        <w:t xml:space="preserve"> </w:t>
      </w:r>
      <w:r w:rsidRPr="00F5426C">
        <w:t xml:space="preserve">necessary for providing an agreed service to </w:t>
      </w:r>
      <w:r>
        <w:t>the TRE</w:t>
      </w:r>
      <w:r w:rsidRPr="00F5426C">
        <w:t>.</w:t>
      </w:r>
    </w:p>
    <w:p w:rsidR="00DB327F" w:rsidRDefault="00E062EA" w:rsidP="00DB327F">
      <w:pPr>
        <w:pStyle w:val="ISMSNormal"/>
      </w:pPr>
    </w:p>
    <w:p w:rsidR="00DB327F" w:rsidRPr="00F5426C" w:rsidRDefault="003A1867" w:rsidP="00DB327F">
      <w:pPr>
        <w:pStyle w:val="ISMSNormal"/>
      </w:pPr>
      <w:r w:rsidRPr="00F5426C">
        <w:t xml:space="preserve">Suppliers </w:t>
      </w:r>
      <w:r>
        <w:t xml:space="preserve">of critical assets/services </w:t>
      </w:r>
      <w:r w:rsidRPr="00F5426C">
        <w:t>must have a security incident reporting process in place to a</w:t>
      </w:r>
      <w:r>
        <w:t xml:space="preserve"> </w:t>
      </w:r>
      <w:r w:rsidRPr="00F5426C">
        <w:t xml:space="preserve">standard and design acceptable to </w:t>
      </w:r>
      <w:r>
        <w:t>the TRE</w:t>
      </w:r>
      <w:r w:rsidRPr="00F5426C">
        <w:t xml:space="preserve"> to ensure that any incidents involving </w:t>
      </w:r>
      <w:r>
        <w:t xml:space="preserve">TRE </w:t>
      </w:r>
      <w:r w:rsidRPr="00F5426C">
        <w:t xml:space="preserve">information are immediately reported to </w:t>
      </w:r>
      <w:r>
        <w:t>the TRE Operations team</w:t>
      </w:r>
      <w:r w:rsidRPr="00F5426C">
        <w:t>. Suppliers must agree to undertake any</w:t>
      </w:r>
      <w:r>
        <w:t xml:space="preserve"> </w:t>
      </w:r>
      <w:r w:rsidRPr="00F5426C">
        <w:t xml:space="preserve">remedial action required by </w:t>
      </w:r>
      <w:r>
        <w:t>the TRE Operations team</w:t>
      </w:r>
      <w:r w:rsidRPr="00F5426C">
        <w:t xml:space="preserve"> and ensure that this is implemented in an auditable</w:t>
      </w:r>
      <w:r>
        <w:t xml:space="preserve"> </w:t>
      </w:r>
      <w:r w:rsidRPr="00F5426C">
        <w:t>way.</w:t>
      </w:r>
    </w:p>
    <w:p w:rsidR="00DB327F" w:rsidRPr="006E49B5" w:rsidRDefault="003A1867" w:rsidP="00DB327F">
      <w:pPr>
        <w:pStyle w:val="ISMSNormal"/>
      </w:pPr>
      <w:r>
        <w:tab/>
      </w:r>
    </w:p>
    <w:p w:rsidR="00DB327F" w:rsidRPr="00A33B8D" w:rsidRDefault="003A1867" w:rsidP="00DB327F">
      <w:pPr>
        <w:pStyle w:val="ISMSHeading1"/>
        <w:rPr>
          <w:rFonts w:cs="Arial"/>
        </w:rPr>
      </w:pPr>
      <w:bookmarkStart w:id="80" w:name="_Toc256000052"/>
      <w:bookmarkStart w:id="81" w:name="_Toc256000049"/>
      <w:bookmarkStart w:id="82" w:name="_Toc256000039"/>
      <w:bookmarkStart w:id="83" w:name="_Toc256000027"/>
      <w:bookmarkStart w:id="84" w:name="_Toc256000028"/>
      <w:bookmarkStart w:id="85" w:name="_Toc256000018"/>
      <w:bookmarkStart w:id="86" w:name="_Toc490655164"/>
      <w:bookmarkStart w:id="87" w:name="_Toc498416192"/>
      <w:bookmarkStart w:id="88" w:name="_Toc955747"/>
      <w:bookmarkStart w:id="89" w:name="_Toc18316252"/>
      <w:r>
        <w:t>Cross-referenced ISMS Documents</w:t>
      </w:r>
      <w:bookmarkEnd w:id="80"/>
      <w:bookmarkEnd w:id="81"/>
      <w:bookmarkEnd w:id="82"/>
      <w:bookmarkEnd w:id="83"/>
      <w:bookmarkEnd w:id="84"/>
      <w:bookmarkEnd w:id="85"/>
      <w:bookmarkEnd w:id="86"/>
      <w:bookmarkEnd w:id="87"/>
      <w:bookmarkEnd w:id="88"/>
      <w:bookmarkEnd w:id="89"/>
    </w:p>
    <w:sdt>
      <w:sdtPr>
        <w:tag w:val="QPulse_DocRelatedDocuments"/>
        <w:id w:val="1168986007"/>
        <w:lock w:val="contentLocked"/>
      </w:sdtPr>
      <w:sdtEndPr/>
      <w:sdtContent>
        <w:p w:rsidR="00DB327F" w:rsidRDefault="00E062EA" w:rsidP="00DB327F"/>
        <w:tbl>
          <w:tblPr>
            <w:tblStyle w:val="TableProfessional"/>
            <w:tblW w:w="0" w:type="auto"/>
            <w:tblLayout w:type="fixed"/>
            <w:tblLook w:val="04A0" w:firstRow="1" w:lastRow="0" w:firstColumn="1" w:lastColumn="0" w:noHBand="0" w:noVBand="1"/>
          </w:tblPr>
          <w:tblGrid>
            <w:gridCol w:w="3080"/>
            <w:gridCol w:w="3081"/>
            <w:gridCol w:w="3081"/>
          </w:tblGrid>
          <w:tr w:rsidR="00992F3A" w:rsidTr="00992F3A">
            <w:trPr>
              <w:cnfStyle w:val="100000000000" w:firstRow="1" w:lastRow="0" w:firstColumn="0" w:lastColumn="0" w:oddVBand="0" w:evenVBand="0" w:oddHBand="0" w:evenHBand="0" w:firstRowFirstColumn="0" w:firstRowLastColumn="0" w:lastRowFirstColumn="0" w:lastRowLastColumn="0"/>
            </w:trPr>
            <w:tc>
              <w:tcPr>
                <w:tcW w:w="3080" w:type="dxa"/>
              </w:tcPr>
              <w:p w:rsidR="00DB327F" w:rsidRPr="00195E85" w:rsidRDefault="003A1867" w:rsidP="00DB327F">
                <w:r>
                  <w:t>Number</w:t>
                </w:r>
              </w:p>
            </w:tc>
            <w:tc>
              <w:tcPr>
                <w:tcW w:w="3081" w:type="dxa"/>
              </w:tcPr>
              <w:p w:rsidR="00DB327F" w:rsidRPr="00195E85" w:rsidRDefault="003A1867" w:rsidP="00DB327F">
                <w:r>
                  <w:t>Type</w:t>
                </w:r>
              </w:p>
            </w:tc>
            <w:tc>
              <w:tcPr>
                <w:tcW w:w="3081" w:type="dxa"/>
              </w:tcPr>
              <w:p w:rsidR="00DB327F" w:rsidRPr="00195E85" w:rsidRDefault="003A1867" w:rsidP="00DB327F">
                <w:r>
                  <w:t>Title</w:t>
                </w:r>
              </w:p>
            </w:tc>
          </w:tr>
          <w:tr w:rsidR="00992F3A" w:rsidTr="00992F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992F3A" w:rsidRDefault="003A1867">
                <w:r>
                  <w:lastRenderedPageBreak/>
                  <w:t>FORM-009</w:t>
                </w:r>
              </w:p>
            </w:tc>
            <w:tc>
              <w:tcPr>
                <w:tcW w:w="360" w:type="dxa"/>
              </w:tcPr>
              <w:p w:rsidR="00992F3A" w:rsidRDefault="003A1867">
                <w:r>
                  <w:t>ISMS\Forms</w:t>
                </w:r>
              </w:p>
            </w:tc>
            <w:tc>
              <w:tcPr>
                <w:tcW w:w="360" w:type="dxa"/>
              </w:tcPr>
              <w:p w:rsidR="00992F3A" w:rsidRDefault="003A1867">
                <w:r>
                  <w:t>TRE Visitors Access Form</w:t>
                </w:r>
              </w:p>
            </w:tc>
          </w:tr>
        </w:tbl>
        <w:p w:rsidR="00DB327F" w:rsidRPr="00A53C31" w:rsidRDefault="00E062EA" w:rsidP="00DB327F"/>
      </w:sdtContent>
    </w:sdt>
    <w:p w:rsidR="00DB327F" w:rsidRPr="00856777" w:rsidRDefault="00E062EA" w:rsidP="00DB327F">
      <w:pPr>
        <w:pStyle w:val="ISMSNormal"/>
        <w:rPr>
          <w:b/>
        </w:rPr>
      </w:pPr>
    </w:p>
    <w:p w:rsidR="00DB327F" w:rsidRDefault="003A1867" w:rsidP="00DB327F">
      <w:pPr>
        <w:pStyle w:val="ISMSHeading1"/>
        <w:rPr>
          <w:rFonts w:cs="Arial"/>
        </w:rPr>
      </w:pPr>
      <w:bookmarkStart w:id="90" w:name="_Toc256000053"/>
      <w:bookmarkStart w:id="91" w:name="_Toc256000050"/>
      <w:bookmarkStart w:id="92" w:name="_Toc256000040"/>
      <w:bookmarkStart w:id="93" w:name="_Toc256000030"/>
      <w:bookmarkStart w:id="94" w:name="_Toc256000029"/>
      <w:bookmarkStart w:id="95" w:name="_Toc256000019"/>
      <w:bookmarkStart w:id="96" w:name="_Toc479584184"/>
      <w:bookmarkStart w:id="97" w:name="_Toc490655165"/>
      <w:bookmarkStart w:id="98" w:name="_Toc498416193"/>
      <w:bookmarkStart w:id="99" w:name="_Toc955748"/>
      <w:bookmarkStart w:id="100" w:name="_Toc18316253"/>
      <w:r w:rsidRPr="00A53C31">
        <w:t>Appendices</w:t>
      </w:r>
      <w:bookmarkEnd w:id="90"/>
      <w:bookmarkEnd w:id="91"/>
      <w:bookmarkEnd w:id="92"/>
      <w:bookmarkEnd w:id="93"/>
      <w:bookmarkEnd w:id="94"/>
      <w:bookmarkEnd w:id="95"/>
      <w:bookmarkEnd w:id="96"/>
      <w:bookmarkEnd w:id="97"/>
      <w:bookmarkEnd w:id="98"/>
      <w:bookmarkEnd w:id="99"/>
      <w:bookmarkEnd w:id="100"/>
    </w:p>
    <w:p w:rsidR="00E7442A" w:rsidRDefault="003A1867" w:rsidP="009329C2">
      <w:pPr>
        <w:pStyle w:val="ISMSHeading2"/>
      </w:pPr>
      <w:bookmarkStart w:id="101" w:name="_Toc256000054"/>
      <w:bookmarkStart w:id="102" w:name="_Toc18316254"/>
      <w:r>
        <w:t>Use of Q-Pulse to Manage Supplier Records</w:t>
      </w:r>
      <w:bookmarkEnd w:id="101"/>
      <w:bookmarkEnd w:id="102"/>
    </w:p>
    <w:p w:rsidR="00E7442A" w:rsidRDefault="003A1867" w:rsidP="009329C2">
      <w:pPr>
        <w:pStyle w:val="ISMSHeading3"/>
      </w:pPr>
      <w:bookmarkStart w:id="103" w:name="_Toc256000055"/>
      <w:bookmarkStart w:id="104" w:name="_Toc18316255"/>
      <w:r>
        <w:t>Create a New Supplier Record</w:t>
      </w:r>
      <w:bookmarkEnd w:id="103"/>
      <w:bookmarkEnd w:id="104"/>
    </w:p>
    <w:p w:rsidR="00E7442A" w:rsidRDefault="003A1867">
      <w:pPr>
        <w:pStyle w:val="ISMSNormal"/>
        <w:rPr>
          <w:lang w:val="en-GB"/>
        </w:rPr>
      </w:pPr>
      <w:r>
        <w:rPr>
          <w:lang w:val="en-GB"/>
        </w:rPr>
        <w:t>From the Supplier module click on the New Supplier icon to add a new supplier</w:t>
      </w:r>
    </w:p>
    <w:p w:rsidR="00E7442A" w:rsidRDefault="003A1867" w:rsidP="009329C2">
      <w:pPr>
        <w:pStyle w:val="ISMSNormal"/>
        <w:jc w:val="center"/>
        <w:rPr>
          <w:lang w:val="en-GB"/>
        </w:rPr>
      </w:pPr>
      <w:r>
        <w:rPr>
          <w:noProof/>
          <w:lang w:val="en-GB" w:eastAsia="en-GB"/>
        </w:rPr>
        <w:drawing>
          <wp:inline distT="0" distB="0" distL="0" distR="0">
            <wp:extent cx="1343025" cy="92647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46920" cy="929159"/>
                    </a:xfrm>
                    <a:prstGeom prst="rect">
                      <a:avLst/>
                    </a:prstGeom>
                    <a:noFill/>
                    <a:ln>
                      <a:noFill/>
                    </a:ln>
                  </pic:spPr>
                </pic:pic>
              </a:graphicData>
            </a:graphic>
          </wp:inline>
        </w:drawing>
      </w:r>
    </w:p>
    <w:p w:rsidR="00E7442A" w:rsidRDefault="00E062EA">
      <w:pPr>
        <w:pStyle w:val="ISMSNormal"/>
        <w:rPr>
          <w:lang w:val="en-GB"/>
        </w:rPr>
      </w:pPr>
    </w:p>
    <w:p w:rsidR="00E7442A" w:rsidRDefault="003A1867" w:rsidP="00493CD5">
      <w:pPr>
        <w:pStyle w:val="ISMSNormal"/>
        <w:rPr>
          <w:lang w:val="en-GB"/>
        </w:rPr>
      </w:pPr>
      <w:r>
        <w:rPr>
          <w:lang w:val="en-GB"/>
        </w:rPr>
        <w:t xml:space="preserve">This </w:t>
      </w:r>
      <w:r w:rsidRPr="009329C2">
        <w:t>displays</w:t>
      </w:r>
      <w:r>
        <w:rPr>
          <w:lang w:val="en-GB"/>
        </w:rPr>
        <w:t xml:space="preserve"> the screen where the supplier details can be added.</w:t>
      </w:r>
    </w:p>
    <w:p w:rsidR="00E7442A" w:rsidRDefault="003A1867" w:rsidP="00493CD5">
      <w:pPr>
        <w:pStyle w:val="ISMSNormal"/>
        <w:jc w:val="center"/>
        <w:rPr>
          <w:lang w:val="en-GB"/>
        </w:rPr>
      </w:pPr>
      <w:r>
        <w:rPr>
          <w:noProof/>
          <w:lang w:val="en-GB" w:eastAsia="en-GB"/>
        </w:rPr>
        <w:drawing>
          <wp:inline distT="0" distB="0" distL="0" distR="0">
            <wp:extent cx="5724525" cy="424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4525" cy="4248150"/>
                    </a:xfrm>
                    <a:prstGeom prst="rect">
                      <a:avLst/>
                    </a:prstGeom>
                    <a:noFill/>
                    <a:ln>
                      <a:noFill/>
                    </a:ln>
                  </pic:spPr>
                </pic:pic>
              </a:graphicData>
            </a:graphic>
          </wp:inline>
        </w:drawing>
      </w:r>
    </w:p>
    <w:p w:rsidR="009911D7" w:rsidRDefault="003A1867">
      <w:pPr>
        <w:pStyle w:val="ISMSNormal"/>
        <w:rPr>
          <w:lang w:val="en-GB"/>
        </w:rPr>
      </w:pPr>
      <w:r>
        <w:rPr>
          <w:lang w:val="en-GB"/>
        </w:rPr>
        <w:t>The key fields are:</w:t>
      </w:r>
    </w:p>
    <w:p w:rsidR="00E7442A" w:rsidRPr="00E7442A" w:rsidRDefault="003A1867">
      <w:pPr>
        <w:pStyle w:val="ISMSNormal"/>
        <w:rPr>
          <w:lang w:val="en-GB"/>
        </w:rPr>
      </w:pPr>
      <w:r w:rsidRPr="009329C2">
        <w:rPr>
          <w:b/>
          <w:lang w:val="en-GB"/>
        </w:rPr>
        <w:t>Supplier</w:t>
      </w:r>
      <w:r>
        <w:rPr>
          <w:b/>
          <w:lang w:val="en-GB"/>
        </w:rPr>
        <w:t xml:space="preserve"> Name</w:t>
      </w:r>
      <w:r w:rsidRPr="009329C2">
        <w:rPr>
          <w:b/>
          <w:lang w:val="en-GB"/>
        </w:rPr>
        <w:t xml:space="preserve"> </w:t>
      </w:r>
      <w:r>
        <w:rPr>
          <w:b/>
          <w:lang w:val="en-GB"/>
        </w:rPr>
        <w:t xml:space="preserve">– </w:t>
      </w:r>
      <w:r w:rsidRPr="009329C2">
        <w:rPr>
          <w:lang w:val="en-GB"/>
        </w:rPr>
        <w:t xml:space="preserve">The </w:t>
      </w:r>
      <w:r>
        <w:rPr>
          <w:lang w:val="en-GB"/>
        </w:rPr>
        <w:t>name</w:t>
      </w:r>
      <w:r w:rsidRPr="009329C2">
        <w:rPr>
          <w:lang w:val="en-GB"/>
        </w:rPr>
        <w:t xml:space="preserve"> of the supplier</w:t>
      </w:r>
    </w:p>
    <w:p w:rsidR="00E7442A" w:rsidRPr="009329C2" w:rsidRDefault="003A1867">
      <w:pPr>
        <w:pStyle w:val="ISMSNormal"/>
        <w:rPr>
          <w:b/>
          <w:lang w:val="en-GB"/>
        </w:rPr>
      </w:pPr>
      <w:r w:rsidRPr="009329C2">
        <w:rPr>
          <w:b/>
          <w:lang w:val="en-GB"/>
        </w:rPr>
        <w:t xml:space="preserve">Account Number </w:t>
      </w:r>
      <w:r>
        <w:rPr>
          <w:b/>
          <w:lang w:val="en-GB"/>
        </w:rPr>
        <w:t xml:space="preserve">– </w:t>
      </w:r>
      <w:r w:rsidRPr="009329C2">
        <w:rPr>
          <w:lang w:val="en-GB"/>
        </w:rPr>
        <w:t xml:space="preserve">The </w:t>
      </w:r>
      <w:r>
        <w:rPr>
          <w:lang w:val="en-GB"/>
        </w:rPr>
        <w:t>number of the account with the supplier (their reference)</w:t>
      </w:r>
    </w:p>
    <w:p w:rsidR="00E7442A" w:rsidRPr="009329C2" w:rsidRDefault="003A1867">
      <w:pPr>
        <w:pStyle w:val="ISMSNormal"/>
        <w:rPr>
          <w:b/>
          <w:lang w:val="en-GB"/>
        </w:rPr>
      </w:pPr>
      <w:r w:rsidRPr="009329C2">
        <w:rPr>
          <w:b/>
          <w:lang w:val="en-GB"/>
        </w:rPr>
        <w:t xml:space="preserve">Supplier Status </w:t>
      </w:r>
      <w:r>
        <w:rPr>
          <w:b/>
          <w:lang w:val="en-GB"/>
        </w:rPr>
        <w:t xml:space="preserve">– </w:t>
      </w:r>
      <w:r w:rsidRPr="009329C2">
        <w:rPr>
          <w:lang w:val="en-GB"/>
        </w:rPr>
        <w:t>T</w:t>
      </w:r>
      <w:r>
        <w:rPr>
          <w:lang w:val="en-GB"/>
        </w:rPr>
        <w:t>o indicate whether the supplier is currently suppling services or not</w:t>
      </w:r>
    </w:p>
    <w:p w:rsidR="00E7442A" w:rsidRPr="009329C2" w:rsidRDefault="003A1867">
      <w:pPr>
        <w:pStyle w:val="ISMSNormal"/>
        <w:rPr>
          <w:b/>
          <w:lang w:val="en-GB"/>
        </w:rPr>
      </w:pPr>
      <w:r w:rsidRPr="009329C2">
        <w:rPr>
          <w:b/>
          <w:lang w:val="en-GB"/>
        </w:rPr>
        <w:t xml:space="preserve">Account Manager </w:t>
      </w:r>
      <w:r>
        <w:rPr>
          <w:b/>
          <w:lang w:val="en-GB"/>
        </w:rPr>
        <w:t xml:space="preserve">– </w:t>
      </w:r>
      <w:r w:rsidRPr="009329C2">
        <w:rPr>
          <w:lang w:val="en-GB"/>
        </w:rPr>
        <w:t>Name</w:t>
      </w:r>
      <w:r>
        <w:rPr>
          <w:lang w:val="en-GB"/>
        </w:rPr>
        <w:t xml:space="preserve"> </w:t>
      </w:r>
      <w:r w:rsidRPr="009329C2">
        <w:rPr>
          <w:lang w:val="en-GB"/>
        </w:rPr>
        <w:t>of the primary contact</w:t>
      </w:r>
      <w:r>
        <w:rPr>
          <w:lang w:val="en-GB"/>
        </w:rPr>
        <w:t xml:space="preserve"> from the supplier</w:t>
      </w:r>
      <w:r>
        <w:rPr>
          <w:b/>
          <w:lang w:val="en-GB"/>
        </w:rPr>
        <w:t xml:space="preserve"> </w:t>
      </w:r>
    </w:p>
    <w:p w:rsidR="00E7442A" w:rsidRPr="009329C2" w:rsidRDefault="003A1867">
      <w:pPr>
        <w:pStyle w:val="ISMSNormal"/>
        <w:rPr>
          <w:b/>
          <w:lang w:val="en-GB"/>
        </w:rPr>
      </w:pPr>
      <w:r w:rsidRPr="009329C2">
        <w:rPr>
          <w:b/>
          <w:lang w:val="en-GB"/>
        </w:rPr>
        <w:t xml:space="preserve">Approval Status </w:t>
      </w:r>
      <w:r>
        <w:rPr>
          <w:b/>
          <w:lang w:val="en-GB"/>
        </w:rPr>
        <w:t xml:space="preserve">– </w:t>
      </w:r>
      <w:r w:rsidRPr="009329C2">
        <w:rPr>
          <w:lang w:val="en-GB"/>
        </w:rPr>
        <w:t>Status of the audit of the supplier</w:t>
      </w:r>
    </w:p>
    <w:p w:rsidR="00E7442A" w:rsidRPr="009329C2" w:rsidRDefault="003A1867">
      <w:pPr>
        <w:pStyle w:val="ISMSNormal"/>
        <w:rPr>
          <w:b/>
          <w:lang w:val="en-GB"/>
        </w:rPr>
      </w:pPr>
      <w:r w:rsidRPr="009329C2">
        <w:rPr>
          <w:b/>
          <w:lang w:val="en-GB"/>
        </w:rPr>
        <w:t xml:space="preserve">Address of Supplier </w:t>
      </w:r>
      <w:r>
        <w:rPr>
          <w:b/>
          <w:lang w:val="en-GB"/>
        </w:rPr>
        <w:t xml:space="preserve">– </w:t>
      </w:r>
      <w:r w:rsidRPr="009329C2">
        <w:rPr>
          <w:lang w:val="en-GB"/>
        </w:rPr>
        <w:t>Contact address</w:t>
      </w:r>
      <w:r>
        <w:rPr>
          <w:lang w:val="en-GB"/>
        </w:rPr>
        <w:t xml:space="preserve"> of the supplier</w:t>
      </w:r>
    </w:p>
    <w:p w:rsidR="009911D7" w:rsidRDefault="003A1867">
      <w:pPr>
        <w:pStyle w:val="ISMSNormal"/>
        <w:rPr>
          <w:lang w:val="en-GB"/>
        </w:rPr>
      </w:pPr>
      <w:r>
        <w:rPr>
          <w:b/>
          <w:lang w:val="en-GB"/>
        </w:rPr>
        <w:t>Critical Supplier</w:t>
      </w:r>
      <w:r>
        <w:rPr>
          <w:lang w:val="en-GB"/>
        </w:rPr>
        <w:t xml:space="preserve"> – Is this the supplier of a critical TRE asset?</w:t>
      </w:r>
    </w:p>
    <w:p w:rsidR="00A37DE9" w:rsidRDefault="003A1867">
      <w:pPr>
        <w:pStyle w:val="ISMSNormal"/>
        <w:rPr>
          <w:lang w:val="en-GB"/>
        </w:rPr>
      </w:pPr>
      <w:r w:rsidRPr="009329C2">
        <w:rPr>
          <w:b/>
          <w:lang w:val="en-GB"/>
        </w:rPr>
        <w:lastRenderedPageBreak/>
        <w:t>Maintenance End Date</w:t>
      </w:r>
      <w:r>
        <w:rPr>
          <w:lang w:val="en-GB"/>
        </w:rPr>
        <w:t xml:space="preserve"> – Date of the end of the service contract</w:t>
      </w:r>
    </w:p>
    <w:p w:rsidR="009911D7" w:rsidRDefault="003A1867">
      <w:pPr>
        <w:pStyle w:val="ISMSNormal"/>
        <w:rPr>
          <w:lang w:val="en-GB"/>
        </w:rPr>
      </w:pPr>
      <w:r w:rsidRPr="009329C2">
        <w:rPr>
          <w:b/>
          <w:lang w:val="en-GB"/>
        </w:rPr>
        <w:t>Review Due Date</w:t>
      </w:r>
      <w:r>
        <w:rPr>
          <w:lang w:val="en-GB"/>
        </w:rPr>
        <w:t xml:space="preserve"> – When the next audit review is due for the supplier</w:t>
      </w:r>
    </w:p>
    <w:p w:rsidR="00E7442A" w:rsidRDefault="003A1867">
      <w:pPr>
        <w:pStyle w:val="ISMSNormal"/>
        <w:rPr>
          <w:lang w:val="en-GB"/>
        </w:rPr>
      </w:pPr>
      <w:r w:rsidRPr="009329C2">
        <w:rPr>
          <w:b/>
          <w:lang w:val="en-GB"/>
        </w:rPr>
        <w:t>eMail1</w:t>
      </w:r>
      <w:r>
        <w:rPr>
          <w:lang w:val="en-GB"/>
        </w:rPr>
        <w:t xml:space="preserve"> – General or account manager email for the supplier</w:t>
      </w:r>
    </w:p>
    <w:p w:rsidR="009911D7" w:rsidRPr="009329C2" w:rsidRDefault="00E062EA">
      <w:pPr>
        <w:pStyle w:val="ISMSNormal"/>
        <w:rPr>
          <w:lang w:val="en-GB"/>
        </w:rPr>
      </w:pPr>
    </w:p>
    <w:p w:rsidR="00D552A0" w:rsidRDefault="003A1867" w:rsidP="009329C2">
      <w:pPr>
        <w:pStyle w:val="ISMSHeading2"/>
      </w:pPr>
      <w:bookmarkStart w:id="105" w:name="_Toc256000056"/>
      <w:bookmarkStart w:id="106" w:name="_Toc18316256"/>
      <w:r>
        <w:t>Use of Q-Pulse to Manage Supplier Audits</w:t>
      </w:r>
      <w:bookmarkEnd w:id="105"/>
      <w:bookmarkEnd w:id="106"/>
    </w:p>
    <w:p w:rsidR="00D552A0" w:rsidRDefault="003A1867" w:rsidP="009329C2">
      <w:pPr>
        <w:pStyle w:val="ISMSHeading3"/>
      </w:pPr>
      <w:bookmarkStart w:id="107" w:name="_Toc256000057"/>
      <w:bookmarkStart w:id="108" w:name="_Toc18316257"/>
      <w:r>
        <w:t>Create a New Supplier Audit Record</w:t>
      </w:r>
      <w:bookmarkEnd w:id="107"/>
      <w:bookmarkEnd w:id="108"/>
    </w:p>
    <w:p w:rsidR="00D06C8A" w:rsidRDefault="003A1867">
      <w:pPr>
        <w:pStyle w:val="ISMSNormal"/>
        <w:rPr>
          <w:lang w:val="en-GB"/>
        </w:rPr>
      </w:pPr>
      <w:r>
        <w:rPr>
          <w:lang w:val="en-GB"/>
        </w:rPr>
        <w:t>Use the File  -&gt; New –&gt; Audit to create a new audit record.</w:t>
      </w:r>
    </w:p>
    <w:p w:rsidR="00D06C8A" w:rsidRDefault="00E062EA">
      <w:pPr>
        <w:pStyle w:val="ISMSNormal"/>
        <w:rPr>
          <w:lang w:val="en-GB"/>
        </w:rPr>
      </w:pPr>
    </w:p>
    <w:p w:rsidR="00D06C8A" w:rsidRDefault="003A1867" w:rsidP="009329C2">
      <w:pPr>
        <w:pStyle w:val="ISMSNormal"/>
        <w:jc w:val="center"/>
        <w:rPr>
          <w:lang w:val="en-GB"/>
        </w:rPr>
      </w:pPr>
      <w:r>
        <w:rPr>
          <w:noProof/>
          <w:lang w:val="en-GB" w:eastAsia="en-GB"/>
        </w:rPr>
        <w:drawing>
          <wp:inline distT="0" distB="0" distL="0" distR="0">
            <wp:extent cx="4695825" cy="10764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09991" cy="1079699"/>
                    </a:xfrm>
                    <a:prstGeom prst="rect">
                      <a:avLst/>
                    </a:prstGeom>
                    <a:noFill/>
                    <a:ln>
                      <a:noFill/>
                    </a:ln>
                  </pic:spPr>
                </pic:pic>
              </a:graphicData>
            </a:graphic>
          </wp:inline>
        </w:drawing>
      </w:r>
    </w:p>
    <w:p w:rsidR="00D06C8A" w:rsidRDefault="00E062EA">
      <w:pPr>
        <w:pStyle w:val="ISMSNormal"/>
        <w:rPr>
          <w:lang w:val="en-GB"/>
        </w:rPr>
      </w:pPr>
    </w:p>
    <w:p w:rsidR="00D06C8A" w:rsidRDefault="00E062EA">
      <w:pPr>
        <w:pStyle w:val="ISMSNormal"/>
        <w:rPr>
          <w:lang w:val="en-GB"/>
        </w:rPr>
      </w:pPr>
    </w:p>
    <w:p w:rsidR="00D06C8A" w:rsidRDefault="003A1867">
      <w:pPr>
        <w:pStyle w:val="ISMSNormal"/>
        <w:rPr>
          <w:lang w:val="en-GB"/>
        </w:rPr>
      </w:pPr>
      <w:r>
        <w:rPr>
          <w:lang w:val="en-GB"/>
        </w:rPr>
        <w:t>Complete the necessary audit details</w:t>
      </w:r>
    </w:p>
    <w:p w:rsidR="00D06C8A" w:rsidRDefault="00E062EA">
      <w:pPr>
        <w:pStyle w:val="ISMSNormal"/>
        <w:rPr>
          <w:lang w:val="en-GB"/>
        </w:rPr>
      </w:pPr>
    </w:p>
    <w:p w:rsidR="00D06C8A" w:rsidRDefault="003A1867" w:rsidP="009329C2">
      <w:pPr>
        <w:pStyle w:val="ISMSNormal"/>
        <w:jc w:val="center"/>
        <w:rPr>
          <w:lang w:val="en-GB"/>
        </w:rPr>
      </w:pPr>
      <w:r>
        <w:rPr>
          <w:noProof/>
          <w:lang w:val="en-GB" w:eastAsia="en-GB"/>
        </w:rPr>
        <w:drawing>
          <wp:inline distT="0" distB="0" distL="0" distR="0">
            <wp:extent cx="5400675" cy="192303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06700" cy="1925181"/>
                    </a:xfrm>
                    <a:prstGeom prst="rect">
                      <a:avLst/>
                    </a:prstGeom>
                    <a:noFill/>
                    <a:ln>
                      <a:noFill/>
                    </a:ln>
                  </pic:spPr>
                </pic:pic>
              </a:graphicData>
            </a:graphic>
          </wp:inline>
        </w:drawing>
      </w:r>
    </w:p>
    <w:p w:rsidR="00D06C8A" w:rsidRDefault="00E062EA">
      <w:pPr>
        <w:pStyle w:val="ISMSNormal"/>
        <w:rPr>
          <w:lang w:val="en-GB"/>
        </w:rPr>
      </w:pPr>
    </w:p>
    <w:p w:rsidR="007D1F44" w:rsidRDefault="003A1867">
      <w:pPr>
        <w:pStyle w:val="ISMSNormal"/>
        <w:rPr>
          <w:lang w:val="en-GB"/>
        </w:rPr>
      </w:pPr>
      <w:r w:rsidRPr="009329C2">
        <w:rPr>
          <w:b/>
          <w:lang w:val="en-GB"/>
        </w:rPr>
        <w:t xml:space="preserve">Title </w:t>
      </w:r>
      <w:r>
        <w:rPr>
          <w:lang w:val="en-GB"/>
        </w:rPr>
        <w:t xml:space="preserve">– Enter the title of the audit ‘Supplier </w:t>
      </w:r>
      <w:r w:rsidRPr="009329C2">
        <w:rPr>
          <w:i/>
          <w:lang w:val="en-GB"/>
        </w:rPr>
        <w:t>first/annual</w:t>
      </w:r>
      <w:r>
        <w:rPr>
          <w:lang w:val="en-GB"/>
        </w:rPr>
        <w:t xml:space="preserve"> audit – </w:t>
      </w:r>
      <w:r w:rsidRPr="009329C2">
        <w:rPr>
          <w:i/>
          <w:lang w:val="en-GB"/>
        </w:rPr>
        <w:t>Supplier name</w:t>
      </w:r>
      <w:r>
        <w:rPr>
          <w:i/>
          <w:lang w:val="en-GB"/>
        </w:rPr>
        <w:t>’</w:t>
      </w:r>
    </w:p>
    <w:p w:rsidR="007D1F44" w:rsidRDefault="003A1867">
      <w:pPr>
        <w:pStyle w:val="ISMSNormal"/>
        <w:rPr>
          <w:lang w:val="en-GB"/>
        </w:rPr>
      </w:pPr>
      <w:r w:rsidRPr="009329C2">
        <w:rPr>
          <w:b/>
          <w:lang w:val="en-GB"/>
        </w:rPr>
        <w:t>Calendar</w:t>
      </w:r>
      <w:r>
        <w:rPr>
          <w:lang w:val="en-GB"/>
        </w:rPr>
        <w:t xml:space="preserve"> – ‘Supplier audit’</w:t>
      </w:r>
    </w:p>
    <w:p w:rsidR="00655194" w:rsidRDefault="003A1867">
      <w:pPr>
        <w:pStyle w:val="ISMSNormal"/>
        <w:rPr>
          <w:lang w:val="en-GB"/>
        </w:rPr>
      </w:pPr>
      <w:r w:rsidRPr="009329C2">
        <w:rPr>
          <w:b/>
          <w:lang w:val="en-GB"/>
        </w:rPr>
        <w:t>Lead Auditor</w:t>
      </w:r>
      <w:r>
        <w:rPr>
          <w:lang w:val="en-GB"/>
        </w:rPr>
        <w:t xml:space="preserve"> – Name of the person completing the supplier audit.</w:t>
      </w:r>
    </w:p>
    <w:p w:rsidR="007D1F44" w:rsidRDefault="003A1867">
      <w:pPr>
        <w:pStyle w:val="ISMSNormal"/>
        <w:rPr>
          <w:lang w:val="en-GB"/>
        </w:rPr>
      </w:pPr>
      <w:r w:rsidRPr="009329C2">
        <w:rPr>
          <w:b/>
          <w:lang w:val="en-GB"/>
        </w:rPr>
        <w:t>Scheduled Start/End</w:t>
      </w:r>
      <w:r>
        <w:rPr>
          <w:lang w:val="en-GB"/>
        </w:rPr>
        <w:t xml:space="preserve"> - Enter the audit start and end dates as appropriate</w:t>
      </w:r>
    </w:p>
    <w:p w:rsidR="007D1F44" w:rsidRDefault="00E062EA">
      <w:pPr>
        <w:pStyle w:val="ISMSNormal"/>
        <w:rPr>
          <w:lang w:val="en-GB"/>
        </w:rPr>
      </w:pPr>
    </w:p>
    <w:p w:rsidR="007D1F44" w:rsidRDefault="003A1867">
      <w:pPr>
        <w:pStyle w:val="ISMSNormal"/>
        <w:rPr>
          <w:lang w:val="en-GB"/>
        </w:rPr>
      </w:pPr>
      <w:r>
        <w:rPr>
          <w:lang w:val="en-GB"/>
        </w:rPr>
        <w:t>The audit number (SUP-xxx) will be assigned when the record is saved.</w:t>
      </w:r>
    </w:p>
    <w:p w:rsidR="007D1F44" w:rsidRDefault="003A1867">
      <w:pPr>
        <w:pStyle w:val="ISMSNormal"/>
        <w:rPr>
          <w:lang w:val="en-GB"/>
        </w:rPr>
      </w:pPr>
      <w:r>
        <w:rPr>
          <w:lang w:val="en-GB"/>
        </w:rPr>
        <w:t xml:space="preserve"> </w:t>
      </w:r>
    </w:p>
    <w:p w:rsidR="00D06C8A" w:rsidRDefault="003A1867">
      <w:pPr>
        <w:pStyle w:val="ISMSNormal"/>
        <w:rPr>
          <w:lang w:val="en-GB"/>
        </w:rPr>
      </w:pPr>
      <w:r>
        <w:rPr>
          <w:lang w:val="en-GB"/>
        </w:rPr>
        <w:t>Expand the ‘Scope’ section and click on the ‘+’ symbol to add the supplier to the audit scope.</w:t>
      </w:r>
    </w:p>
    <w:p w:rsidR="00D06C8A" w:rsidRDefault="00E062EA">
      <w:pPr>
        <w:pStyle w:val="ISMSNormal"/>
        <w:rPr>
          <w:lang w:val="en-GB"/>
        </w:rPr>
      </w:pPr>
    </w:p>
    <w:p w:rsidR="00D06C8A" w:rsidRDefault="003A1867" w:rsidP="009329C2">
      <w:pPr>
        <w:pStyle w:val="ISMSNormal"/>
        <w:jc w:val="center"/>
        <w:rPr>
          <w:lang w:val="en-GB"/>
        </w:rPr>
      </w:pPr>
      <w:r>
        <w:rPr>
          <w:noProof/>
          <w:lang w:val="en-GB" w:eastAsia="en-GB"/>
        </w:rPr>
        <w:lastRenderedPageBreak/>
        <w:drawing>
          <wp:inline distT="0" distB="0" distL="0" distR="0">
            <wp:extent cx="5724525" cy="3848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4525" cy="3848100"/>
                    </a:xfrm>
                    <a:prstGeom prst="rect">
                      <a:avLst/>
                    </a:prstGeom>
                    <a:noFill/>
                    <a:ln>
                      <a:noFill/>
                    </a:ln>
                  </pic:spPr>
                </pic:pic>
              </a:graphicData>
            </a:graphic>
          </wp:inline>
        </w:drawing>
      </w:r>
    </w:p>
    <w:p w:rsidR="00655194" w:rsidRDefault="00E062EA">
      <w:pPr>
        <w:pStyle w:val="ISMSNormal"/>
        <w:rPr>
          <w:lang w:val="en-GB"/>
        </w:rPr>
      </w:pPr>
    </w:p>
    <w:p w:rsidR="00D06C8A" w:rsidRDefault="003A1867">
      <w:pPr>
        <w:pStyle w:val="ISMSNormal"/>
        <w:rPr>
          <w:lang w:val="en-GB"/>
        </w:rPr>
      </w:pPr>
      <w:r>
        <w:rPr>
          <w:lang w:val="en-GB"/>
        </w:rPr>
        <w:t>Select ‘Supplier’ from the ‘Search For:’ dropdown list.</w:t>
      </w:r>
    </w:p>
    <w:p w:rsidR="00D06C8A" w:rsidRDefault="00E062EA">
      <w:pPr>
        <w:pStyle w:val="ISMSNormal"/>
        <w:rPr>
          <w:lang w:val="en-GB"/>
        </w:rPr>
      </w:pPr>
    </w:p>
    <w:p w:rsidR="00D06C8A" w:rsidRDefault="003A1867" w:rsidP="009329C2">
      <w:pPr>
        <w:pStyle w:val="ISMSNormal"/>
        <w:jc w:val="center"/>
        <w:rPr>
          <w:lang w:val="en-GB"/>
        </w:rPr>
      </w:pPr>
      <w:r>
        <w:rPr>
          <w:noProof/>
          <w:lang w:val="en-GB" w:eastAsia="en-GB"/>
        </w:rPr>
        <w:drawing>
          <wp:inline distT="0" distB="0" distL="0" distR="0">
            <wp:extent cx="345757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457575" cy="3524250"/>
                    </a:xfrm>
                    <a:prstGeom prst="rect">
                      <a:avLst/>
                    </a:prstGeom>
                    <a:noFill/>
                    <a:ln>
                      <a:noFill/>
                    </a:ln>
                  </pic:spPr>
                </pic:pic>
              </a:graphicData>
            </a:graphic>
          </wp:inline>
        </w:drawing>
      </w:r>
    </w:p>
    <w:p w:rsidR="00D06C8A" w:rsidRDefault="00E062EA">
      <w:pPr>
        <w:pStyle w:val="ISMSNormal"/>
        <w:rPr>
          <w:lang w:val="en-GB"/>
        </w:rPr>
      </w:pPr>
    </w:p>
    <w:p w:rsidR="00D06C8A" w:rsidRDefault="00E062EA">
      <w:pPr>
        <w:pStyle w:val="ISMSNormal"/>
        <w:rPr>
          <w:lang w:val="en-GB"/>
        </w:rPr>
      </w:pPr>
    </w:p>
    <w:p w:rsidR="00D06C8A" w:rsidRDefault="003A1867">
      <w:pPr>
        <w:pStyle w:val="ISMSNormal"/>
        <w:rPr>
          <w:lang w:val="en-GB"/>
        </w:rPr>
      </w:pPr>
      <w:r>
        <w:rPr>
          <w:lang w:val="en-GB"/>
        </w:rPr>
        <w:t>Click on the ‘Search’ button</w:t>
      </w:r>
    </w:p>
    <w:p w:rsidR="00D06C8A" w:rsidRDefault="00E062EA">
      <w:pPr>
        <w:pStyle w:val="ISMSNormal"/>
        <w:rPr>
          <w:lang w:val="en-GB"/>
        </w:rPr>
      </w:pPr>
    </w:p>
    <w:p w:rsidR="00D06C8A" w:rsidRDefault="003A1867" w:rsidP="009329C2">
      <w:pPr>
        <w:pStyle w:val="ISMSNormal"/>
        <w:jc w:val="center"/>
        <w:rPr>
          <w:lang w:val="en-GB"/>
        </w:rPr>
      </w:pPr>
      <w:r>
        <w:rPr>
          <w:noProof/>
          <w:lang w:val="en-GB" w:eastAsia="en-GB"/>
        </w:rPr>
        <w:drawing>
          <wp:inline distT="0" distB="0" distL="0" distR="0">
            <wp:extent cx="34099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09950" cy="1762125"/>
                    </a:xfrm>
                    <a:prstGeom prst="rect">
                      <a:avLst/>
                    </a:prstGeom>
                    <a:noFill/>
                    <a:ln>
                      <a:noFill/>
                    </a:ln>
                  </pic:spPr>
                </pic:pic>
              </a:graphicData>
            </a:graphic>
          </wp:inline>
        </w:drawing>
      </w:r>
    </w:p>
    <w:p w:rsidR="00D06C8A" w:rsidRDefault="00E062EA">
      <w:pPr>
        <w:pStyle w:val="ISMSNormal"/>
        <w:rPr>
          <w:lang w:val="en-GB"/>
        </w:rPr>
      </w:pPr>
    </w:p>
    <w:p w:rsidR="00D06C8A" w:rsidRDefault="00E062EA">
      <w:pPr>
        <w:pStyle w:val="ISMSNormal"/>
        <w:rPr>
          <w:lang w:val="en-GB"/>
        </w:rPr>
      </w:pPr>
    </w:p>
    <w:p w:rsidR="00D06C8A" w:rsidRDefault="003A1867">
      <w:pPr>
        <w:pStyle w:val="ISMSNormal"/>
        <w:rPr>
          <w:lang w:val="en-GB"/>
        </w:rPr>
      </w:pPr>
      <w:r>
        <w:rPr>
          <w:lang w:val="en-GB"/>
        </w:rPr>
        <w:t>This will return a list of the suppliers stored in the Supplier module. Select the appropriate supplier name and click ‘OK’ to add the supplier to the audit scope.</w:t>
      </w:r>
    </w:p>
    <w:p w:rsidR="00D06C8A" w:rsidRDefault="00E062EA">
      <w:pPr>
        <w:pStyle w:val="ISMSNormal"/>
        <w:rPr>
          <w:lang w:val="en-GB"/>
        </w:rPr>
      </w:pPr>
    </w:p>
    <w:p w:rsidR="00D06C8A" w:rsidRPr="00EA69DC" w:rsidRDefault="003A1867" w:rsidP="009329C2">
      <w:pPr>
        <w:pStyle w:val="ISMSHeading4"/>
      </w:pPr>
      <w:bookmarkStart w:id="109" w:name="_Toc256000058"/>
      <w:bookmarkStart w:id="110" w:name="_Toc18316258"/>
      <w:r>
        <w:t>Adding the Checklist</w:t>
      </w:r>
      <w:bookmarkEnd w:id="109"/>
      <w:bookmarkEnd w:id="110"/>
    </w:p>
    <w:p w:rsidR="007D1F44" w:rsidRDefault="003A1867">
      <w:pPr>
        <w:pStyle w:val="ISMSNormal"/>
        <w:rPr>
          <w:lang w:val="en-GB"/>
        </w:rPr>
      </w:pPr>
      <w:r>
        <w:rPr>
          <w:lang w:val="en-GB"/>
        </w:rPr>
        <w:t>To add the audit checklist expand the checklist section and click on ‘Add Checklist from Template’.</w:t>
      </w:r>
    </w:p>
    <w:p w:rsidR="00655194" w:rsidRDefault="00E062EA">
      <w:pPr>
        <w:pStyle w:val="ISMSNormal"/>
        <w:rPr>
          <w:lang w:val="en-GB"/>
        </w:rPr>
      </w:pPr>
    </w:p>
    <w:p w:rsidR="00655194" w:rsidRDefault="003A1867" w:rsidP="009329C2">
      <w:pPr>
        <w:pStyle w:val="ISMSNormal"/>
        <w:jc w:val="center"/>
        <w:rPr>
          <w:lang w:val="en-GB"/>
        </w:rPr>
      </w:pPr>
      <w:r>
        <w:rPr>
          <w:noProof/>
          <w:lang w:val="en-GB" w:eastAsia="en-GB"/>
        </w:rPr>
        <w:drawing>
          <wp:inline distT="0" distB="0" distL="0" distR="0">
            <wp:extent cx="5383779" cy="376237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84920" cy="3763172"/>
                    </a:xfrm>
                    <a:prstGeom prst="rect">
                      <a:avLst/>
                    </a:prstGeom>
                    <a:noFill/>
                    <a:ln>
                      <a:noFill/>
                    </a:ln>
                  </pic:spPr>
                </pic:pic>
              </a:graphicData>
            </a:graphic>
          </wp:inline>
        </w:drawing>
      </w:r>
    </w:p>
    <w:p w:rsidR="00655194" w:rsidRDefault="00E062EA">
      <w:pPr>
        <w:pStyle w:val="ISMSNormal"/>
        <w:rPr>
          <w:lang w:val="en-GB"/>
        </w:rPr>
      </w:pPr>
    </w:p>
    <w:p w:rsidR="00655194" w:rsidRDefault="003A1867">
      <w:pPr>
        <w:pStyle w:val="ISMSNormal"/>
        <w:rPr>
          <w:lang w:val="en-GB"/>
        </w:rPr>
      </w:pPr>
      <w:r>
        <w:rPr>
          <w:lang w:val="en-GB"/>
        </w:rPr>
        <w:t>Select the Supplier Checks template and click on ‘OK’</w:t>
      </w:r>
    </w:p>
    <w:p w:rsidR="00C13DFF" w:rsidRDefault="00E062EA">
      <w:pPr>
        <w:pStyle w:val="ISMSNormal"/>
        <w:rPr>
          <w:lang w:val="en-GB"/>
        </w:rPr>
      </w:pPr>
    </w:p>
    <w:p w:rsidR="00C13DFF" w:rsidRDefault="003A1867">
      <w:pPr>
        <w:pStyle w:val="ISMSNormal"/>
        <w:rPr>
          <w:lang w:val="en-GB"/>
        </w:rPr>
      </w:pPr>
      <w:r>
        <w:rPr>
          <w:noProof/>
          <w:lang w:val="en-GB" w:eastAsia="en-GB"/>
        </w:rPr>
        <w:drawing>
          <wp:inline distT="0" distB="0" distL="0" distR="0">
            <wp:extent cx="5572527" cy="657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74575" cy="657467"/>
                    </a:xfrm>
                    <a:prstGeom prst="rect">
                      <a:avLst/>
                    </a:prstGeom>
                    <a:noFill/>
                    <a:ln>
                      <a:noFill/>
                    </a:ln>
                  </pic:spPr>
                </pic:pic>
              </a:graphicData>
            </a:graphic>
          </wp:inline>
        </w:drawing>
      </w:r>
    </w:p>
    <w:p w:rsidR="00C13DFF" w:rsidRDefault="003A1867" w:rsidP="009329C2">
      <w:pPr>
        <w:pStyle w:val="ISMSNormal"/>
        <w:jc w:val="left"/>
        <w:rPr>
          <w:lang w:val="en-GB"/>
        </w:rPr>
      </w:pPr>
      <w:r>
        <w:rPr>
          <w:lang w:val="en-GB"/>
        </w:rPr>
        <w:lastRenderedPageBreak/>
        <w:t>This will display the checklist. Click on ‘OK’ and save the audit record.</w:t>
      </w:r>
    </w:p>
    <w:p w:rsidR="00C13DFF" w:rsidRDefault="00E062EA" w:rsidP="009329C2">
      <w:pPr>
        <w:pStyle w:val="ISMSNormal"/>
        <w:jc w:val="center"/>
        <w:rPr>
          <w:lang w:val="en-GB"/>
        </w:rPr>
      </w:pPr>
    </w:p>
    <w:p w:rsidR="00655194" w:rsidRDefault="003A1867" w:rsidP="009329C2">
      <w:pPr>
        <w:pStyle w:val="ISMSNormal"/>
        <w:jc w:val="center"/>
        <w:rPr>
          <w:lang w:val="en-GB"/>
        </w:rPr>
      </w:pPr>
      <w:r>
        <w:rPr>
          <w:noProof/>
          <w:lang w:val="en-GB" w:eastAsia="en-GB"/>
        </w:rPr>
        <w:drawing>
          <wp:inline distT="0" distB="0" distL="0" distR="0">
            <wp:extent cx="4972050" cy="380556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78617" cy="3810588"/>
                    </a:xfrm>
                    <a:prstGeom prst="rect">
                      <a:avLst/>
                    </a:prstGeom>
                    <a:noFill/>
                    <a:ln>
                      <a:noFill/>
                    </a:ln>
                  </pic:spPr>
                </pic:pic>
              </a:graphicData>
            </a:graphic>
          </wp:inline>
        </w:drawing>
      </w:r>
    </w:p>
    <w:p w:rsidR="00C13DFF" w:rsidRDefault="00E062EA">
      <w:pPr>
        <w:pStyle w:val="ISMSNormal"/>
        <w:rPr>
          <w:lang w:val="en-GB"/>
        </w:rPr>
      </w:pPr>
    </w:p>
    <w:p w:rsidR="00C13DFF" w:rsidRDefault="003A1867" w:rsidP="00C13DFF">
      <w:pPr>
        <w:pStyle w:val="ISMSNormal"/>
      </w:pPr>
      <w:r>
        <w:t>The supplier review checklist contains the following items:</w:t>
      </w:r>
    </w:p>
    <w:p w:rsidR="00C13DFF" w:rsidRDefault="00E062EA" w:rsidP="00C13DFF">
      <w:pPr>
        <w:pStyle w:val="ListParagraph"/>
        <w:numPr>
          <w:ilvl w:val="0"/>
          <w:numId w:val="0"/>
        </w:numPr>
        <w:ind w:left="720"/>
      </w:pPr>
    </w:p>
    <w:p w:rsidR="00C13DFF" w:rsidRDefault="003A1867" w:rsidP="00C13DFF">
      <w:pPr>
        <w:pStyle w:val="ListParagraph"/>
      </w:pPr>
      <w:r>
        <w:t>QMS certified to a recognised standard</w:t>
      </w:r>
    </w:p>
    <w:p w:rsidR="00C13DFF" w:rsidRDefault="003A1867" w:rsidP="00C13DFF">
      <w:pPr>
        <w:pStyle w:val="ListParagraph"/>
      </w:pPr>
      <w:r>
        <w:t>ISMS certified to a recognised standard</w:t>
      </w:r>
    </w:p>
    <w:p w:rsidR="00C13DFF" w:rsidRDefault="003A1867" w:rsidP="00C13DFF">
      <w:pPr>
        <w:pStyle w:val="ListParagraph"/>
      </w:pPr>
      <w:r>
        <w:t>Staff vetting and training</w:t>
      </w:r>
    </w:p>
    <w:p w:rsidR="00C13DFF" w:rsidRDefault="003A1867" w:rsidP="00C13DFF">
      <w:pPr>
        <w:pStyle w:val="ListParagraph"/>
      </w:pPr>
      <w:r>
        <w:t>Product road map</w:t>
      </w:r>
    </w:p>
    <w:p w:rsidR="00C13DFF" w:rsidRDefault="003A1867" w:rsidP="00C13DFF">
      <w:pPr>
        <w:pStyle w:val="ListParagraph"/>
      </w:pPr>
      <w:r>
        <w:t>Commitment to continuous improvement</w:t>
      </w:r>
    </w:p>
    <w:p w:rsidR="00C13DFF" w:rsidRDefault="003A1867" w:rsidP="00C13DFF">
      <w:pPr>
        <w:pStyle w:val="ListParagraph"/>
      </w:pPr>
      <w:r>
        <w:t>Quality and project planning</w:t>
      </w:r>
    </w:p>
    <w:p w:rsidR="00C13DFF" w:rsidRDefault="003A1867" w:rsidP="00C13DFF">
      <w:pPr>
        <w:pStyle w:val="ListParagraph"/>
      </w:pPr>
      <w:r>
        <w:t>Documentation of user/supplier responsibilities</w:t>
      </w:r>
    </w:p>
    <w:p w:rsidR="00C13DFF" w:rsidRDefault="003A1867" w:rsidP="00C13DFF">
      <w:pPr>
        <w:pStyle w:val="ListParagraph"/>
      </w:pPr>
      <w:r>
        <w:t>Document revision notification</w:t>
      </w:r>
    </w:p>
    <w:p w:rsidR="00C13DFF" w:rsidRDefault="003A1867" w:rsidP="00C13DFF">
      <w:pPr>
        <w:pStyle w:val="ListParagraph"/>
      </w:pPr>
      <w:r>
        <w:t>Business Continuity plan</w:t>
      </w:r>
    </w:p>
    <w:p w:rsidR="00C13DFF" w:rsidRDefault="003A1867" w:rsidP="009329C2">
      <w:pPr>
        <w:pStyle w:val="ListParagraph"/>
      </w:pPr>
      <w:r>
        <w:t>Information Security Continuity plan</w:t>
      </w:r>
    </w:p>
    <w:p w:rsidR="00C13DFF" w:rsidRDefault="003A1867" w:rsidP="009329C2">
      <w:pPr>
        <w:pStyle w:val="ListParagraph"/>
      </w:pPr>
      <w:r>
        <w:t>Disaster Recovery plan</w:t>
      </w:r>
    </w:p>
    <w:p w:rsidR="00C13DFF" w:rsidRPr="00EA69DC" w:rsidRDefault="00E062EA" w:rsidP="009329C2">
      <w:pPr>
        <w:pStyle w:val="ListParagraph"/>
        <w:numPr>
          <w:ilvl w:val="0"/>
          <w:numId w:val="0"/>
        </w:numPr>
        <w:ind w:left="720"/>
      </w:pPr>
    </w:p>
    <w:p w:rsidR="00D552A0" w:rsidRDefault="003A1867" w:rsidP="009329C2">
      <w:pPr>
        <w:pStyle w:val="ISMSHeading3"/>
      </w:pPr>
      <w:bookmarkStart w:id="111" w:name="_Toc256000059"/>
      <w:bookmarkStart w:id="112" w:name="_Toc18316259"/>
      <w:r>
        <w:t>Starting the Audit</w:t>
      </w:r>
      <w:bookmarkEnd w:id="111"/>
      <w:bookmarkEnd w:id="112"/>
    </w:p>
    <w:p w:rsidR="00655194" w:rsidRDefault="003A1867" w:rsidP="009329C2">
      <w:pPr>
        <w:pStyle w:val="ISMSNormal"/>
      </w:pPr>
      <w:r>
        <w:t xml:space="preserve">To </w:t>
      </w:r>
      <w:r w:rsidRPr="00FB7F21">
        <w:t xml:space="preserve">start the audit, enter a date into the Actual Start field and save the record. The </w:t>
      </w:r>
      <w:r>
        <w:t>aud</w:t>
      </w:r>
      <w:r w:rsidRPr="00FB7F21">
        <w:t>it status will change to</w:t>
      </w:r>
      <w:r>
        <w:t xml:space="preserve"> ‘Performed’</w:t>
      </w:r>
      <w:r w:rsidRPr="00FB7F21">
        <w:t xml:space="preserve"> and </w:t>
      </w:r>
      <w:r>
        <w:t>the audit can be performed</w:t>
      </w:r>
      <w:r w:rsidRPr="00FB7F21">
        <w:t>.</w:t>
      </w:r>
    </w:p>
    <w:p w:rsidR="00C13DFF" w:rsidRDefault="00E062EA" w:rsidP="009329C2">
      <w:pPr>
        <w:pStyle w:val="ISMSNormal"/>
      </w:pPr>
    </w:p>
    <w:p w:rsidR="00C13DFF" w:rsidRDefault="003A1867" w:rsidP="009329C2">
      <w:pPr>
        <w:pStyle w:val="ISMSNormal"/>
      </w:pPr>
      <w:r>
        <w:t>Attach the copy of FORM-010 to the audit record using Actions-&gt; Add Attachment.</w:t>
      </w:r>
    </w:p>
    <w:p w:rsidR="00C13DFF" w:rsidRDefault="00E062EA" w:rsidP="009329C2">
      <w:pPr>
        <w:pStyle w:val="ISMSNormal"/>
      </w:pPr>
    </w:p>
    <w:p w:rsidR="00C13DFF" w:rsidRDefault="003A1867" w:rsidP="009329C2">
      <w:pPr>
        <w:pStyle w:val="ISMSNormal"/>
        <w:jc w:val="center"/>
      </w:pPr>
      <w:r>
        <w:rPr>
          <w:noProof/>
          <w:lang w:val="en-GB" w:eastAsia="en-GB"/>
        </w:rPr>
        <w:lastRenderedPageBreak/>
        <w:drawing>
          <wp:inline distT="0" distB="0" distL="0" distR="0">
            <wp:extent cx="3171825" cy="25796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175562" cy="2582682"/>
                    </a:xfrm>
                    <a:prstGeom prst="rect">
                      <a:avLst/>
                    </a:prstGeom>
                    <a:noFill/>
                    <a:ln>
                      <a:noFill/>
                    </a:ln>
                  </pic:spPr>
                </pic:pic>
              </a:graphicData>
            </a:graphic>
          </wp:inline>
        </w:drawing>
      </w:r>
    </w:p>
    <w:p w:rsidR="00655194" w:rsidRPr="00FB7F21" w:rsidRDefault="00E062EA" w:rsidP="009329C2">
      <w:pPr>
        <w:pStyle w:val="ISMSNormal"/>
      </w:pPr>
    </w:p>
    <w:p w:rsidR="00C13DFF" w:rsidRDefault="00E062EA" w:rsidP="00C13DFF">
      <w:pPr>
        <w:pStyle w:val="ISMSNormal"/>
      </w:pPr>
    </w:p>
    <w:p w:rsidR="00C13DFF" w:rsidRDefault="003A1867" w:rsidP="009329C2">
      <w:r>
        <w:t xml:space="preserve">This displays the ‘Edit Attachment’ dialog. </w:t>
      </w:r>
    </w:p>
    <w:p w:rsidR="00C13DFF" w:rsidRDefault="003A1867" w:rsidP="00C13DFF">
      <w:pPr>
        <w:pStyle w:val="ListParagraph"/>
        <w:numPr>
          <w:ilvl w:val="0"/>
          <w:numId w:val="0"/>
        </w:numPr>
        <w:ind w:left="720"/>
      </w:pPr>
      <w:r>
        <w:rPr>
          <w:noProof/>
          <w:lang w:eastAsia="en-GB"/>
        </w:rPr>
        <w:drawing>
          <wp:inline distT="0" distB="0" distL="0" distR="0">
            <wp:extent cx="4210050" cy="3260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225713" cy="3272651"/>
                    </a:xfrm>
                    <a:prstGeom prst="rect">
                      <a:avLst/>
                    </a:prstGeom>
                    <a:noFill/>
                    <a:ln>
                      <a:noFill/>
                    </a:ln>
                  </pic:spPr>
                </pic:pic>
              </a:graphicData>
            </a:graphic>
          </wp:inline>
        </w:drawing>
      </w:r>
    </w:p>
    <w:p w:rsidR="00C13DFF" w:rsidRDefault="00E062EA" w:rsidP="009329C2">
      <w:pPr>
        <w:pStyle w:val="ISMSNormal"/>
        <w:jc w:val="center"/>
      </w:pPr>
    </w:p>
    <w:p w:rsidR="00C13DFF" w:rsidRDefault="003A1867" w:rsidP="009329C2">
      <w:r>
        <w:t xml:space="preserve">Click on the </w:t>
      </w:r>
      <w:r>
        <w:rPr>
          <w:noProof/>
          <w:lang w:eastAsia="en-GB"/>
        </w:rPr>
        <w:t xml:space="preserve">‘Add Files’ </w:t>
      </w:r>
      <w:r>
        <w:t>button to display windows explorer where the file to be attached can be located and selected.</w:t>
      </w:r>
    </w:p>
    <w:p w:rsidR="00C13DFF" w:rsidRDefault="00E062EA" w:rsidP="009329C2"/>
    <w:p w:rsidR="00C13DFF" w:rsidRDefault="003A1867" w:rsidP="009329C2">
      <w:r>
        <w:t xml:space="preserve">Note: any format of file type can be attached e.g. a Word document (.docx) or a scanned image (.pdf).  The file must be closed before it can be attached to Q-Pulse. </w:t>
      </w:r>
    </w:p>
    <w:p w:rsidR="00C13DFF" w:rsidRDefault="00E062EA" w:rsidP="009329C2"/>
    <w:p w:rsidR="00C13DFF" w:rsidRDefault="003A1867" w:rsidP="009329C2">
      <w:r>
        <w:t>After the file has been selected click on ‘OK’ and save the audit record.</w:t>
      </w:r>
    </w:p>
    <w:p w:rsidR="00C13DFF" w:rsidRDefault="00E062EA" w:rsidP="00C13DFF">
      <w:pPr>
        <w:pStyle w:val="ISMSNormal"/>
        <w:spacing w:after="200" w:line="276" w:lineRule="auto"/>
        <w:jc w:val="left"/>
      </w:pPr>
    </w:p>
    <w:p w:rsidR="00CA0318" w:rsidRDefault="003A1867" w:rsidP="009329C2">
      <w:pPr>
        <w:pStyle w:val="ISMSHeading4"/>
      </w:pPr>
      <w:bookmarkStart w:id="113" w:name="_Toc256000060"/>
      <w:bookmarkStart w:id="114" w:name="_Toc18316260"/>
      <w:r>
        <w:lastRenderedPageBreak/>
        <w:t>Completing the Audit Checklist</w:t>
      </w:r>
      <w:bookmarkEnd w:id="113"/>
      <w:bookmarkEnd w:id="114"/>
    </w:p>
    <w:p w:rsidR="00CA0318" w:rsidRDefault="003A1867" w:rsidP="00C13DFF">
      <w:pPr>
        <w:pStyle w:val="ISMSNormal"/>
        <w:spacing w:after="200" w:line="276" w:lineRule="auto"/>
        <w:jc w:val="left"/>
      </w:pPr>
      <w:r>
        <w:t>Expand the Checklist section and double click on the checklist. This will present the dialog providing an option to ‘Complete Checklist’. Select this option and click on ‘OK’</w:t>
      </w:r>
    </w:p>
    <w:p w:rsidR="00CA0318" w:rsidRDefault="003A1867" w:rsidP="009329C2">
      <w:pPr>
        <w:pStyle w:val="ISMSNormal"/>
        <w:spacing w:after="200" w:line="276" w:lineRule="auto"/>
        <w:jc w:val="center"/>
      </w:pPr>
      <w:r>
        <w:rPr>
          <w:noProof/>
          <w:lang w:val="en-GB" w:eastAsia="en-GB"/>
        </w:rPr>
        <w:drawing>
          <wp:inline distT="0" distB="0" distL="0" distR="0">
            <wp:extent cx="3209925" cy="1989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215780" cy="1993610"/>
                    </a:xfrm>
                    <a:prstGeom prst="rect">
                      <a:avLst/>
                    </a:prstGeom>
                    <a:noFill/>
                    <a:ln>
                      <a:noFill/>
                    </a:ln>
                  </pic:spPr>
                </pic:pic>
              </a:graphicData>
            </a:graphic>
          </wp:inline>
        </w:drawing>
      </w:r>
    </w:p>
    <w:p w:rsidR="00CA0318" w:rsidRDefault="003A1867" w:rsidP="00C13DFF">
      <w:pPr>
        <w:pStyle w:val="ISMSNormal"/>
        <w:spacing w:after="200" w:line="276" w:lineRule="auto"/>
        <w:jc w:val="left"/>
      </w:pPr>
      <w:r>
        <w:t xml:space="preserve">The checklist will be presented. Click on the </w:t>
      </w:r>
      <w:r>
        <w:rPr>
          <w:noProof/>
          <w:lang w:val="en-GB" w:eastAsia="en-GB"/>
        </w:rPr>
        <w:drawing>
          <wp:inline distT="0" distB="0" distL="0" distR="0">
            <wp:extent cx="894868" cy="23808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934575" cy="248648"/>
                    </a:xfrm>
                    <a:prstGeom prst="rect">
                      <a:avLst/>
                    </a:prstGeom>
                    <a:noFill/>
                    <a:ln>
                      <a:noFill/>
                    </a:ln>
                  </pic:spPr>
                </pic:pic>
              </a:graphicData>
            </a:graphic>
          </wp:inline>
        </w:drawing>
      </w:r>
      <w:r>
        <w:t xml:space="preserve"> button to be presented with each checklist question. </w:t>
      </w:r>
    </w:p>
    <w:p w:rsidR="00CA0318" w:rsidRDefault="003A1867" w:rsidP="00C13DFF">
      <w:pPr>
        <w:pStyle w:val="ISMSNormal"/>
        <w:spacing w:after="200" w:line="276" w:lineRule="auto"/>
        <w:jc w:val="left"/>
      </w:pPr>
      <w:r>
        <w:t xml:space="preserve">Complete the response for each question and use the </w:t>
      </w:r>
      <w:r>
        <w:rPr>
          <w:noProof/>
          <w:lang w:val="en-GB" w:eastAsia="en-GB"/>
        </w:rPr>
        <w:drawing>
          <wp:inline distT="0" distB="0" distL="0" distR="0">
            <wp:extent cx="819150" cy="18961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829318" cy="191972"/>
                    </a:xfrm>
                    <a:prstGeom prst="rect">
                      <a:avLst/>
                    </a:prstGeom>
                    <a:noFill/>
                    <a:ln>
                      <a:noFill/>
                    </a:ln>
                  </pic:spPr>
                </pic:pic>
              </a:graphicData>
            </a:graphic>
          </wp:inline>
        </w:drawing>
      </w:r>
      <w:r>
        <w:t xml:space="preserve"> button the progress through the questions until the checklist is complete.</w:t>
      </w:r>
    </w:p>
    <w:p w:rsidR="00DB327F" w:rsidRDefault="003A1867" w:rsidP="00C13DFF">
      <w:pPr>
        <w:pStyle w:val="ISMSNormal"/>
        <w:spacing w:after="200" w:line="276" w:lineRule="auto"/>
        <w:jc w:val="left"/>
      </w:pPr>
      <w:r>
        <w:t>If any question is not applicable for the particular audit, tick the ‘Question not applicable’ box to continue.</w:t>
      </w:r>
    </w:p>
    <w:p w:rsidR="00DB327F" w:rsidRDefault="003A1867" w:rsidP="009329C2">
      <w:pPr>
        <w:pStyle w:val="ISMSNormal"/>
        <w:spacing w:after="200" w:line="276" w:lineRule="auto"/>
        <w:jc w:val="center"/>
      </w:pPr>
      <w:r>
        <w:rPr>
          <w:noProof/>
          <w:lang w:val="en-GB" w:eastAsia="en-GB"/>
        </w:rPr>
        <w:drawing>
          <wp:inline distT="0" distB="0" distL="0" distR="0">
            <wp:extent cx="4200525" cy="1857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200525" cy="1857375"/>
                    </a:xfrm>
                    <a:prstGeom prst="rect">
                      <a:avLst/>
                    </a:prstGeom>
                    <a:noFill/>
                    <a:ln>
                      <a:noFill/>
                    </a:ln>
                  </pic:spPr>
                </pic:pic>
              </a:graphicData>
            </a:graphic>
          </wp:inline>
        </w:drawing>
      </w:r>
    </w:p>
    <w:p w:rsidR="00DB327F" w:rsidRDefault="003A1867" w:rsidP="009329C2">
      <w:r>
        <w:t>Save the audit record when the checklist is complete.</w:t>
      </w:r>
    </w:p>
    <w:p w:rsidR="00DB327F" w:rsidRDefault="00E062EA" w:rsidP="009329C2"/>
    <w:p w:rsidR="00DB327F" w:rsidRDefault="003A1867" w:rsidP="009329C2">
      <w:pPr>
        <w:pStyle w:val="ISMSHeading4"/>
      </w:pPr>
      <w:bookmarkStart w:id="115" w:name="_Toc256000061"/>
      <w:bookmarkStart w:id="116" w:name="_Toc18316261"/>
      <w:r>
        <w:t>Audit Findings</w:t>
      </w:r>
      <w:bookmarkEnd w:id="115"/>
      <w:bookmarkEnd w:id="116"/>
    </w:p>
    <w:p w:rsidR="00DB327F" w:rsidRDefault="003A1867">
      <w:pPr>
        <w:pStyle w:val="ISMSNormal"/>
      </w:pPr>
      <w:r>
        <w:t>The overall outcome of the audit can be recorded in the ‘Findings’ section of the audit record. This should summarise the outcome of the audit.</w:t>
      </w:r>
    </w:p>
    <w:p w:rsidR="00DB327F" w:rsidRDefault="00E062EA">
      <w:pPr>
        <w:pStyle w:val="ISMSNormal"/>
      </w:pPr>
    </w:p>
    <w:p w:rsidR="00DB327F" w:rsidRDefault="003A1867">
      <w:pPr>
        <w:pStyle w:val="ISMSNormal"/>
      </w:pPr>
      <w:r>
        <w:rPr>
          <w:noProof/>
          <w:lang w:val="en-GB" w:eastAsia="en-GB"/>
        </w:rPr>
        <w:lastRenderedPageBreak/>
        <w:drawing>
          <wp:inline distT="0" distB="0" distL="0" distR="0">
            <wp:extent cx="5724525" cy="2114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24525" cy="2114550"/>
                    </a:xfrm>
                    <a:prstGeom prst="rect">
                      <a:avLst/>
                    </a:prstGeom>
                    <a:noFill/>
                    <a:ln>
                      <a:noFill/>
                    </a:ln>
                  </pic:spPr>
                </pic:pic>
              </a:graphicData>
            </a:graphic>
          </wp:inline>
        </w:drawing>
      </w:r>
    </w:p>
    <w:p w:rsidR="00DB327F" w:rsidRDefault="00E062EA">
      <w:pPr>
        <w:pStyle w:val="ISMSNormal"/>
      </w:pPr>
    </w:p>
    <w:p w:rsidR="00DB327F" w:rsidRDefault="003A1867" w:rsidP="009329C2">
      <w:pPr>
        <w:pStyle w:val="ISMSHeading3"/>
      </w:pPr>
      <w:bookmarkStart w:id="117" w:name="_Toc256000062"/>
      <w:bookmarkStart w:id="118" w:name="_Toc18316262"/>
      <w:r>
        <w:t>Updating the Supplier Record</w:t>
      </w:r>
      <w:bookmarkEnd w:id="117"/>
      <w:bookmarkEnd w:id="118"/>
    </w:p>
    <w:p w:rsidR="00E00B05" w:rsidRDefault="003A1867">
      <w:pPr>
        <w:pStyle w:val="ISMSNormal"/>
        <w:rPr>
          <w:lang w:val="en-GB"/>
        </w:rPr>
      </w:pPr>
      <w:r>
        <w:rPr>
          <w:lang w:val="en-GB"/>
        </w:rPr>
        <w:t>When the audit is complete the supplier record should be updated to show the new approval status of the supplier and when the next review of the supplier is due.</w:t>
      </w:r>
    </w:p>
    <w:p w:rsidR="00E00B05" w:rsidRDefault="00E062EA">
      <w:pPr>
        <w:pStyle w:val="ISMSNormal"/>
        <w:rPr>
          <w:lang w:val="en-GB"/>
        </w:rPr>
      </w:pPr>
    </w:p>
    <w:p w:rsidR="00E00B05" w:rsidRDefault="003A1867" w:rsidP="009329C2">
      <w:pPr>
        <w:pStyle w:val="ISMSNormal"/>
        <w:jc w:val="center"/>
        <w:rPr>
          <w:lang w:val="en-GB"/>
        </w:rPr>
      </w:pPr>
      <w:r>
        <w:rPr>
          <w:noProof/>
          <w:lang w:val="en-GB" w:eastAsia="en-GB"/>
        </w:rPr>
        <w:drawing>
          <wp:inline distT="0" distB="0" distL="0" distR="0">
            <wp:extent cx="2943225" cy="1504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943225" cy="1504950"/>
                    </a:xfrm>
                    <a:prstGeom prst="rect">
                      <a:avLst/>
                    </a:prstGeom>
                    <a:noFill/>
                    <a:ln>
                      <a:noFill/>
                    </a:ln>
                  </pic:spPr>
                </pic:pic>
              </a:graphicData>
            </a:graphic>
          </wp:inline>
        </w:drawing>
      </w:r>
    </w:p>
    <w:p w:rsidR="00E00B05" w:rsidRDefault="00E062EA" w:rsidP="009329C2">
      <w:pPr>
        <w:pStyle w:val="ISMSNormal"/>
        <w:jc w:val="center"/>
        <w:rPr>
          <w:lang w:val="en-GB"/>
        </w:rPr>
      </w:pPr>
    </w:p>
    <w:p w:rsidR="00DB327F" w:rsidRDefault="00E062EA">
      <w:pPr>
        <w:pStyle w:val="ISMSNormal"/>
        <w:rPr>
          <w:lang w:val="en-GB"/>
        </w:rPr>
      </w:pPr>
    </w:p>
    <w:p w:rsidR="00DB327F" w:rsidRPr="009329C2" w:rsidRDefault="003A1867" w:rsidP="009329C2">
      <w:pPr>
        <w:pStyle w:val="ISMSNormal"/>
        <w:jc w:val="center"/>
        <w:rPr>
          <w:lang w:val="en-GB"/>
        </w:rPr>
      </w:pPr>
      <w:r>
        <w:rPr>
          <w:noProof/>
          <w:lang w:val="en-GB" w:eastAsia="en-GB"/>
        </w:rPr>
        <w:drawing>
          <wp:inline distT="0" distB="0" distL="0" distR="0">
            <wp:extent cx="3143250" cy="561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143250" cy="561975"/>
                    </a:xfrm>
                    <a:prstGeom prst="rect">
                      <a:avLst/>
                    </a:prstGeom>
                    <a:noFill/>
                    <a:ln>
                      <a:noFill/>
                    </a:ln>
                  </pic:spPr>
                </pic:pic>
              </a:graphicData>
            </a:graphic>
          </wp:inline>
        </w:drawing>
      </w:r>
    </w:p>
    <w:sectPr w:rsidR="00DB327F" w:rsidRPr="009329C2" w:rsidSect="00DB327F">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62EA" w:rsidRDefault="00E062EA">
      <w:r>
        <w:separator/>
      </w:r>
    </w:p>
  </w:endnote>
  <w:endnote w:type="continuationSeparator" w:id="0">
    <w:p w:rsidR="00E062EA" w:rsidRDefault="00E06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29C2" w:rsidRDefault="00E06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29C2" w:rsidRDefault="00E062EA" w:rsidP="00DB327F">
    <w:pPr>
      <w:pBdr>
        <w:bottom w:val="single" w:sz="6" w:space="1" w:color="auto"/>
      </w:pBdr>
      <w:spacing w:before="60"/>
      <w:rPr>
        <w:rFonts w:asciiTheme="minorHAnsi" w:hAnsiTheme="minorHAnsi" w:cstheme="minorHAnsi"/>
      </w:rPr>
    </w:pPr>
  </w:p>
  <w:p w:rsidR="009329C2" w:rsidRPr="002E4D92" w:rsidRDefault="003A1867" w:rsidP="00DB327F">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Pr>
        <w:rFonts w:cstheme="minorHAnsi"/>
      </w:rPr>
      <w:t>ISMS-03-06</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Pr>
        <w:rFonts w:cstheme="minorHAnsi"/>
      </w:rPr>
      <w:t>TRE Supplier Management</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Pr>
        <w:rFonts w:cstheme="minorHAnsi"/>
      </w:rPr>
      <w:t>3.0</w:t>
    </w:r>
    <w:r w:rsidRPr="002E4D92">
      <w:rPr>
        <w:rFonts w:cstheme="minorHAnsi"/>
      </w:rPr>
      <w:fldChar w:fldCharType="end"/>
    </w:r>
    <w:r w:rsidRPr="002E4D92">
      <w:rPr>
        <w:rStyle w:val="PageNumber"/>
        <w:rFonts w:cstheme="minorHAnsi"/>
      </w:rPr>
      <w:t xml:space="preserve"> </w:t>
    </w:r>
  </w:p>
  <w:p w:rsidR="009329C2" w:rsidRPr="002E4D92" w:rsidRDefault="003A1867" w:rsidP="00DB327F">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Pr>
        <w:rFonts w:cstheme="minorHAnsi"/>
      </w:rPr>
      <w:t>27 Sep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2</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15</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29C2" w:rsidRDefault="00E06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62EA" w:rsidRDefault="00E062EA">
      <w:r>
        <w:separator/>
      </w:r>
    </w:p>
  </w:footnote>
  <w:footnote w:type="continuationSeparator" w:id="0">
    <w:p w:rsidR="00E062EA" w:rsidRDefault="00E06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29C2" w:rsidRDefault="00E062E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29C2" w:rsidRDefault="00E062E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29C2" w:rsidRDefault="00E062E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ABE0340A">
      <w:start w:val="5"/>
      <w:numFmt w:val="bullet"/>
      <w:lvlText w:val="-"/>
      <w:lvlJc w:val="left"/>
      <w:pPr>
        <w:ind w:left="720" w:hanging="360"/>
      </w:pPr>
      <w:rPr>
        <w:rFonts w:ascii="Arial" w:eastAsia="Times New Roman" w:hAnsi="Arial" w:cs="Arial" w:hint="default"/>
      </w:rPr>
    </w:lvl>
    <w:lvl w:ilvl="1" w:tplc="ABCAFC4E" w:tentative="1">
      <w:start w:val="1"/>
      <w:numFmt w:val="bullet"/>
      <w:lvlText w:val="o"/>
      <w:lvlJc w:val="left"/>
      <w:pPr>
        <w:ind w:left="1440" w:hanging="360"/>
      </w:pPr>
      <w:rPr>
        <w:rFonts w:ascii="Courier New" w:hAnsi="Courier New" w:cs="Courier New" w:hint="default"/>
      </w:rPr>
    </w:lvl>
    <w:lvl w:ilvl="2" w:tplc="C0144FCE" w:tentative="1">
      <w:start w:val="1"/>
      <w:numFmt w:val="bullet"/>
      <w:lvlText w:val=""/>
      <w:lvlJc w:val="left"/>
      <w:pPr>
        <w:ind w:left="2160" w:hanging="360"/>
      </w:pPr>
      <w:rPr>
        <w:rFonts w:ascii="Wingdings" w:hAnsi="Wingdings" w:hint="default"/>
      </w:rPr>
    </w:lvl>
    <w:lvl w:ilvl="3" w:tplc="0270C636" w:tentative="1">
      <w:start w:val="1"/>
      <w:numFmt w:val="bullet"/>
      <w:lvlText w:val=""/>
      <w:lvlJc w:val="left"/>
      <w:pPr>
        <w:ind w:left="2880" w:hanging="360"/>
      </w:pPr>
      <w:rPr>
        <w:rFonts w:ascii="Symbol" w:hAnsi="Symbol" w:hint="default"/>
      </w:rPr>
    </w:lvl>
    <w:lvl w:ilvl="4" w:tplc="BCD25658" w:tentative="1">
      <w:start w:val="1"/>
      <w:numFmt w:val="bullet"/>
      <w:lvlText w:val="o"/>
      <w:lvlJc w:val="left"/>
      <w:pPr>
        <w:ind w:left="3600" w:hanging="360"/>
      </w:pPr>
      <w:rPr>
        <w:rFonts w:ascii="Courier New" w:hAnsi="Courier New" w:cs="Courier New" w:hint="default"/>
      </w:rPr>
    </w:lvl>
    <w:lvl w:ilvl="5" w:tplc="E8745222" w:tentative="1">
      <w:start w:val="1"/>
      <w:numFmt w:val="bullet"/>
      <w:lvlText w:val=""/>
      <w:lvlJc w:val="left"/>
      <w:pPr>
        <w:ind w:left="4320" w:hanging="360"/>
      </w:pPr>
      <w:rPr>
        <w:rFonts w:ascii="Wingdings" w:hAnsi="Wingdings" w:hint="default"/>
      </w:rPr>
    </w:lvl>
    <w:lvl w:ilvl="6" w:tplc="5E8ED1D8" w:tentative="1">
      <w:start w:val="1"/>
      <w:numFmt w:val="bullet"/>
      <w:lvlText w:val=""/>
      <w:lvlJc w:val="left"/>
      <w:pPr>
        <w:ind w:left="5040" w:hanging="360"/>
      </w:pPr>
      <w:rPr>
        <w:rFonts w:ascii="Symbol" w:hAnsi="Symbol" w:hint="default"/>
      </w:rPr>
    </w:lvl>
    <w:lvl w:ilvl="7" w:tplc="DF0C4EB2" w:tentative="1">
      <w:start w:val="1"/>
      <w:numFmt w:val="bullet"/>
      <w:lvlText w:val="o"/>
      <w:lvlJc w:val="left"/>
      <w:pPr>
        <w:ind w:left="5760" w:hanging="360"/>
      </w:pPr>
      <w:rPr>
        <w:rFonts w:ascii="Courier New" w:hAnsi="Courier New" w:cs="Courier New" w:hint="default"/>
      </w:rPr>
    </w:lvl>
    <w:lvl w:ilvl="8" w:tplc="93640A20"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8C6A609E">
      <w:start w:val="1"/>
      <w:numFmt w:val="decimal"/>
      <w:pStyle w:val="Heading2"/>
      <w:lvlText w:val="%1."/>
      <w:lvlJc w:val="left"/>
      <w:pPr>
        <w:ind w:left="5760" w:hanging="360"/>
      </w:pPr>
    </w:lvl>
    <w:lvl w:ilvl="1" w:tplc="134EF830" w:tentative="1">
      <w:start w:val="1"/>
      <w:numFmt w:val="lowerLetter"/>
      <w:lvlText w:val="%2."/>
      <w:lvlJc w:val="left"/>
      <w:pPr>
        <w:ind w:left="6480" w:hanging="360"/>
      </w:pPr>
    </w:lvl>
    <w:lvl w:ilvl="2" w:tplc="E7CAB2EA" w:tentative="1">
      <w:start w:val="1"/>
      <w:numFmt w:val="lowerRoman"/>
      <w:lvlText w:val="%3."/>
      <w:lvlJc w:val="right"/>
      <w:pPr>
        <w:ind w:left="7200" w:hanging="180"/>
      </w:pPr>
    </w:lvl>
    <w:lvl w:ilvl="3" w:tplc="27C07166" w:tentative="1">
      <w:start w:val="1"/>
      <w:numFmt w:val="decimal"/>
      <w:lvlText w:val="%4."/>
      <w:lvlJc w:val="left"/>
      <w:pPr>
        <w:ind w:left="7920" w:hanging="360"/>
      </w:pPr>
    </w:lvl>
    <w:lvl w:ilvl="4" w:tplc="CB6A1A28" w:tentative="1">
      <w:start w:val="1"/>
      <w:numFmt w:val="lowerLetter"/>
      <w:lvlText w:val="%5."/>
      <w:lvlJc w:val="left"/>
      <w:pPr>
        <w:ind w:left="8640" w:hanging="360"/>
      </w:pPr>
    </w:lvl>
    <w:lvl w:ilvl="5" w:tplc="F1F041BE" w:tentative="1">
      <w:start w:val="1"/>
      <w:numFmt w:val="lowerRoman"/>
      <w:lvlText w:val="%6."/>
      <w:lvlJc w:val="right"/>
      <w:pPr>
        <w:ind w:left="9360" w:hanging="180"/>
      </w:pPr>
    </w:lvl>
    <w:lvl w:ilvl="6" w:tplc="8196C584" w:tentative="1">
      <w:start w:val="1"/>
      <w:numFmt w:val="decimal"/>
      <w:lvlText w:val="%7."/>
      <w:lvlJc w:val="left"/>
      <w:pPr>
        <w:ind w:left="10080" w:hanging="360"/>
      </w:pPr>
    </w:lvl>
    <w:lvl w:ilvl="7" w:tplc="D1B4947A" w:tentative="1">
      <w:start w:val="1"/>
      <w:numFmt w:val="lowerLetter"/>
      <w:lvlText w:val="%8."/>
      <w:lvlJc w:val="left"/>
      <w:pPr>
        <w:ind w:left="10800" w:hanging="360"/>
      </w:pPr>
    </w:lvl>
    <w:lvl w:ilvl="8" w:tplc="77F0D75C"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C256154E">
      <w:start w:val="1"/>
      <w:numFmt w:val="bullet"/>
      <w:lvlText w:val=""/>
      <w:lvlJc w:val="left"/>
      <w:pPr>
        <w:ind w:left="720" w:hanging="360"/>
      </w:pPr>
      <w:rPr>
        <w:rFonts w:ascii="Symbol" w:hAnsi="Symbol" w:hint="default"/>
      </w:rPr>
    </w:lvl>
    <w:lvl w:ilvl="1" w:tplc="CA14F202" w:tentative="1">
      <w:start w:val="1"/>
      <w:numFmt w:val="bullet"/>
      <w:lvlText w:val="o"/>
      <w:lvlJc w:val="left"/>
      <w:pPr>
        <w:ind w:left="1440" w:hanging="360"/>
      </w:pPr>
      <w:rPr>
        <w:rFonts w:ascii="Courier New" w:hAnsi="Courier New" w:hint="default"/>
      </w:rPr>
    </w:lvl>
    <w:lvl w:ilvl="2" w:tplc="DCBA8F6E" w:tentative="1">
      <w:start w:val="1"/>
      <w:numFmt w:val="bullet"/>
      <w:lvlText w:val=""/>
      <w:lvlJc w:val="left"/>
      <w:pPr>
        <w:ind w:left="2160" w:hanging="360"/>
      </w:pPr>
      <w:rPr>
        <w:rFonts w:ascii="Wingdings" w:hAnsi="Wingdings" w:hint="default"/>
      </w:rPr>
    </w:lvl>
    <w:lvl w:ilvl="3" w:tplc="0E02C458" w:tentative="1">
      <w:start w:val="1"/>
      <w:numFmt w:val="bullet"/>
      <w:lvlText w:val=""/>
      <w:lvlJc w:val="left"/>
      <w:pPr>
        <w:ind w:left="2880" w:hanging="360"/>
      </w:pPr>
      <w:rPr>
        <w:rFonts w:ascii="Symbol" w:hAnsi="Symbol" w:hint="default"/>
      </w:rPr>
    </w:lvl>
    <w:lvl w:ilvl="4" w:tplc="00C838FE" w:tentative="1">
      <w:start w:val="1"/>
      <w:numFmt w:val="bullet"/>
      <w:lvlText w:val="o"/>
      <w:lvlJc w:val="left"/>
      <w:pPr>
        <w:ind w:left="3600" w:hanging="360"/>
      </w:pPr>
      <w:rPr>
        <w:rFonts w:ascii="Courier New" w:hAnsi="Courier New" w:hint="default"/>
      </w:rPr>
    </w:lvl>
    <w:lvl w:ilvl="5" w:tplc="C298CD2C" w:tentative="1">
      <w:start w:val="1"/>
      <w:numFmt w:val="bullet"/>
      <w:lvlText w:val=""/>
      <w:lvlJc w:val="left"/>
      <w:pPr>
        <w:ind w:left="4320" w:hanging="360"/>
      </w:pPr>
      <w:rPr>
        <w:rFonts w:ascii="Wingdings" w:hAnsi="Wingdings" w:hint="default"/>
      </w:rPr>
    </w:lvl>
    <w:lvl w:ilvl="6" w:tplc="BBF40DAE" w:tentative="1">
      <w:start w:val="1"/>
      <w:numFmt w:val="bullet"/>
      <w:lvlText w:val=""/>
      <w:lvlJc w:val="left"/>
      <w:pPr>
        <w:ind w:left="5040" w:hanging="360"/>
      </w:pPr>
      <w:rPr>
        <w:rFonts w:ascii="Symbol" w:hAnsi="Symbol" w:hint="default"/>
      </w:rPr>
    </w:lvl>
    <w:lvl w:ilvl="7" w:tplc="399A20DC" w:tentative="1">
      <w:start w:val="1"/>
      <w:numFmt w:val="bullet"/>
      <w:lvlText w:val="o"/>
      <w:lvlJc w:val="left"/>
      <w:pPr>
        <w:ind w:left="5760" w:hanging="360"/>
      </w:pPr>
      <w:rPr>
        <w:rFonts w:ascii="Courier New" w:hAnsi="Courier New" w:hint="default"/>
      </w:rPr>
    </w:lvl>
    <w:lvl w:ilvl="8" w:tplc="19761B32"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75941CE2">
      <w:start w:val="3"/>
      <w:numFmt w:val="bullet"/>
      <w:lvlText w:val="-"/>
      <w:lvlJc w:val="left"/>
      <w:pPr>
        <w:ind w:left="720" w:hanging="360"/>
      </w:pPr>
      <w:rPr>
        <w:rFonts w:ascii="Arial" w:eastAsia="Times New Roman" w:hAnsi="Arial" w:cs="Arial" w:hint="default"/>
      </w:rPr>
    </w:lvl>
    <w:lvl w:ilvl="1" w:tplc="5830810C" w:tentative="1">
      <w:start w:val="1"/>
      <w:numFmt w:val="bullet"/>
      <w:lvlText w:val="o"/>
      <w:lvlJc w:val="left"/>
      <w:pPr>
        <w:ind w:left="1440" w:hanging="360"/>
      </w:pPr>
      <w:rPr>
        <w:rFonts w:ascii="Courier New" w:hAnsi="Courier New" w:cs="Courier New" w:hint="default"/>
      </w:rPr>
    </w:lvl>
    <w:lvl w:ilvl="2" w:tplc="4D0AF03C" w:tentative="1">
      <w:start w:val="1"/>
      <w:numFmt w:val="bullet"/>
      <w:lvlText w:val=""/>
      <w:lvlJc w:val="left"/>
      <w:pPr>
        <w:ind w:left="2160" w:hanging="360"/>
      </w:pPr>
      <w:rPr>
        <w:rFonts w:ascii="Wingdings" w:hAnsi="Wingdings" w:hint="default"/>
      </w:rPr>
    </w:lvl>
    <w:lvl w:ilvl="3" w:tplc="D3702138" w:tentative="1">
      <w:start w:val="1"/>
      <w:numFmt w:val="bullet"/>
      <w:lvlText w:val=""/>
      <w:lvlJc w:val="left"/>
      <w:pPr>
        <w:ind w:left="2880" w:hanging="360"/>
      </w:pPr>
      <w:rPr>
        <w:rFonts w:ascii="Symbol" w:hAnsi="Symbol" w:hint="default"/>
      </w:rPr>
    </w:lvl>
    <w:lvl w:ilvl="4" w:tplc="CB4E1462" w:tentative="1">
      <w:start w:val="1"/>
      <w:numFmt w:val="bullet"/>
      <w:lvlText w:val="o"/>
      <w:lvlJc w:val="left"/>
      <w:pPr>
        <w:ind w:left="3600" w:hanging="360"/>
      </w:pPr>
      <w:rPr>
        <w:rFonts w:ascii="Courier New" w:hAnsi="Courier New" w:cs="Courier New" w:hint="default"/>
      </w:rPr>
    </w:lvl>
    <w:lvl w:ilvl="5" w:tplc="5698612E" w:tentative="1">
      <w:start w:val="1"/>
      <w:numFmt w:val="bullet"/>
      <w:lvlText w:val=""/>
      <w:lvlJc w:val="left"/>
      <w:pPr>
        <w:ind w:left="4320" w:hanging="360"/>
      </w:pPr>
      <w:rPr>
        <w:rFonts w:ascii="Wingdings" w:hAnsi="Wingdings" w:hint="default"/>
      </w:rPr>
    </w:lvl>
    <w:lvl w:ilvl="6" w:tplc="835013E2" w:tentative="1">
      <w:start w:val="1"/>
      <w:numFmt w:val="bullet"/>
      <w:lvlText w:val=""/>
      <w:lvlJc w:val="left"/>
      <w:pPr>
        <w:ind w:left="5040" w:hanging="360"/>
      </w:pPr>
      <w:rPr>
        <w:rFonts w:ascii="Symbol" w:hAnsi="Symbol" w:hint="default"/>
      </w:rPr>
    </w:lvl>
    <w:lvl w:ilvl="7" w:tplc="33C80A02" w:tentative="1">
      <w:start w:val="1"/>
      <w:numFmt w:val="bullet"/>
      <w:lvlText w:val="o"/>
      <w:lvlJc w:val="left"/>
      <w:pPr>
        <w:ind w:left="5760" w:hanging="360"/>
      </w:pPr>
      <w:rPr>
        <w:rFonts w:ascii="Courier New" w:hAnsi="Courier New" w:cs="Courier New" w:hint="default"/>
      </w:rPr>
    </w:lvl>
    <w:lvl w:ilvl="8" w:tplc="6C847C8A" w:tentative="1">
      <w:start w:val="1"/>
      <w:numFmt w:val="bullet"/>
      <w:lvlText w:val=""/>
      <w:lvlJc w:val="left"/>
      <w:pPr>
        <w:ind w:left="6480" w:hanging="360"/>
      </w:pPr>
      <w:rPr>
        <w:rFonts w:ascii="Wingdings" w:hAnsi="Wingdings" w:hint="default"/>
      </w:rPr>
    </w:lvl>
  </w:abstractNum>
  <w:abstractNum w:abstractNumId="5" w15:restartNumberingAfterBreak="0">
    <w:nsid w:val="48F77C6B"/>
    <w:multiLevelType w:val="hybridMultilevel"/>
    <w:tmpl w:val="BE7AE370"/>
    <w:lvl w:ilvl="0" w:tplc="A3FC7AC2">
      <w:start w:val="3"/>
      <w:numFmt w:val="bullet"/>
      <w:lvlText w:val="-"/>
      <w:lvlJc w:val="left"/>
      <w:pPr>
        <w:ind w:left="720" w:hanging="360"/>
      </w:pPr>
      <w:rPr>
        <w:rFonts w:ascii="Arial" w:eastAsia="Times New Roman" w:hAnsi="Arial" w:cs="Arial" w:hint="default"/>
      </w:rPr>
    </w:lvl>
    <w:lvl w:ilvl="1" w:tplc="02748A96" w:tentative="1">
      <w:start w:val="1"/>
      <w:numFmt w:val="bullet"/>
      <w:lvlText w:val="o"/>
      <w:lvlJc w:val="left"/>
      <w:pPr>
        <w:ind w:left="1440" w:hanging="360"/>
      </w:pPr>
      <w:rPr>
        <w:rFonts w:ascii="Courier New" w:hAnsi="Courier New" w:cs="Courier New" w:hint="default"/>
      </w:rPr>
    </w:lvl>
    <w:lvl w:ilvl="2" w:tplc="3CF84668" w:tentative="1">
      <w:start w:val="1"/>
      <w:numFmt w:val="bullet"/>
      <w:lvlText w:val=""/>
      <w:lvlJc w:val="left"/>
      <w:pPr>
        <w:ind w:left="2160" w:hanging="360"/>
      </w:pPr>
      <w:rPr>
        <w:rFonts w:ascii="Wingdings" w:hAnsi="Wingdings" w:hint="default"/>
      </w:rPr>
    </w:lvl>
    <w:lvl w:ilvl="3" w:tplc="635E7088" w:tentative="1">
      <w:start w:val="1"/>
      <w:numFmt w:val="bullet"/>
      <w:lvlText w:val=""/>
      <w:lvlJc w:val="left"/>
      <w:pPr>
        <w:ind w:left="2880" w:hanging="360"/>
      </w:pPr>
      <w:rPr>
        <w:rFonts w:ascii="Symbol" w:hAnsi="Symbol" w:hint="default"/>
      </w:rPr>
    </w:lvl>
    <w:lvl w:ilvl="4" w:tplc="ABEE4188" w:tentative="1">
      <w:start w:val="1"/>
      <w:numFmt w:val="bullet"/>
      <w:lvlText w:val="o"/>
      <w:lvlJc w:val="left"/>
      <w:pPr>
        <w:ind w:left="3600" w:hanging="360"/>
      </w:pPr>
      <w:rPr>
        <w:rFonts w:ascii="Courier New" w:hAnsi="Courier New" w:cs="Courier New" w:hint="default"/>
      </w:rPr>
    </w:lvl>
    <w:lvl w:ilvl="5" w:tplc="690ED42C" w:tentative="1">
      <w:start w:val="1"/>
      <w:numFmt w:val="bullet"/>
      <w:lvlText w:val=""/>
      <w:lvlJc w:val="left"/>
      <w:pPr>
        <w:ind w:left="4320" w:hanging="360"/>
      </w:pPr>
      <w:rPr>
        <w:rFonts w:ascii="Wingdings" w:hAnsi="Wingdings" w:hint="default"/>
      </w:rPr>
    </w:lvl>
    <w:lvl w:ilvl="6" w:tplc="515CBCC8" w:tentative="1">
      <w:start w:val="1"/>
      <w:numFmt w:val="bullet"/>
      <w:lvlText w:val=""/>
      <w:lvlJc w:val="left"/>
      <w:pPr>
        <w:ind w:left="5040" w:hanging="360"/>
      </w:pPr>
      <w:rPr>
        <w:rFonts w:ascii="Symbol" w:hAnsi="Symbol" w:hint="default"/>
      </w:rPr>
    </w:lvl>
    <w:lvl w:ilvl="7" w:tplc="F6DAA2BE" w:tentative="1">
      <w:start w:val="1"/>
      <w:numFmt w:val="bullet"/>
      <w:lvlText w:val="o"/>
      <w:lvlJc w:val="left"/>
      <w:pPr>
        <w:ind w:left="5760" w:hanging="360"/>
      </w:pPr>
      <w:rPr>
        <w:rFonts w:ascii="Courier New" w:hAnsi="Courier New" w:cs="Courier New" w:hint="default"/>
      </w:rPr>
    </w:lvl>
    <w:lvl w:ilvl="8" w:tplc="F5C2B11E"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64707DEA">
      <w:start w:val="3"/>
      <w:numFmt w:val="bullet"/>
      <w:pStyle w:val="ListParagraph"/>
      <w:lvlText w:val="-"/>
      <w:lvlJc w:val="left"/>
      <w:pPr>
        <w:ind w:left="720" w:hanging="360"/>
      </w:pPr>
      <w:rPr>
        <w:rFonts w:ascii="Arial" w:eastAsia="Times New Roman" w:hAnsi="Arial" w:cs="Arial" w:hint="default"/>
      </w:rPr>
    </w:lvl>
    <w:lvl w:ilvl="1" w:tplc="07EE89B8" w:tentative="1">
      <w:start w:val="1"/>
      <w:numFmt w:val="bullet"/>
      <w:lvlText w:val="o"/>
      <w:lvlJc w:val="left"/>
      <w:pPr>
        <w:ind w:left="1440" w:hanging="360"/>
      </w:pPr>
      <w:rPr>
        <w:rFonts w:ascii="Courier New" w:hAnsi="Courier New" w:cs="Courier New" w:hint="default"/>
      </w:rPr>
    </w:lvl>
    <w:lvl w:ilvl="2" w:tplc="D2AE179E" w:tentative="1">
      <w:start w:val="1"/>
      <w:numFmt w:val="bullet"/>
      <w:lvlText w:val=""/>
      <w:lvlJc w:val="left"/>
      <w:pPr>
        <w:ind w:left="2160" w:hanging="360"/>
      </w:pPr>
      <w:rPr>
        <w:rFonts w:ascii="Wingdings" w:hAnsi="Wingdings" w:hint="default"/>
      </w:rPr>
    </w:lvl>
    <w:lvl w:ilvl="3" w:tplc="87BE05A8" w:tentative="1">
      <w:start w:val="1"/>
      <w:numFmt w:val="bullet"/>
      <w:lvlText w:val=""/>
      <w:lvlJc w:val="left"/>
      <w:pPr>
        <w:ind w:left="2880" w:hanging="360"/>
      </w:pPr>
      <w:rPr>
        <w:rFonts w:ascii="Symbol" w:hAnsi="Symbol" w:hint="default"/>
      </w:rPr>
    </w:lvl>
    <w:lvl w:ilvl="4" w:tplc="3A78940E" w:tentative="1">
      <w:start w:val="1"/>
      <w:numFmt w:val="bullet"/>
      <w:lvlText w:val="o"/>
      <w:lvlJc w:val="left"/>
      <w:pPr>
        <w:ind w:left="3600" w:hanging="360"/>
      </w:pPr>
      <w:rPr>
        <w:rFonts w:ascii="Courier New" w:hAnsi="Courier New" w:cs="Courier New" w:hint="default"/>
      </w:rPr>
    </w:lvl>
    <w:lvl w:ilvl="5" w:tplc="6B3EC9CC" w:tentative="1">
      <w:start w:val="1"/>
      <w:numFmt w:val="bullet"/>
      <w:lvlText w:val=""/>
      <w:lvlJc w:val="left"/>
      <w:pPr>
        <w:ind w:left="4320" w:hanging="360"/>
      </w:pPr>
      <w:rPr>
        <w:rFonts w:ascii="Wingdings" w:hAnsi="Wingdings" w:hint="default"/>
      </w:rPr>
    </w:lvl>
    <w:lvl w:ilvl="6" w:tplc="1C52E032" w:tentative="1">
      <w:start w:val="1"/>
      <w:numFmt w:val="bullet"/>
      <w:lvlText w:val=""/>
      <w:lvlJc w:val="left"/>
      <w:pPr>
        <w:ind w:left="5040" w:hanging="360"/>
      </w:pPr>
      <w:rPr>
        <w:rFonts w:ascii="Symbol" w:hAnsi="Symbol" w:hint="default"/>
      </w:rPr>
    </w:lvl>
    <w:lvl w:ilvl="7" w:tplc="74BE0EE0" w:tentative="1">
      <w:start w:val="1"/>
      <w:numFmt w:val="bullet"/>
      <w:lvlText w:val="o"/>
      <w:lvlJc w:val="left"/>
      <w:pPr>
        <w:ind w:left="5760" w:hanging="360"/>
      </w:pPr>
      <w:rPr>
        <w:rFonts w:ascii="Courier New" w:hAnsi="Courier New" w:cs="Courier New" w:hint="default"/>
      </w:rPr>
    </w:lvl>
    <w:lvl w:ilvl="8" w:tplc="2692362E"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F4CCD66A">
      <w:start w:val="1"/>
      <w:numFmt w:val="decimal"/>
      <w:lvlText w:val="%1."/>
      <w:lvlJc w:val="left"/>
      <w:pPr>
        <w:ind w:left="4680" w:hanging="360"/>
      </w:pPr>
    </w:lvl>
    <w:lvl w:ilvl="1" w:tplc="5A7CAA86" w:tentative="1">
      <w:start w:val="1"/>
      <w:numFmt w:val="lowerLetter"/>
      <w:lvlText w:val="%2."/>
      <w:lvlJc w:val="left"/>
      <w:pPr>
        <w:ind w:left="5400" w:hanging="360"/>
      </w:pPr>
    </w:lvl>
    <w:lvl w:ilvl="2" w:tplc="497EF658" w:tentative="1">
      <w:start w:val="1"/>
      <w:numFmt w:val="lowerRoman"/>
      <w:lvlText w:val="%3."/>
      <w:lvlJc w:val="right"/>
      <w:pPr>
        <w:ind w:left="6120" w:hanging="180"/>
      </w:pPr>
    </w:lvl>
    <w:lvl w:ilvl="3" w:tplc="11FA278C" w:tentative="1">
      <w:start w:val="1"/>
      <w:numFmt w:val="decimal"/>
      <w:lvlText w:val="%4."/>
      <w:lvlJc w:val="left"/>
      <w:pPr>
        <w:ind w:left="6840" w:hanging="360"/>
      </w:pPr>
    </w:lvl>
    <w:lvl w:ilvl="4" w:tplc="B198A624" w:tentative="1">
      <w:start w:val="1"/>
      <w:numFmt w:val="lowerLetter"/>
      <w:lvlText w:val="%5."/>
      <w:lvlJc w:val="left"/>
      <w:pPr>
        <w:ind w:left="7560" w:hanging="360"/>
      </w:pPr>
    </w:lvl>
    <w:lvl w:ilvl="5" w:tplc="5F2224CC" w:tentative="1">
      <w:start w:val="1"/>
      <w:numFmt w:val="lowerRoman"/>
      <w:lvlText w:val="%6."/>
      <w:lvlJc w:val="right"/>
      <w:pPr>
        <w:ind w:left="8280" w:hanging="180"/>
      </w:pPr>
    </w:lvl>
    <w:lvl w:ilvl="6" w:tplc="2BAA6E1E" w:tentative="1">
      <w:start w:val="1"/>
      <w:numFmt w:val="decimal"/>
      <w:lvlText w:val="%7."/>
      <w:lvlJc w:val="left"/>
      <w:pPr>
        <w:ind w:left="9000" w:hanging="360"/>
      </w:pPr>
    </w:lvl>
    <w:lvl w:ilvl="7" w:tplc="DDCEAB9E" w:tentative="1">
      <w:start w:val="1"/>
      <w:numFmt w:val="lowerLetter"/>
      <w:lvlText w:val="%8."/>
      <w:lvlJc w:val="left"/>
      <w:pPr>
        <w:ind w:left="9720" w:hanging="360"/>
      </w:pPr>
    </w:lvl>
    <w:lvl w:ilvl="8" w:tplc="7CB0053C" w:tentative="1">
      <w:start w:val="1"/>
      <w:numFmt w:val="lowerRoman"/>
      <w:lvlText w:val="%9."/>
      <w:lvlJc w:val="right"/>
      <w:pPr>
        <w:ind w:left="10440" w:hanging="180"/>
      </w:pPr>
    </w:lvl>
  </w:abstractNum>
  <w:abstractNum w:abstractNumId="8" w15:restartNumberingAfterBreak="0">
    <w:nsid w:val="7B066B15"/>
    <w:multiLevelType w:val="hybridMultilevel"/>
    <w:tmpl w:val="B9FC85AC"/>
    <w:lvl w:ilvl="0" w:tplc="9826873E">
      <w:start w:val="1"/>
      <w:numFmt w:val="bullet"/>
      <w:lvlText w:val=""/>
      <w:lvlJc w:val="left"/>
      <w:pPr>
        <w:ind w:left="720" w:hanging="360"/>
      </w:pPr>
      <w:rPr>
        <w:rFonts w:ascii="Symbol" w:hAnsi="Symbol" w:hint="default"/>
      </w:rPr>
    </w:lvl>
    <w:lvl w:ilvl="1" w:tplc="C96A7C2E" w:tentative="1">
      <w:start w:val="1"/>
      <w:numFmt w:val="bullet"/>
      <w:lvlText w:val="o"/>
      <w:lvlJc w:val="left"/>
      <w:pPr>
        <w:ind w:left="1440" w:hanging="360"/>
      </w:pPr>
      <w:rPr>
        <w:rFonts w:ascii="Courier New" w:hAnsi="Courier New" w:cs="Courier New" w:hint="default"/>
      </w:rPr>
    </w:lvl>
    <w:lvl w:ilvl="2" w:tplc="70B8DAE6" w:tentative="1">
      <w:start w:val="1"/>
      <w:numFmt w:val="bullet"/>
      <w:lvlText w:val=""/>
      <w:lvlJc w:val="left"/>
      <w:pPr>
        <w:ind w:left="2160" w:hanging="360"/>
      </w:pPr>
      <w:rPr>
        <w:rFonts w:ascii="Wingdings" w:hAnsi="Wingdings" w:hint="default"/>
      </w:rPr>
    </w:lvl>
    <w:lvl w:ilvl="3" w:tplc="5BD43390" w:tentative="1">
      <w:start w:val="1"/>
      <w:numFmt w:val="bullet"/>
      <w:lvlText w:val=""/>
      <w:lvlJc w:val="left"/>
      <w:pPr>
        <w:ind w:left="2880" w:hanging="360"/>
      </w:pPr>
      <w:rPr>
        <w:rFonts w:ascii="Symbol" w:hAnsi="Symbol" w:hint="default"/>
      </w:rPr>
    </w:lvl>
    <w:lvl w:ilvl="4" w:tplc="7E5C2152" w:tentative="1">
      <w:start w:val="1"/>
      <w:numFmt w:val="bullet"/>
      <w:lvlText w:val="o"/>
      <w:lvlJc w:val="left"/>
      <w:pPr>
        <w:ind w:left="3600" w:hanging="360"/>
      </w:pPr>
      <w:rPr>
        <w:rFonts w:ascii="Courier New" w:hAnsi="Courier New" w:cs="Courier New" w:hint="default"/>
      </w:rPr>
    </w:lvl>
    <w:lvl w:ilvl="5" w:tplc="A4EA292A" w:tentative="1">
      <w:start w:val="1"/>
      <w:numFmt w:val="bullet"/>
      <w:lvlText w:val=""/>
      <w:lvlJc w:val="left"/>
      <w:pPr>
        <w:ind w:left="4320" w:hanging="360"/>
      </w:pPr>
      <w:rPr>
        <w:rFonts w:ascii="Wingdings" w:hAnsi="Wingdings" w:hint="default"/>
      </w:rPr>
    </w:lvl>
    <w:lvl w:ilvl="6" w:tplc="AFD87764" w:tentative="1">
      <w:start w:val="1"/>
      <w:numFmt w:val="bullet"/>
      <w:lvlText w:val=""/>
      <w:lvlJc w:val="left"/>
      <w:pPr>
        <w:ind w:left="5040" w:hanging="360"/>
      </w:pPr>
      <w:rPr>
        <w:rFonts w:ascii="Symbol" w:hAnsi="Symbol" w:hint="default"/>
      </w:rPr>
    </w:lvl>
    <w:lvl w:ilvl="7" w:tplc="CBCE3380" w:tentative="1">
      <w:start w:val="1"/>
      <w:numFmt w:val="bullet"/>
      <w:lvlText w:val="o"/>
      <w:lvlJc w:val="left"/>
      <w:pPr>
        <w:ind w:left="5760" w:hanging="360"/>
      </w:pPr>
      <w:rPr>
        <w:rFonts w:ascii="Courier New" w:hAnsi="Courier New" w:cs="Courier New" w:hint="default"/>
      </w:rPr>
    </w:lvl>
    <w:lvl w:ilvl="8" w:tplc="03BEFB70"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6"/>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54"/>
    <w:docVar w:name="InternalQPulse_CurrentUserName" w:val="Document Management Process Owner,  "/>
    <w:docVar w:name="InternalQPulse_DatabaseAlias" w:val="Default"/>
    <w:docVar w:name="InternalQPulse_DocActiveDate" w:val="27/09/2019"/>
    <w:docVar w:name="InternalQPulse_DocAuthor" w:val="Information Security Manager,  "/>
    <w:docVar w:name="InternalQPulse_DocChangeDetails" w:val="Complete overhaul with significant changes such as a new supplier audit procedure and reinstatement of the Q-Pulse Supplier module."/>
    <w:docVar w:name="InternalQPulse_DocLastReviewDate" w:val="&lt;QPulse_DocLastReviewDate&gt;"/>
    <w:docVar w:name="InternalQPulse_DocLastReviewDetails" w:val="&lt;QPulse_DocLastReviewDetails&gt;"/>
    <w:docVar w:name="InternalQPulse_DocLastReviewOwner" w:val="&lt;QPulse_DocLastReviewOwner&gt;"/>
    <w:docVar w:name="InternalQPulse_DocNumber" w:val="ISMS-03-06"/>
    <w:docVar w:name="InternalQPulse_DocOwner" w:val="Information Security Manager,  "/>
    <w:docVar w:name="InternalQPulse_DocReviewDate" w:val="27/09/2021"/>
    <w:docVar w:name="InternalQPulse_DocRevisionNumber" w:val="3.0"/>
    <w:docVar w:name="InternalQPulse_DocStatus" w:val="Active"/>
    <w:docVar w:name="InternalQPulse_DocTitle" w:val="TRE Supplier Management"/>
    <w:docVar w:name="InternalQPulse_DocType" w:val="ISMS\Policy &amp; Guidance\Asset and Supplier Management - policy &amp; guidance"/>
    <w:docVar w:name="InternalQPulse_LanguageID" w:val="0"/>
    <w:docVar w:name="QPulse_CurrentDateTime" w:val="19/03/2020 17:53:54"/>
    <w:docVar w:name="QPulse_CurrentUserName" w:val="Document Management Process Owner,  "/>
    <w:docVar w:name="QPulse_DatabaseAlias" w:val="Default"/>
    <w:docVar w:name="QPulse_DocActiveDate" w:val="27/09/2019"/>
    <w:docVar w:name="QPulse_DocAuthor" w:val="Information Security Manager,  "/>
    <w:docVar w:name="QPulse_DocChangeDetails" w:val="Complete overhaul with significant changes such as a new supplier audit procedure and reinstatement of the Q-Pulse Supplier module."/>
    <w:docVar w:name="QPulse_DocLastReviewDate" w:val="&lt;QPulse_DocLastReviewDate&gt;"/>
    <w:docVar w:name="QPulse_DocLastReviewDetails" w:val="&lt;QPulse_DocLastReviewDetails&gt;"/>
    <w:docVar w:name="QPulse_DocLastReviewOwner" w:val="&lt;QPulse_DocLastReviewOwner&gt;"/>
    <w:docVar w:name="QPulse_DocNumber" w:val="ISMS-03-06"/>
    <w:docVar w:name="QPulse_DocOwner" w:val="Information Security Manager,  "/>
    <w:docVar w:name="QPulse_DocReviewDate" w:val="27/09/2021"/>
    <w:docVar w:name="QPulse_DocRevisionNumber" w:val="3.0"/>
    <w:docVar w:name="QPulse_DocStatus" w:val="Active"/>
    <w:docVar w:name="QPulse_DocTitle" w:val="TRE Supplier Management"/>
    <w:docVar w:name="QPulse_DocType" w:val="ISMS\Policy &amp; Guidance\Asset and Supplier Management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de237ebe-6b30-4837-87cd-d3857a7bfa70"/>
  </w:docVars>
  <w:rsids>
    <w:rsidRoot w:val="00992F3A"/>
    <w:rsid w:val="003A1867"/>
    <w:rsid w:val="00623409"/>
    <w:rsid w:val="00992F3A"/>
    <w:rsid w:val="00C5239D"/>
    <w:rsid w:val="00E062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34"/>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BE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3637"/>
    <w:pPr>
      <w:spacing w:after="200"/>
    </w:pPr>
    <w:rPr>
      <w:i/>
      <w:iCs/>
      <w:color w:val="1F497D" w:themeColor="text2"/>
      <w:sz w:val="18"/>
      <w:szCs w:val="18"/>
    </w:rPr>
  </w:style>
  <w:style w:type="paragraph" w:styleId="NormalWeb">
    <w:name w:val="Normal (Web)"/>
    <w:basedOn w:val="Normal"/>
    <w:uiPriority w:val="99"/>
    <w:semiHidden/>
    <w:unhideWhenUsed/>
    <w:rsid w:val="00BB1099"/>
    <w:pPr>
      <w:spacing w:before="100" w:beforeAutospacing="1" w:after="100" w:afterAutospacing="1"/>
    </w:pPr>
    <w:rPr>
      <w:rFonts w:ascii="Times New Roman" w:eastAsiaTheme="minorEastAsia" w:hAnsi="Times New Roman" w:cs="Times New Roman"/>
      <w:sz w:val="24"/>
    </w:rPr>
  </w:style>
  <w:style w:type="character" w:styleId="CommentReference">
    <w:name w:val="annotation reference"/>
    <w:basedOn w:val="DefaultParagraphFont"/>
    <w:uiPriority w:val="99"/>
    <w:semiHidden/>
    <w:unhideWhenUsed/>
    <w:rsid w:val="000D2398"/>
    <w:rPr>
      <w:sz w:val="16"/>
      <w:szCs w:val="16"/>
    </w:rPr>
  </w:style>
  <w:style w:type="paragraph" w:styleId="CommentText">
    <w:name w:val="annotation text"/>
    <w:basedOn w:val="Normal"/>
    <w:link w:val="CommentTextChar"/>
    <w:uiPriority w:val="99"/>
    <w:semiHidden/>
    <w:unhideWhenUsed/>
    <w:rsid w:val="000D2398"/>
    <w:rPr>
      <w:sz w:val="20"/>
      <w:szCs w:val="20"/>
    </w:rPr>
  </w:style>
  <w:style w:type="character" w:customStyle="1" w:styleId="CommentTextChar">
    <w:name w:val="Comment Text Char"/>
    <w:basedOn w:val="DefaultParagraphFont"/>
    <w:link w:val="CommentText"/>
    <w:uiPriority w:val="99"/>
    <w:semiHidden/>
    <w:rsid w:val="000D2398"/>
    <w:rPr>
      <w:sz w:val="20"/>
      <w:szCs w:val="20"/>
    </w:rPr>
  </w:style>
  <w:style w:type="paragraph" w:styleId="CommentSubject">
    <w:name w:val="annotation subject"/>
    <w:basedOn w:val="CommentText"/>
    <w:next w:val="CommentText"/>
    <w:link w:val="CommentSubjectChar"/>
    <w:uiPriority w:val="99"/>
    <w:semiHidden/>
    <w:unhideWhenUsed/>
    <w:rsid w:val="000D2398"/>
    <w:rPr>
      <w:b/>
      <w:bCs/>
    </w:rPr>
  </w:style>
  <w:style w:type="character" w:customStyle="1" w:styleId="CommentSubjectChar">
    <w:name w:val="Comment Subject Char"/>
    <w:basedOn w:val="CommentTextChar"/>
    <w:link w:val="CommentSubject"/>
    <w:uiPriority w:val="99"/>
    <w:semiHidden/>
    <w:rsid w:val="000D2398"/>
    <w:rPr>
      <w:b/>
      <w:bCs/>
      <w:sz w:val="20"/>
      <w:szCs w:val="20"/>
    </w:rPr>
  </w:style>
  <w:style w:type="paragraph" w:styleId="TOC4">
    <w:name w:val="toc 4"/>
    <w:basedOn w:val="Normal"/>
    <w:next w:val="Normal"/>
    <w:autoRedefine/>
    <w:uiPriority w:val="39"/>
    <w:unhideWhenUsed/>
    <w:rsid w:val="00CA031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8FDE7-04E0-FD45-A800-0075931E9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3176</Words>
  <Characters>17470</Characters>
  <Application>Microsoft Office Word</Application>
  <DocSecurity>0</DocSecurity>
  <Lines>545</Lines>
  <Paragraphs>375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2020-04-14T14:59:00Z</dcterms:modified>
</cp:coreProperties>
</file>