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80CE2" w14:textId="77777777" w:rsidR="00F64866" w:rsidRDefault="007A5645" w:rsidP="00A35784">
      <w:r w:rsidRPr="009D002B">
        <w:rPr>
          <w:noProof/>
          <w:lang w:eastAsia="en-GB"/>
        </w:rPr>
        <w:drawing>
          <wp:anchor distT="0" distB="0" distL="114300" distR="114300" simplePos="0" relativeHeight="251658240" behindDoc="0" locked="0" layoutInCell="1" allowOverlap="0" wp14:anchorId="303E0F44" wp14:editId="57DC5EF8">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70D2FCEF" w14:textId="77777777" w:rsidR="00E41AC5" w:rsidRPr="009D002B" w:rsidRDefault="00A45804" w:rsidP="00A35784"/>
    <w:p w14:paraId="693E5DEC" w14:textId="77777777" w:rsidR="00F64866" w:rsidRPr="005B6D5E" w:rsidRDefault="007A5645" w:rsidP="005B6D5E">
      <w:pPr>
        <w:pStyle w:val="ISMSNormal"/>
        <w:jc w:val="center"/>
        <w:rPr>
          <w:b/>
        </w:rPr>
      </w:pPr>
      <w:r>
        <w:rPr>
          <w:b/>
        </w:rPr>
        <w:t>POLICY AND GUIDANCE</w:t>
      </w:r>
    </w:p>
    <w:p w14:paraId="18A625BE" w14:textId="77777777" w:rsidR="00F64866" w:rsidRPr="005B6D5E" w:rsidRDefault="007A5645" w:rsidP="005B6D5E">
      <w:pPr>
        <w:pStyle w:val="ISMSNormal"/>
        <w:jc w:val="center"/>
        <w:rPr>
          <w:b/>
        </w:rPr>
      </w:pPr>
      <w:r w:rsidRPr="005B6D5E">
        <w:rPr>
          <w:b/>
        </w:rPr>
        <w:t>Do not Photocopy</w:t>
      </w:r>
    </w:p>
    <w:p w14:paraId="390298EE" w14:textId="77777777" w:rsidR="00F64866" w:rsidRPr="005B6D5E" w:rsidRDefault="00A45804" w:rsidP="005B6D5E">
      <w:pPr>
        <w:pStyle w:val="ISMSNormal"/>
        <w:jc w:val="center"/>
        <w:rPr>
          <w:b/>
        </w:rPr>
      </w:pPr>
    </w:p>
    <w:p w14:paraId="33B1B110" w14:textId="77777777" w:rsidR="000154F2" w:rsidRPr="00F06990" w:rsidRDefault="007A5645" w:rsidP="000154F2">
      <w:pPr>
        <w:pStyle w:val="ISMSNormal"/>
        <w:jc w:val="center"/>
        <w:rPr>
          <w:b/>
        </w:rPr>
      </w:pPr>
      <w:r>
        <w:rPr>
          <w:b/>
        </w:rPr>
        <w:t xml:space="preserve">Document Information Classification: </w:t>
      </w:r>
      <w:r w:rsidRPr="00AE1A55">
        <w:rPr>
          <w:b/>
        </w:rPr>
        <w:t>Unrestricted</w:t>
      </w:r>
    </w:p>
    <w:p w14:paraId="42E27B0B" w14:textId="77777777" w:rsidR="00F64866" w:rsidRPr="00A214A6" w:rsidRDefault="00A45804"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E7154B" w14:paraId="5D13D336" w14:textId="77777777" w:rsidTr="00727201">
        <w:trPr>
          <w:jc w:val="center"/>
        </w:trPr>
        <w:tc>
          <w:tcPr>
            <w:tcW w:w="1912" w:type="pct"/>
            <w:tcBorders>
              <w:top w:val="single" w:sz="8" w:space="0" w:color="auto"/>
            </w:tcBorders>
          </w:tcPr>
          <w:p w14:paraId="059732BC" w14:textId="77777777" w:rsidR="00F64866" w:rsidRPr="005B6D5E" w:rsidRDefault="007A5645"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148212B1" w14:textId="77777777" w:rsidR="00F64866" w:rsidRPr="005B6D5E" w:rsidRDefault="007A564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Intellectual Property Policy</w:t>
            </w:r>
            <w:r w:rsidRPr="005B6D5E">
              <w:rPr>
                <w:b/>
                <w:lang w:eastAsia="en-GB"/>
              </w:rPr>
              <w:fldChar w:fldCharType="end"/>
            </w:r>
          </w:p>
        </w:tc>
      </w:tr>
      <w:tr w:rsidR="00E7154B" w14:paraId="70F11041" w14:textId="77777777" w:rsidTr="00727201">
        <w:trPr>
          <w:jc w:val="center"/>
        </w:trPr>
        <w:tc>
          <w:tcPr>
            <w:tcW w:w="1912" w:type="pct"/>
          </w:tcPr>
          <w:p w14:paraId="5C9AA052" w14:textId="77777777" w:rsidR="00F64866" w:rsidRPr="005B6D5E" w:rsidRDefault="007A5645" w:rsidP="005B6D5E">
            <w:pPr>
              <w:pStyle w:val="ISMSNormal"/>
              <w:spacing w:before="120" w:after="120"/>
              <w:rPr>
                <w:b/>
                <w:lang w:eastAsia="en-GB"/>
              </w:rPr>
            </w:pPr>
            <w:r w:rsidRPr="005B6D5E">
              <w:rPr>
                <w:b/>
                <w:lang w:eastAsia="en-GB"/>
              </w:rPr>
              <w:t>Effective Date:</w:t>
            </w:r>
          </w:p>
        </w:tc>
        <w:tc>
          <w:tcPr>
            <w:tcW w:w="3088" w:type="pct"/>
          </w:tcPr>
          <w:p w14:paraId="33056499" w14:textId="77777777" w:rsidR="00F64866" w:rsidRPr="005B6D5E" w:rsidRDefault="007A564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11 Mar 2019</w:t>
            </w:r>
            <w:r w:rsidRPr="005B6D5E">
              <w:rPr>
                <w:b/>
                <w:lang w:eastAsia="en-GB"/>
              </w:rPr>
              <w:fldChar w:fldCharType="end"/>
            </w:r>
          </w:p>
        </w:tc>
      </w:tr>
      <w:tr w:rsidR="00E7154B" w14:paraId="26EB5672" w14:textId="77777777" w:rsidTr="00727201">
        <w:trPr>
          <w:jc w:val="center"/>
        </w:trPr>
        <w:tc>
          <w:tcPr>
            <w:tcW w:w="1912" w:type="pct"/>
          </w:tcPr>
          <w:p w14:paraId="6B09832C" w14:textId="77777777" w:rsidR="00F64866" w:rsidRPr="005B6D5E" w:rsidRDefault="007A5645" w:rsidP="005B6D5E">
            <w:pPr>
              <w:pStyle w:val="ISMSNormal"/>
              <w:spacing w:before="120" w:after="120"/>
              <w:rPr>
                <w:b/>
                <w:lang w:eastAsia="en-GB"/>
              </w:rPr>
            </w:pPr>
            <w:r w:rsidRPr="005B6D5E">
              <w:rPr>
                <w:b/>
                <w:lang w:eastAsia="en-GB"/>
              </w:rPr>
              <w:t>Reference Number:</w:t>
            </w:r>
          </w:p>
        </w:tc>
        <w:tc>
          <w:tcPr>
            <w:tcW w:w="3088" w:type="pct"/>
          </w:tcPr>
          <w:p w14:paraId="66FA2F09" w14:textId="77777777" w:rsidR="00F64866" w:rsidRPr="005B6D5E" w:rsidRDefault="007A564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ISMS-05-10</w:t>
            </w:r>
            <w:r w:rsidRPr="005B6D5E">
              <w:rPr>
                <w:b/>
                <w:lang w:eastAsia="en-GB"/>
              </w:rPr>
              <w:fldChar w:fldCharType="end"/>
            </w:r>
          </w:p>
        </w:tc>
      </w:tr>
      <w:tr w:rsidR="00E7154B" w14:paraId="4F9BC659" w14:textId="77777777" w:rsidTr="00727201">
        <w:trPr>
          <w:jc w:val="center"/>
        </w:trPr>
        <w:tc>
          <w:tcPr>
            <w:tcW w:w="1912" w:type="pct"/>
          </w:tcPr>
          <w:p w14:paraId="2D6015A7" w14:textId="77777777" w:rsidR="00F64866" w:rsidRPr="005B6D5E" w:rsidRDefault="007A5645" w:rsidP="005B6D5E">
            <w:pPr>
              <w:pStyle w:val="ISMSNormal"/>
              <w:spacing w:before="120" w:after="120"/>
              <w:rPr>
                <w:b/>
                <w:lang w:eastAsia="en-GB"/>
              </w:rPr>
            </w:pPr>
            <w:r w:rsidRPr="005B6D5E">
              <w:rPr>
                <w:b/>
                <w:lang w:eastAsia="en-GB"/>
              </w:rPr>
              <w:t>Version Number:</w:t>
            </w:r>
          </w:p>
        </w:tc>
        <w:tc>
          <w:tcPr>
            <w:tcW w:w="3088" w:type="pct"/>
          </w:tcPr>
          <w:p w14:paraId="5A2B7106" w14:textId="77777777" w:rsidR="00F64866" w:rsidRPr="005B6D5E" w:rsidRDefault="007A564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1.6</w:t>
            </w:r>
            <w:r w:rsidRPr="005B6D5E">
              <w:rPr>
                <w:b/>
                <w:lang w:eastAsia="en-GB"/>
              </w:rPr>
              <w:fldChar w:fldCharType="end"/>
            </w:r>
          </w:p>
        </w:tc>
      </w:tr>
      <w:tr w:rsidR="00E7154B" w14:paraId="2DFB42A7" w14:textId="77777777" w:rsidTr="00727201">
        <w:trPr>
          <w:jc w:val="center"/>
        </w:trPr>
        <w:tc>
          <w:tcPr>
            <w:tcW w:w="1912" w:type="pct"/>
          </w:tcPr>
          <w:p w14:paraId="26153600" w14:textId="77777777" w:rsidR="00F64866" w:rsidRPr="005B6D5E" w:rsidRDefault="007A5645" w:rsidP="005B6D5E">
            <w:pPr>
              <w:pStyle w:val="ISMSNormal"/>
              <w:spacing w:before="120" w:after="120"/>
              <w:rPr>
                <w:b/>
                <w:lang w:eastAsia="en-GB"/>
              </w:rPr>
            </w:pPr>
            <w:r w:rsidRPr="005B6D5E">
              <w:rPr>
                <w:b/>
                <w:lang w:eastAsia="en-GB"/>
              </w:rPr>
              <w:t>Owner:</w:t>
            </w:r>
          </w:p>
        </w:tc>
        <w:tc>
          <w:tcPr>
            <w:tcW w:w="3088" w:type="pct"/>
          </w:tcPr>
          <w:p w14:paraId="16C56689" w14:textId="77777777" w:rsidR="00F64866" w:rsidRPr="005B6D5E" w:rsidRDefault="007A564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E7154B" w14:paraId="3E004FFD" w14:textId="77777777" w:rsidTr="00727201">
        <w:trPr>
          <w:jc w:val="center"/>
        </w:trPr>
        <w:tc>
          <w:tcPr>
            <w:tcW w:w="1912" w:type="pct"/>
            <w:tcBorders>
              <w:bottom w:val="single" w:sz="8" w:space="0" w:color="auto"/>
            </w:tcBorders>
          </w:tcPr>
          <w:p w14:paraId="1B38D2F1" w14:textId="77777777" w:rsidR="00F64866" w:rsidRPr="005B6D5E" w:rsidRDefault="007A5645"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E012BF5" w14:textId="77777777" w:rsidR="00F64866" w:rsidRPr="005B6D5E" w:rsidRDefault="007A5645"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11 Mar 2021</w:t>
            </w:r>
            <w:r w:rsidRPr="005B6D5E">
              <w:rPr>
                <w:b/>
                <w:lang w:eastAsia="en-GB"/>
              </w:rPr>
              <w:fldChar w:fldCharType="end"/>
            </w:r>
          </w:p>
        </w:tc>
      </w:tr>
    </w:tbl>
    <w:p w14:paraId="2D096BA9" w14:textId="77777777" w:rsidR="00F64866" w:rsidRPr="00A214A6" w:rsidRDefault="00A45804" w:rsidP="00A35784"/>
    <w:p w14:paraId="5D740890" w14:textId="77777777" w:rsidR="00F64866" w:rsidRPr="00A214A6" w:rsidRDefault="007A5645" w:rsidP="00A35784">
      <w:r w:rsidRPr="00A214A6">
        <w:br w:type="page"/>
      </w:r>
    </w:p>
    <w:p w14:paraId="477951CE" w14:textId="77777777" w:rsidR="00A04182" w:rsidRPr="009D002B" w:rsidRDefault="00A45804"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14442F58" w14:textId="77777777" w:rsidR="002C7566" w:rsidRDefault="007A5645" w:rsidP="00A35784">
          <w:pPr>
            <w:pStyle w:val="TOCHeading"/>
          </w:pPr>
          <w:r w:rsidRPr="00A35784">
            <w:t>Table of Contents</w:t>
          </w:r>
        </w:p>
        <w:p w14:paraId="16D8FED7" w14:textId="77777777" w:rsidR="006735AF" w:rsidRPr="006735AF" w:rsidRDefault="00A45804" w:rsidP="006735AF">
          <w:pPr>
            <w:rPr>
              <w:lang w:val="en-US" w:eastAsia="ja-JP"/>
            </w:rPr>
          </w:pPr>
        </w:p>
        <w:p w14:paraId="1DB5369B" w14:textId="77777777" w:rsidR="00E7154B" w:rsidRDefault="007A5645">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4" w:history="1">
            <w:r>
              <w:rPr>
                <w:rStyle w:val="Hyperlink"/>
              </w:rPr>
              <w:t>1.</w:t>
            </w:r>
            <w:r>
              <w:rPr>
                <w:rFonts w:asciiTheme="minorHAnsi" w:hAnsiTheme="minorHAnsi"/>
                <w:noProof/>
              </w:rPr>
              <w:tab/>
            </w:r>
            <w:r w:rsidRPr="00F27584">
              <w:rPr>
                <w:rStyle w:val="Hyperlink"/>
              </w:rPr>
              <w:t>Purpose</w:t>
            </w:r>
            <w:r>
              <w:tab/>
            </w:r>
            <w:r>
              <w:fldChar w:fldCharType="begin"/>
            </w:r>
            <w:r>
              <w:instrText xml:space="preserve"> PAGEREF _Toc256000004 \h </w:instrText>
            </w:r>
            <w:r>
              <w:fldChar w:fldCharType="separate"/>
            </w:r>
            <w:r>
              <w:t>3</w:t>
            </w:r>
            <w:r>
              <w:fldChar w:fldCharType="end"/>
            </w:r>
          </w:hyperlink>
        </w:p>
        <w:p w14:paraId="4BFC8A23" w14:textId="77777777" w:rsidR="00E7154B" w:rsidRDefault="00A45804">
          <w:pPr>
            <w:pStyle w:val="TOC1"/>
            <w:tabs>
              <w:tab w:val="left" w:pos="480"/>
              <w:tab w:val="right" w:leader="dot" w:pos="9016"/>
            </w:tabs>
            <w:rPr>
              <w:rFonts w:asciiTheme="minorHAnsi" w:hAnsiTheme="minorHAnsi"/>
              <w:noProof/>
            </w:rPr>
          </w:pPr>
          <w:hyperlink w:anchor="_Toc256000010" w:history="1">
            <w:r w:rsidR="007A5645">
              <w:rPr>
                <w:rStyle w:val="Hyperlink"/>
              </w:rPr>
              <w:t>2.</w:t>
            </w:r>
            <w:r w:rsidR="007A5645">
              <w:rPr>
                <w:rFonts w:asciiTheme="minorHAnsi" w:hAnsiTheme="minorHAnsi"/>
                <w:noProof/>
              </w:rPr>
              <w:tab/>
            </w:r>
            <w:r w:rsidR="007A5645" w:rsidRPr="00963618">
              <w:rPr>
                <w:rStyle w:val="Hyperlink"/>
              </w:rPr>
              <w:t>Scope</w:t>
            </w:r>
            <w:r w:rsidR="007A5645">
              <w:tab/>
            </w:r>
            <w:r w:rsidR="007A5645">
              <w:fldChar w:fldCharType="begin"/>
            </w:r>
            <w:r w:rsidR="007A5645">
              <w:instrText xml:space="preserve"> PAGEREF _Toc256000010 \h </w:instrText>
            </w:r>
            <w:r w:rsidR="007A5645">
              <w:fldChar w:fldCharType="separate"/>
            </w:r>
            <w:r w:rsidR="007A5645">
              <w:t>3</w:t>
            </w:r>
            <w:r w:rsidR="007A5645">
              <w:fldChar w:fldCharType="end"/>
            </w:r>
          </w:hyperlink>
        </w:p>
        <w:p w14:paraId="324C328A" w14:textId="77777777" w:rsidR="00E7154B" w:rsidRDefault="00A45804">
          <w:pPr>
            <w:pStyle w:val="TOC1"/>
            <w:tabs>
              <w:tab w:val="left" w:pos="480"/>
              <w:tab w:val="right" w:leader="dot" w:pos="9016"/>
            </w:tabs>
            <w:rPr>
              <w:rFonts w:asciiTheme="minorHAnsi" w:hAnsiTheme="minorHAnsi"/>
              <w:noProof/>
            </w:rPr>
          </w:pPr>
          <w:hyperlink w:anchor="_Toc256000011" w:history="1">
            <w:r w:rsidR="007A5645">
              <w:rPr>
                <w:rStyle w:val="Hyperlink"/>
              </w:rPr>
              <w:t>3.</w:t>
            </w:r>
            <w:r w:rsidR="007A5645">
              <w:rPr>
                <w:rFonts w:asciiTheme="minorHAnsi" w:hAnsiTheme="minorHAnsi"/>
                <w:noProof/>
              </w:rPr>
              <w:tab/>
            </w:r>
            <w:r w:rsidR="007A5645" w:rsidRPr="001C6539">
              <w:rPr>
                <w:rStyle w:val="Hyperlink"/>
              </w:rPr>
              <w:t>Responsibilities</w:t>
            </w:r>
            <w:r w:rsidR="007A5645">
              <w:tab/>
            </w:r>
            <w:r w:rsidR="007A5645">
              <w:fldChar w:fldCharType="begin"/>
            </w:r>
            <w:r w:rsidR="007A5645">
              <w:instrText xml:space="preserve"> PAGEREF _Toc256000011 \h </w:instrText>
            </w:r>
            <w:r w:rsidR="007A5645">
              <w:fldChar w:fldCharType="separate"/>
            </w:r>
            <w:r w:rsidR="007A5645">
              <w:t>3</w:t>
            </w:r>
            <w:r w:rsidR="007A5645">
              <w:fldChar w:fldCharType="end"/>
            </w:r>
          </w:hyperlink>
        </w:p>
        <w:p w14:paraId="303B9919" w14:textId="77777777" w:rsidR="00E7154B" w:rsidRDefault="00A45804">
          <w:pPr>
            <w:pStyle w:val="TOC1"/>
            <w:tabs>
              <w:tab w:val="left" w:pos="480"/>
              <w:tab w:val="right" w:leader="dot" w:pos="9016"/>
            </w:tabs>
            <w:rPr>
              <w:rFonts w:asciiTheme="minorHAnsi" w:hAnsiTheme="minorHAnsi"/>
              <w:noProof/>
            </w:rPr>
          </w:pPr>
          <w:hyperlink w:anchor="_Toc256000012" w:history="1">
            <w:r w:rsidR="007A5645">
              <w:rPr>
                <w:rStyle w:val="Hyperlink"/>
              </w:rPr>
              <w:t>4.</w:t>
            </w:r>
            <w:r w:rsidR="007A5645">
              <w:rPr>
                <w:rFonts w:asciiTheme="minorHAnsi" w:hAnsiTheme="minorHAnsi"/>
                <w:noProof/>
              </w:rPr>
              <w:tab/>
            </w:r>
            <w:r w:rsidR="007A5645" w:rsidRPr="006E7B19">
              <w:rPr>
                <w:rStyle w:val="Hyperlink"/>
              </w:rPr>
              <w:t>Policy</w:t>
            </w:r>
            <w:r w:rsidR="007A5645">
              <w:tab/>
            </w:r>
            <w:r w:rsidR="007A5645">
              <w:fldChar w:fldCharType="begin"/>
            </w:r>
            <w:r w:rsidR="007A5645">
              <w:instrText xml:space="preserve"> PAGEREF _Toc256000012 \h </w:instrText>
            </w:r>
            <w:r w:rsidR="007A5645">
              <w:fldChar w:fldCharType="separate"/>
            </w:r>
            <w:r w:rsidR="007A5645">
              <w:t>3</w:t>
            </w:r>
            <w:r w:rsidR="007A5645">
              <w:fldChar w:fldCharType="end"/>
            </w:r>
          </w:hyperlink>
        </w:p>
        <w:p w14:paraId="796D1A10" w14:textId="77777777" w:rsidR="00E7154B" w:rsidRDefault="00A45804">
          <w:pPr>
            <w:pStyle w:val="TOC1"/>
            <w:tabs>
              <w:tab w:val="left" w:pos="480"/>
              <w:tab w:val="right" w:leader="dot" w:pos="9016"/>
            </w:tabs>
            <w:rPr>
              <w:rFonts w:asciiTheme="minorHAnsi" w:hAnsiTheme="minorHAnsi"/>
              <w:noProof/>
            </w:rPr>
          </w:pPr>
          <w:hyperlink w:anchor="_Toc256000013" w:history="1">
            <w:r w:rsidR="007A5645">
              <w:rPr>
                <w:rStyle w:val="Hyperlink"/>
              </w:rPr>
              <w:t>5.</w:t>
            </w:r>
            <w:r w:rsidR="007A5645">
              <w:rPr>
                <w:rFonts w:asciiTheme="minorHAnsi" w:hAnsiTheme="minorHAnsi"/>
                <w:noProof/>
              </w:rPr>
              <w:tab/>
            </w:r>
            <w:r w:rsidR="007A5645">
              <w:rPr>
                <w:rStyle w:val="Hyperlink"/>
              </w:rPr>
              <w:t>Cross-referenced ISMS Documents</w:t>
            </w:r>
            <w:r w:rsidR="007A5645">
              <w:tab/>
            </w:r>
            <w:r w:rsidR="007A5645">
              <w:fldChar w:fldCharType="begin"/>
            </w:r>
            <w:r w:rsidR="007A5645">
              <w:instrText xml:space="preserve"> PAGEREF _Toc256000013 \h </w:instrText>
            </w:r>
            <w:r w:rsidR="007A5645">
              <w:fldChar w:fldCharType="separate"/>
            </w:r>
            <w:r w:rsidR="007A5645">
              <w:t>3</w:t>
            </w:r>
            <w:r w:rsidR="007A5645">
              <w:fldChar w:fldCharType="end"/>
            </w:r>
          </w:hyperlink>
        </w:p>
        <w:p w14:paraId="698DCAAD" w14:textId="77777777" w:rsidR="00E7154B" w:rsidRDefault="00A45804">
          <w:pPr>
            <w:pStyle w:val="TOC1"/>
            <w:tabs>
              <w:tab w:val="left" w:pos="480"/>
              <w:tab w:val="right" w:leader="dot" w:pos="9016"/>
            </w:tabs>
            <w:rPr>
              <w:rFonts w:asciiTheme="minorHAnsi" w:hAnsiTheme="minorHAnsi"/>
              <w:noProof/>
            </w:rPr>
          </w:pPr>
          <w:hyperlink w:anchor="_Toc256000021" w:history="1">
            <w:r w:rsidR="007A5645">
              <w:rPr>
                <w:rStyle w:val="Hyperlink"/>
              </w:rPr>
              <w:t>6.</w:t>
            </w:r>
            <w:r w:rsidR="007A5645">
              <w:rPr>
                <w:rFonts w:asciiTheme="minorHAnsi" w:hAnsiTheme="minorHAnsi"/>
                <w:noProof/>
              </w:rPr>
              <w:tab/>
            </w:r>
            <w:r w:rsidR="007A5645" w:rsidRPr="00EE55AB">
              <w:rPr>
                <w:rStyle w:val="Hyperlink"/>
              </w:rPr>
              <w:t>Appendices</w:t>
            </w:r>
            <w:r w:rsidR="007A5645">
              <w:tab/>
            </w:r>
            <w:r w:rsidR="007A5645">
              <w:fldChar w:fldCharType="begin"/>
            </w:r>
            <w:r w:rsidR="007A5645">
              <w:instrText xml:space="preserve"> PAGEREF _Toc256000021 \h </w:instrText>
            </w:r>
            <w:r w:rsidR="007A5645">
              <w:fldChar w:fldCharType="separate"/>
            </w:r>
            <w:r w:rsidR="007A5645">
              <w:t>4</w:t>
            </w:r>
            <w:r w:rsidR="007A5645">
              <w:fldChar w:fldCharType="end"/>
            </w:r>
          </w:hyperlink>
        </w:p>
        <w:p w14:paraId="7FA53A37" w14:textId="77777777" w:rsidR="00E7154B" w:rsidRDefault="007A5645" w:rsidP="006735AF">
          <w:pPr>
            <w:pStyle w:val="TOCHeading"/>
            <w:jc w:val="left"/>
          </w:pPr>
          <w:r>
            <w:fldChar w:fldCharType="end"/>
          </w:r>
        </w:p>
      </w:sdtContent>
    </w:sdt>
    <w:p w14:paraId="00B75B5A" w14:textId="77777777" w:rsidR="00BE1CD9" w:rsidRDefault="007A5645" w:rsidP="00BE1CD9">
      <w:pPr>
        <w:pStyle w:val="ISMSHeading1"/>
      </w:pPr>
      <w:r>
        <w:br w:type="page"/>
      </w:r>
      <w:bookmarkStart w:id="0" w:name="_Toc256000004"/>
      <w:bookmarkStart w:id="1" w:name="_Toc256000006"/>
      <w:bookmarkStart w:id="2" w:name="_Toc256000024"/>
      <w:bookmarkStart w:id="3" w:name="_Toc256000016"/>
      <w:bookmarkStart w:id="4" w:name="_Toc256000005"/>
      <w:bookmarkStart w:id="5" w:name="_Toc256000000"/>
      <w:bookmarkStart w:id="6" w:name="_Toc481590127"/>
      <w:bookmarkStart w:id="7" w:name="_Toc490565728"/>
      <w:bookmarkStart w:id="8" w:name="_Toc499732215"/>
      <w:bookmarkStart w:id="9" w:name="_Toc955889"/>
      <w:bookmarkStart w:id="10" w:name="_Toc3190280"/>
      <w:r w:rsidRPr="00F27584">
        <w:lastRenderedPageBreak/>
        <w:t>Purpose</w:t>
      </w:r>
      <w:bookmarkEnd w:id="0"/>
      <w:bookmarkEnd w:id="1"/>
      <w:bookmarkEnd w:id="2"/>
      <w:bookmarkEnd w:id="3"/>
      <w:bookmarkEnd w:id="4"/>
      <w:bookmarkEnd w:id="5"/>
      <w:bookmarkEnd w:id="6"/>
      <w:bookmarkEnd w:id="7"/>
      <w:bookmarkEnd w:id="8"/>
      <w:bookmarkEnd w:id="9"/>
      <w:bookmarkEnd w:id="10"/>
    </w:p>
    <w:p w14:paraId="1538397B" w14:textId="77777777" w:rsidR="008A242B" w:rsidRDefault="007A5645" w:rsidP="00BE1CD9">
      <w:pPr>
        <w:pStyle w:val="ISMSNormal"/>
      </w:pPr>
      <w:r w:rsidRPr="008A242B">
        <w:t>Appropriate procedures should be implemented to ensure compliance with legislative, regulatory and contractual requirements related to intellectual property rights.</w:t>
      </w:r>
    </w:p>
    <w:p w14:paraId="2901D67D" w14:textId="77777777" w:rsidR="008A242B" w:rsidRDefault="00A45804" w:rsidP="00BE1CD9">
      <w:pPr>
        <w:pStyle w:val="ISMSNormal"/>
      </w:pPr>
    </w:p>
    <w:p w14:paraId="468E3E3B" w14:textId="77777777" w:rsidR="0079126C" w:rsidRDefault="007A5645" w:rsidP="0079126C">
      <w:pPr>
        <w:pStyle w:val="ISMSNormal"/>
      </w:pPr>
      <w:r>
        <w:t>The Trustworthy Research Environment (TRE) is committed to protecting the intellectual property (IP) of the TRE and that of collaborators utilising its services. The TRE Service Team are not responsible for ensuring TRE Projects have met the requirements of the University of Manchester’s IP policy, as these checks are carried out by the UoM Research Office. The aim of this policy is only to sign-post research staff towards the University of Manchester IP policy.</w:t>
      </w:r>
    </w:p>
    <w:p w14:paraId="59F64432" w14:textId="77777777" w:rsidR="00202B8B" w:rsidRPr="006E49B5" w:rsidRDefault="00A45804" w:rsidP="00BE1CD9">
      <w:pPr>
        <w:pStyle w:val="ISMSNormal"/>
      </w:pPr>
    </w:p>
    <w:p w14:paraId="57A323C1" w14:textId="77777777" w:rsidR="00BE1CD9" w:rsidRDefault="007A5645" w:rsidP="00BE1CD9">
      <w:pPr>
        <w:pStyle w:val="ISMSHeading1"/>
      </w:pPr>
      <w:bookmarkStart w:id="11" w:name="_Toc256000010"/>
      <w:bookmarkStart w:id="12" w:name="_Toc256000007"/>
      <w:bookmarkStart w:id="13" w:name="_Toc256000025"/>
      <w:bookmarkStart w:id="14" w:name="_Toc256000017"/>
      <w:bookmarkStart w:id="15" w:name="_Toc256000001"/>
      <w:bookmarkStart w:id="16" w:name="_Toc481590128"/>
      <w:bookmarkStart w:id="17" w:name="_Toc490565729"/>
      <w:bookmarkStart w:id="18" w:name="_Toc499732216"/>
      <w:bookmarkStart w:id="19" w:name="_Toc955890"/>
      <w:bookmarkStart w:id="20" w:name="_Toc3190281"/>
      <w:r w:rsidRPr="00963618">
        <w:t>Scope</w:t>
      </w:r>
      <w:bookmarkEnd w:id="11"/>
      <w:bookmarkEnd w:id="12"/>
      <w:bookmarkEnd w:id="13"/>
      <w:bookmarkEnd w:id="14"/>
      <w:bookmarkEnd w:id="15"/>
      <w:bookmarkEnd w:id="16"/>
      <w:bookmarkEnd w:id="17"/>
      <w:bookmarkEnd w:id="18"/>
      <w:bookmarkEnd w:id="19"/>
      <w:bookmarkEnd w:id="20"/>
    </w:p>
    <w:p w14:paraId="289F8B0A" w14:textId="77777777" w:rsidR="00BE1CD9" w:rsidRDefault="007A5645" w:rsidP="00BE1CD9">
      <w:pPr>
        <w:pStyle w:val="ISMSNormal"/>
      </w:pPr>
      <w:r>
        <w:t>All research projects solely hosted within the Trustworthy Research Environment with a Principal Investigator (or co-PI) who is a member of staff at the University of Manchester.</w:t>
      </w:r>
    </w:p>
    <w:p w14:paraId="0BA5D601" w14:textId="77777777" w:rsidR="00202B8B" w:rsidRPr="006E49B5" w:rsidRDefault="00A45804" w:rsidP="00BE1CD9">
      <w:pPr>
        <w:pStyle w:val="ISMSNormal"/>
      </w:pPr>
    </w:p>
    <w:p w14:paraId="740F8FE5" w14:textId="77777777" w:rsidR="00BE1CD9" w:rsidRPr="001C6539" w:rsidRDefault="007A5645" w:rsidP="00BE1CD9">
      <w:pPr>
        <w:pStyle w:val="ISMSHeading1"/>
      </w:pPr>
      <w:bookmarkStart w:id="21" w:name="_Toc256000011"/>
      <w:bookmarkStart w:id="22" w:name="_Toc256000008"/>
      <w:bookmarkStart w:id="23" w:name="_Toc256000026"/>
      <w:bookmarkStart w:id="24" w:name="_Toc256000018"/>
      <w:bookmarkStart w:id="25" w:name="_Toc256000002"/>
      <w:bookmarkStart w:id="26" w:name="_Toc481590129"/>
      <w:bookmarkStart w:id="27" w:name="_Toc490565730"/>
      <w:bookmarkStart w:id="28" w:name="_Toc499732217"/>
      <w:bookmarkStart w:id="29" w:name="_Toc955891"/>
      <w:bookmarkStart w:id="30" w:name="_Toc3190282"/>
      <w:r w:rsidRPr="001C6539">
        <w:t>Responsibilities</w:t>
      </w:r>
      <w:bookmarkEnd w:id="21"/>
      <w:bookmarkEnd w:id="22"/>
      <w:bookmarkEnd w:id="23"/>
      <w:bookmarkEnd w:id="24"/>
      <w:bookmarkEnd w:id="25"/>
      <w:bookmarkEnd w:id="26"/>
      <w:bookmarkEnd w:id="27"/>
      <w:bookmarkEnd w:id="28"/>
      <w:bookmarkEnd w:id="29"/>
      <w:bookmarkEnd w:id="30"/>
    </w:p>
    <w:p w14:paraId="1410327D" w14:textId="77777777" w:rsidR="00BE1CD9" w:rsidRDefault="007A5645" w:rsidP="00BE1CD9">
      <w:pPr>
        <w:pStyle w:val="ISMSNormal"/>
      </w:pPr>
      <w:r>
        <w:t>There are no additional responsibilities for this policy</w:t>
      </w:r>
    </w:p>
    <w:p w14:paraId="4C6DA746" w14:textId="77777777" w:rsidR="00202B8B" w:rsidRPr="006E49B5" w:rsidRDefault="00A45804" w:rsidP="00BE1CD9">
      <w:pPr>
        <w:pStyle w:val="ISMSNormal"/>
      </w:pPr>
    </w:p>
    <w:p w14:paraId="25B6F54F" w14:textId="77777777" w:rsidR="00BE1CD9" w:rsidRDefault="007A5645" w:rsidP="00BE1CD9">
      <w:pPr>
        <w:pStyle w:val="ISMSHeading1"/>
      </w:pPr>
      <w:bookmarkStart w:id="31" w:name="_Toc256000012"/>
      <w:bookmarkStart w:id="32" w:name="_Toc256000009"/>
      <w:bookmarkStart w:id="33" w:name="_Toc256000027"/>
      <w:bookmarkStart w:id="34" w:name="_Toc256000019"/>
      <w:bookmarkStart w:id="35" w:name="_Toc256000003"/>
      <w:bookmarkStart w:id="36" w:name="_Toc481590130"/>
      <w:bookmarkStart w:id="37" w:name="_Toc490565731"/>
      <w:bookmarkStart w:id="38" w:name="_Toc499732218"/>
      <w:bookmarkStart w:id="39" w:name="_Toc955892"/>
      <w:bookmarkStart w:id="40" w:name="_Toc3190283"/>
      <w:r w:rsidRPr="006E7B19">
        <w:t>Policy</w:t>
      </w:r>
      <w:bookmarkEnd w:id="31"/>
      <w:bookmarkEnd w:id="32"/>
      <w:bookmarkEnd w:id="33"/>
      <w:bookmarkEnd w:id="34"/>
      <w:bookmarkEnd w:id="35"/>
      <w:bookmarkEnd w:id="36"/>
      <w:bookmarkEnd w:id="37"/>
      <w:bookmarkEnd w:id="38"/>
      <w:bookmarkEnd w:id="39"/>
      <w:bookmarkEnd w:id="40"/>
    </w:p>
    <w:p w14:paraId="76ED991C" w14:textId="77777777" w:rsidR="00202B8B" w:rsidRDefault="007A5645" w:rsidP="00202B8B">
      <w:pPr>
        <w:pStyle w:val="ISMSNormal"/>
      </w:pPr>
      <w:r>
        <w:t>The PI of each project that hosts its data analysis in the Trustworthy Research Environment should respect the local intellectual property regulations.</w:t>
      </w:r>
    </w:p>
    <w:p w14:paraId="1417B6F8" w14:textId="77777777" w:rsidR="00202B8B" w:rsidRDefault="00A45804" w:rsidP="00202B8B">
      <w:pPr>
        <w:pStyle w:val="ISMSNormal"/>
      </w:pPr>
    </w:p>
    <w:p w14:paraId="6CD2FBDE" w14:textId="77777777" w:rsidR="00BE1CD9" w:rsidRDefault="007A5645" w:rsidP="00BE1CD9">
      <w:pPr>
        <w:pStyle w:val="ISMSNormal"/>
      </w:pPr>
      <w:r>
        <w:t>The TRE, being part of the University of Manchester, is subject to the Intellectual Property Policy as developed and managed by UMIP, a division of UMI</w:t>
      </w:r>
      <w:r w:rsidRPr="000F480C">
        <w:rPr>
          <w:vertAlign w:val="superscript"/>
        </w:rPr>
        <w:t>3</w:t>
      </w:r>
      <w:r>
        <w:t xml:space="preserve"> Ltd which is The University of Manchester’s agent for Intellectual Property commercialization. Their website and further resources covering many aspects of IP awareness and</w:t>
      </w:r>
      <w:r w:rsidRPr="007816C7">
        <w:rPr>
          <w:lang w:val="en-GB"/>
        </w:rPr>
        <w:t xml:space="preserve"> commercialisation</w:t>
      </w:r>
      <w:r>
        <w:t xml:space="preserve"> may be found at: </w:t>
      </w:r>
      <w:hyperlink r:id="rId10" w:history="1">
        <w:r>
          <w:rPr>
            <w:rStyle w:val="Hyperlink"/>
          </w:rPr>
          <w:t>UMIP</w:t>
        </w:r>
      </w:hyperlink>
    </w:p>
    <w:p w14:paraId="75156131" w14:textId="77777777" w:rsidR="00BE1CD9" w:rsidRDefault="00A45804" w:rsidP="00BE1CD9">
      <w:pPr>
        <w:pStyle w:val="ISMSNormal"/>
      </w:pPr>
    </w:p>
    <w:p w14:paraId="503E8438" w14:textId="77777777" w:rsidR="00BE1CD9" w:rsidRDefault="007A5645" w:rsidP="00BE1CD9">
      <w:pPr>
        <w:pStyle w:val="ISMSNormal"/>
        <w:jc w:val="left"/>
      </w:pPr>
      <w:r>
        <w:t xml:space="preserve">The full IP policy can be found at: </w:t>
      </w:r>
      <w:hyperlink r:id="rId11" w:history="1">
        <w:r>
          <w:rPr>
            <w:rStyle w:val="Hyperlink"/>
          </w:rPr>
          <w:t>The University of Manchester Intellectual Property Policy</w:t>
        </w:r>
      </w:hyperlink>
    </w:p>
    <w:p w14:paraId="09633615" w14:textId="77777777" w:rsidR="00BE1CD9" w:rsidRDefault="00A45804" w:rsidP="00BE1CD9">
      <w:pPr>
        <w:pStyle w:val="ISMSNormal"/>
      </w:pPr>
    </w:p>
    <w:p w14:paraId="3E1E8006" w14:textId="77777777" w:rsidR="00BE1CD9" w:rsidRDefault="007A5645" w:rsidP="00BE1CD9">
      <w:pPr>
        <w:pStyle w:val="ISMSNormal"/>
        <w:jc w:val="left"/>
      </w:pPr>
      <w:r>
        <w:t xml:space="preserve">The contact list for requesting IP advice is located at: </w:t>
      </w:r>
      <w:hyperlink r:id="rId12" w:history="1">
        <w:r>
          <w:rPr>
            <w:rStyle w:val="Hyperlink"/>
          </w:rPr>
          <w:t>Your UMIP Contacts</w:t>
        </w:r>
      </w:hyperlink>
    </w:p>
    <w:p w14:paraId="33222917" w14:textId="77777777" w:rsidR="00BE1CD9" w:rsidRPr="00232804" w:rsidRDefault="00A45804" w:rsidP="00BE1CD9">
      <w:pPr>
        <w:pStyle w:val="ISMSNormal"/>
        <w:rPr>
          <w:b/>
        </w:rPr>
      </w:pPr>
    </w:p>
    <w:p w14:paraId="408F3910" w14:textId="77777777" w:rsidR="00BE1CD9" w:rsidRDefault="007A5645" w:rsidP="00BE1CD9">
      <w:pPr>
        <w:pStyle w:val="ISMSNormal"/>
      </w:pPr>
      <w:r>
        <w:t xml:space="preserve">Further information related to multi-institutional research projects can be found at: </w:t>
      </w:r>
      <w:hyperlink r:id="rId13" w:history="1">
        <w:r>
          <w:rPr>
            <w:rStyle w:val="Hyperlink"/>
          </w:rPr>
          <w:t>How UMIP Works With Other University Offices</w:t>
        </w:r>
      </w:hyperlink>
      <w:r>
        <w:t>.</w:t>
      </w:r>
    </w:p>
    <w:p w14:paraId="518CEF42" w14:textId="77777777" w:rsidR="00BE1CD9" w:rsidRPr="0069169B" w:rsidRDefault="00A45804" w:rsidP="00BE1CD9">
      <w:pPr>
        <w:pStyle w:val="ISMSNormal"/>
      </w:pPr>
    </w:p>
    <w:p w14:paraId="26C385A7" w14:textId="77777777" w:rsidR="004842D6" w:rsidRPr="006735AF" w:rsidRDefault="007A5645" w:rsidP="00203D50">
      <w:pPr>
        <w:pStyle w:val="ISMSHeading1"/>
      </w:pPr>
      <w:bookmarkStart w:id="41" w:name="_Toc256000013"/>
      <w:bookmarkStart w:id="42" w:name="_Toc256000032"/>
      <w:bookmarkStart w:id="43" w:name="_Toc256000030"/>
      <w:bookmarkStart w:id="44" w:name="_Toc256000022"/>
      <w:bookmarkStart w:id="45" w:name="_Toc256000014"/>
      <w:bookmarkStart w:id="46" w:name="_Toc481590134"/>
      <w:bookmarkStart w:id="47" w:name="_Toc490565735"/>
      <w:bookmarkStart w:id="48" w:name="_Toc499732221"/>
      <w:bookmarkStart w:id="49" w:name="_Toc955895"/>
      <w:bookmarkStart w:id="50" w:name="_Toc3190284"/>
      <w:r>
        <w:t>Cross-referenced ISMS Documents</w:t>
      </w:r>
      <w:bookmarkEnd w:id="41"/>
      <w:bookmarkEnd w:id="42"/>
      <w:bookmarkEnd w:id="43"/>
      <w:bookmarkEnd w:id="44"/>
      <w:bookmarkEnd w:id="45"/>
      <w:bookmarkEnd w:id="46"/>
      <w:bookmarkEnd w:id="47"/>
      <w:bookmarkEnd w:id="48"/>
      <w:bookmarkEnd w:id="49"/>
      <w:bookmarkEnd w:id="50"/>
      <w:r w:rsidRPr="004842D6">
        <w:t xml:space="preserve"> </w:t>
      </w:r>
    </w:p>
    <w:sdt>
      <w:sdtPr>
        <w:tag w:val="QPulse_DocRelatedDocuments"/>
        <w:id w:val="1847589156"/>
        <w:lock w:val="contentLocked"/>
      </w:sdtPr>
      <w:sdtEndPr/>
      <w:sdtContent>
        <w:p w14:paraId="35EB26DE" w14:textId="77777777" w:rsidR="004842D6" w:rsidRDefault="00A45804" w:rsidP="00203D50"/>
        <w:tbl>
          <w:tblPr>
            <w:tblStyle w:val="TableProfessional"/>
            <w:tblW w:w="0" w:type="auto"/>
            <w:tblLayout w:type="fixed"/>
            <w:tblLook w:val="04A0" w:firstRow="1" w:lastRow="0" w:firstColumn="1" w:lastColumn="0" w:noHBand="0" w:noVBand="1"/>
          </w:tblPr>
          <w:tblGrid>
            <w:gridCol w:w="3080"/>
            <w:gridCol w:w="3081"/>
            <w:gridCol w:w="3081"/>
          </w:tblGrid>
          <w:tr w:rsidR="00E7154B" w14:paraId="3A4B916F" w14:textId="77777777" w:rsidTr="00E7154B">
            <w:trPr>
              <w:cnfStyle w:val="100000000000" w:firstRow="1" w:lastRow="0" w:firstColumn="0" w:lastColumn="0" w:oddVBand="0" w:evenVBand="0" w:oddHBand="0" w:evenHBand="0" w:firstRowFirstColumn="0" w:firstRowLastColumn="0" w:lastRowFirstColumn="0" w:lastRowLastColumn="0"/>
            </w:trPr>
            <w:tc>
              <w:tcPr>
                <w:tcW w:w="3080" w:type="dxa"/>
              </w:tcPr>
              <w:p w14:paraId="193EEC44" w14:textId="77777777" w:rsidR="004842D6" w:rsidRPr="007B0619" w:rsidRDefault="007A5645" w:rsidP="00203D50">
                <w:r>
                  <w:t>Number</w:t>
                </w:r>
              </w:p>
            </w:tc>
            <w:tc>
              <w:tcPr>
                <w:tcW w:w="3081" w:type="dxa"/>
              </w:tcPr>
              <w:p w14:paraId="1DFAA979" w14:textId="77777777" w:rsidR="004842D6" w:rsidRPr="007B0619" w:rsidRDefault="007A5645" w:rsidP="00203D50">
                <w:r>
                  <w:t>Type</w:t>
                </w:r>
              </w:p>
            </w:tc>
            <w:tc>
              <w:tcPr>
                <w:tcW w:w="3081" w:type="dxa"/>
              </w:tcPr>
              <w:p w14:paraId="34444659" w14:textId="77777777" w:rsidR="004842D6" w:rsidRPr="007B0619" w:rsidRDefault="007A5645" w:rsidP="00203D50">
                <w:r>
                  <w:t>Title</w:t>
                </w:r>
              </w:p>
            </w:tc>
          </w:tr>
          <w:tr w:rsidR="00E7154B" w14:paraId="39652D8C" w14:textId="77777777" w:rsidTr="00E71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01725A5" w14:textId="77777777" w:rsidR="00E7154B" w:rsidRDefault="007A5645">
                <w:r>
                  <w:t>SOP-05-01</w:t>
                </w:r>
              </w:p>
            </w:tc>
            <w:tc>
              <w:tcPr>
                <w:tcW w:w="360" w:type="dxa"/>
              </w:tcPr>
              <w:p w14:paraId="130BE803" w14:textId="77777777" w:rsidR="00E7154B" w:rsidRDefault="007A5645">
                <w:r>
                  <w:t>ISMS\SOP\Asset and Supplier Management - SOP</w:t>
                </w:r>
              </w:p>
            </w:tc>
            <w:tc>
              <w:tcPr>
                <w:tcW w:w="360" w:type="dxa"/>
              </w:tcPr>
              <w:p w14:paraId="4AD06FFE" w14:textId="77777777" w:rsidR="00E7154B" w:rsidRDefault="007A5645">
                <w:r>
                  <w:t>Bringing Assets into the TRE</w:t>
                </w:r>
              </w:p>
            </w:tc>
          </w:tr>
        </w:tbl>
        <w:p w14:paraId="7991260D" w14:textId="77777777" w:rsidR="004842D6" w:rsidRDefault="00A45804" w:rsidP="00203D50"/>
      </w:sdtContent>
    </w:sdt>
    <w:p w14:paraId="506DCAE4" w14:textId="77777777" w:rsidR="00BE1CD9" w:rsidRPr="00232804" w:rsidRDefault="00A45804" w:rsidP="004842D6">
      <w:pPr>
        <w:pStyle w:val="ISMSHeading1"/>
        <w:numPr>
          <w:ilvl w:val="0"/>
          <w:numId w:val="0"/>
        </w:numPr>
        <w:rPr>
          <w:b w:val="0"/>
        </w:rPr>
      </w:pPr>
    </w:p>
    <w:p w14:paraId="1F0D6492" w14:textId="77777777" w:rsidR="00BE1CD9" w:rsidRDefault="007A5645" w:rsidP="00BE1CD9">
      <w:pPr>
        <w:pStyle w:val="ISMSHeading1"/>
        <w:rPr>
          <w:rFonts w:cs="Arial"/>
        </w:rPr>
      </w:pPr>
      <w:bookmarkStart w:id="51" w:name="_Toc256000021"/>
      <w:bookmarkStart w:id="52" w:name="_Toc256000034"/>
      <w:bookmarkStart w:id="53" w:name="_Toc256000031"/>
      <w:bookmarkStart w:id="54" w:name="_Toc256000023"/>
      <w:bookmarkStart w:id="55" w:name="_Toc256000015"/>
      <w:bookmarkStart w:id="56" w:name="_Toc481590135"/>
      <w:bookmarkStart w:id="57" w:name="_Toc490565736"/>
      <w:bookmarkStart w:id="58" w:name="_Toc499732222"/>
      <w:bookmarkStart w:id="59" w:name="_Toc955896"/>
      <w:bookmarkStart w:id="60" w:name="_Toc3190285"/>
      <w:r w:rsidRPr="00EE55AB">
        <w:t>Appendices</w:t>
      </w:r>
      <w:bookmarkEnd w:id="51"/>
      <w:bookmarkEnd w:id="52"/>
      <w:bookmarkEnd w:id="53"/>
      <w:bookmarkEnd w:id="54"/>
      <w:bookmarkEnd w:id="55"/>
      <w:bookmarkEnd w:id="56"/>
      <w:bookmarkEnd w:id="57"/>
      <w:bookmarkEnd w:id="58"/>
      <w:bookmarkEnd w:id="59"/>
      <w:bookmarkEnd w:id="60"/>
    </w:p>
    <w:p w14:paraId="5FD8036A" w14:textId="77777777" w:rsidR="00BE1CD9" w:rsidRPr="00614C28" w:rsidRDefault="007A5645" w:rsidP="00BE1CD9">
      <w:pPr>
        <w:pStyle w:val="ISMSNormal"/>
        <w:rPr>
          <w:lang w:val="en-GB"/>
        </w:rPr>
      </w:pPr>
      <w:r w:rsidRPr="00EE55AB">
        <w:t>None</w:t>
      </w:r>
    </w:p>
    <w:p w14:paraId="7D07D332" w14:textId="77777777" w:rsidR="002C7566" w:rsidRDefault="00A45804">
      <w:pPr>
        <w:spacing w:after="200" w:line="276" w:lineRule="auto"/>
      </w:pPr>
    </w:p>
    <w:sectPr w:rsidR="002C7566" w:rsidSect="00F6486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69508" w14:textId="77777777" w:rsidR="00A45804" w:rsidRDefault="00A45804">
      <w:r>
        <w:separator/>
      </w:r>
    </w:p>
  </w:endnote>
  <w:endnote w:type="continuationSeparator" w:id="0">
    <w:p w14:paraId="679F244B" w14:textId="77777777" w:rsidR="00A45804" w:rsidRDefault="00A4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FBFC7" w14:textId="77777777" w:rsidR="00FA444A" w:rsidRDefault="00A45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88677" w14:textId="77777777" w:rsidR="008C17CD" w:rsidRDefault="00A45804" w:rsidP="008C17CD">
    <w:pPr>
      <w:pBdr>
        <w:bottom w:val="single" w:sz="6" w:space="1" w:color="auto"/>
      </w:pBdr>
      <w:spacing w:before="60"/>
      <w:rPr>
        <w:rFonts w:asciiTheme="minorHAnsi" w:hAnsiTheme="minorHAnsi" w:cstheme="minorHAnsi"/>
      </w:rPr>
    </w:pPr>
  </w:p>
  <w:p w14:paraId="2AEB568D" w14:textId="77777777" w:rsidR="008C17CD" w:rsidRPr="002E4D92" w:rsidRDefault="007A5645"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ISMS-05-10</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Intellectual Property Policy</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1.6</w:t>
    </w:r>
    <w:r w:rsidRPr="002E4D92">
      <w:rPr>
        <w:rFonts w:cstheme="minorHAnsi"/>
      </w:rPr>
      <w:fldChar w:fldCharType="end"/>
    </w:r>
    <w:r w:rsidRPr="002E4D92">
      <w:rPr>
        <w:rStyle w:val="PageNumber"/>
        <w:rFonts w:cstheme="minorHAnsi"/>
      </w:rPr>
      <w:t xml:space="preserve"> </w:t>
    </w:r>
  </w:p>
  <w:p w14:paraId="21643877" w14:textId="77777777" w:rsidR="008C17CD" w:rsidRPr="002E4D92" w:rsidRDefault="007A5645"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11 Mar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4</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99CF" w14:textId="77777777" w:rsidR="00FA444A" w:rsidRDefault="00A4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01E53" w14:textId="77777777" w:rsidR="00A45804" w:rsidRDefault="00A45804">
      <w:r>
        <w:separator/>
      </w:r>
    </w:p>
  </w:footnote>
  <w:footnote w:type="continuationSeparator" w:id="0">
    <w:p w14:paraId="1C2EBC5C" w14:textId="77777777" w:rsidR="00A45804" w:rsidRDefault="00A45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CB297" w14:textId="77777777" w:rsidR="002E4D92" w:rsidRDefault="00A45804">
    <w:pPr>
      <w:pStyle w:val="Header"/>
    </w:pPr>
    <w:r>
      <w:rPr>
        <w:noProof/>
      </w:rPr>
      <w:pict w14:anchorId="328DCE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530E" w14:textId="77777777" w:rsidR="002E4D92" w:rsidRDefault="00A45804">
    <w:pPr>
      <w:pStyle w:val="Header"/>
    </w:pPr>
    <w:r>
      <w:rPr>
        <w:noProof/>
      </w:rPr>
      <w:pict w14:anchorId="11EEF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2DB4F" w14:textId="77777777" w:rsidR="002E4D92" w:rsidRDefault="00A45804">
    <w:pPr>
      <w:pStyle w:val="Header"/>
    </w:pPr>
    <w:r>
      <w:rPr>
        <w:noProof/>
      </w:rPr>
      <w:pict w14:anchorId="2E2C27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B97F68"/>
    <w:multiLevelType w:val="hybridMultilevel"/>
    <w:tmpl w:val="95D6DBDA"/>
    <w:lvl w:ilvl="0" w:tplc="79148E0C">
      <w:numFmt w:val="bullet"/>
      <w:lvlText w:val="-"/>
      <w:lvlJc w:val="left"/>
      <w:pPr>
        <w:ind w:left="420" w:hanging="360"/>
      </w:pPr>
      <w:rPr>
        <w:rFonts w:ascii="Arial" w:eastAsia="Times New Roman" w:hAnsi="Arial" w:cs="Arial" w:hint="default"/>
      </w:rPr>
    </w:lvl>
    <w:lvl w:ilvl="1" w:tplc="EB5CB6A4" w:tentative="1">
      <w:start w:val="1"/>
      <w:numFmt w:val="bullet"/>
      <w:lvlText w:val="o"/>
      <w:lvlJc w:val="left"/>
      <w:pPr>
        <w:ind w:left="1140" w:hanging="360"/>
      </w:pPr>
      <w:rPr>
        <w:rFonts w:ascii="Courier New" w:hAnsi="Courier New" w:cs="Courier New" w:hint="default"/>
      </w:rPr>
    </w:lvl>
    <w:lvl w:ilvl="2" w:tplc="61FC5BEC" w:tentative="1">
      <w:start w:val="1"/>
      <w:numFmt w:val="bullet"/>
      <w:lvlText w:val=""/>
      <w:lvlJc w:val="left"/>
      <w:pPr>
        <w:ind w:left="1860" w:hanging="360"/>
      </w:pPr>
      <w:rPr>
        <w:rFonts w:ascii="Wingdings" w:hAnsi="Wingdings" w:hint="default"/>
      </w:rPr>
    </w:lvl>
    <w:lvl w:ilvl="3" w:tplc="07EC3144" w:tentative="1">
      <w:start w:val="1"/>
      <w:numFmt w:val="bullet"/>
      <w:lvlText w:val=""/>
      <w:lvlJc w:val="left"/>
      <w:pPr>
        <w:ind w:left="2580" w:hanging="360"/>
      </w:pPr>
      <w:rPr>
        <w:rFonts w:ascii="Symbol" w:hAnsi="Symbol" w:hint="default"/>
      </w:rPr>
    </w:lvl>
    <w:lvl w:ilvl="4" w:tplc="4A6C8902" w:tentative="1">
      <w:start w:val="1"/>
      <w:numFmt w:val="bullet"/>
      <w:lvlText w:val="o"/>
      <w:lvlJc w:val="left"/>
      <w:pPr>
        <w:ind w:left="3300" w:hanging="360"/>
      </w:pPr>
      <w:rPr>
        <w:rFonts w:ascii="Courier New" w:hAnsi="Courier New" w:cs="Courier New" w:hint="default"/>
      </w:rPr>
    </w:lvl>
    <w:lvl w:ilvl="5" w:tplc="8B420C7C" w:tentative="1">
      <w:start w:val="1"/>
      <w:numFmt w:val="bullet"/>
      <w:lvlText w:val=""/>
      <w:lvlJc w:val="left"/>
      <w:pPr>
        <w:ind w:left="4020" w:hanging="360"/>
      </w:pPr>
      <w:rPr>
        <w:rFonts w:ascii="Wingdings" w:hAnsi="Wingdings" w:hint="default"/>
      </w:rPr>
    </w:lvl>
    <w:lvl w:ilvl="6" w:tplc="36943A7A" w:tentative="1">
      <w:start w:val="1"/>
      <w:numFmt w:val="bullet"/>
      <w:lvlText w:val=""/>
      <w:lvlJc w:val="left"/>
      <w:pPr>
        <w:ind w:left="4740" w:hanging="360"/>
      </w:pPr>
      <w:rPr>
        <w:rFonts w:ascii="Symbol" w:hAnsi="Symbol" w:hint="default"/>
      </w:rPr>
    </w:lvl>
    <w:lvl w:ilvl="7" w:tplc="B6AC5922" w:tentative="1">
      <w:start w:val="1"/>
      <w:numFmt w:val="bullet"/>
      <w:lvlText w:val="o"/>
      <w:lvlJc w:val="left"/>
      <w:pPr>
        <w:ind w:left="5460" w:hanging="360"/>
      </w:pPr>
      <w:rPr>
        <w:rFonts w:ascii="Courier New" w:hAnsi="Courier New" w:cs="Courier New" w:hint="default"/>
      </w:rPr>
    </w:lvl>
    <w:lvl w:ilvl="8" w:tplc="C87CB34C" w:tentative="1">
      <w:start w:val="1"/>
      <w:numFmt w:val="bullet"/>
      <w:lvlText w:val=""/>
      <w:lvlJc w:val="left"/>
      <w:pPr>
        <w:ind w:left="6180" w:hanging="360"/>
      </w:pPr>
      <w:rPr>
        <w:rFonts w:ascii="Wingdings" w:hAnsi="Wingdings" w:hint="default"/>
      </w:rPr>
    </w:lvl>
  </w:abstractNum>
  <w:abstractNum w:abstractNumId="2" w15:restartNumberingAfterBreak="0">
    <w:nsid w:val="3B5A34E2"/>
    <w:multiLevelType w:val="hybridMultilevel"/>
    <w:tmpl w:val="C19E5E3A"/>
    <w:lvl w:ilvl="0" w:tplc="7780F346">
      <w:start w:val="5"/>
      <w:numFmt w:val="bullet"/>
      <w:lvlText w:val="-"/>
      <w:lvlJc w:val="left"/>
      <w:pPr>
        <w:ind w:left="720" w:hanging="360"/>
      </w:pPr>
      <w:rPr>
        <w:rFonts w:ascii="Arial" w:eastAsia="Times New Roman" w:hAnsi="Arial" w:cs="Arial" w:hint="default"/>
      </w:rPr>
    </w:lvl>
    <w:lvl w:ilvl="1" w:tplc="75CA43D8" w:tentative="1">
      <w:start w:val="1"/>
      <w:numFmt w:val="bullet"/>
      <w:lvlText w:val="o"/>
      <w:lvlJc w:val="left"/>
      <w:pPr>
        <w:ind w:left="1440" w:hanging="360"/>
      </w:pPr>
      <w:rPr>
        <w:rFonts w:ascii="Courier New" w:hAnsi="Courier New" w:cs="Courier New" w:hint="default"/>
      </w:rPr>
    </w:lvl>
    <w:lvl w:ilvl="2" w:tplc="4058C9B4" w:tentative="1">
      <w:start w:val="1"/>
      <w:numFmt w:val="bullet"/>
      <w:lvlText w:val=""/>
      <w:lvlJc w:val="left"/>
      <w:pPr>
        <w:ind w:left="2160" w:hanging="360"/>
      </w:pPr>
      <w:rPr>
        <w:rFonts w:ascii="Wingdings" w:hAnsi="Wingdings" w:hint="default"/>
      </w:rPr>
    </w:lvl>
    <w:lvl w:ilvl="3" w:tplc="B3EAAC9A" w:tentative="1">
      <w:start w:val="1"/>
      <w:numFmt w:val="bullet"/>
      <w:lvlText w:val=""/>
      <w:lvlJc w:val="left"/>
      <w:pPr>
        <w:ind w:left="2880" w:hanging="360"/>
      </w:pPr>
      <w:rPr>
        <w:rFonts w:ascii="Symbol" w:hAnsi="Symbol" w:hint="default"/>
      </w:rPr>
    </w:lvl>
    <w:lvl w:ilvl="4" w:tplc="0972C4EE" w:tentative="1">
      <w:start w:val="1"/>
      <w:numFmt w:val="bullet"/>
      <w:lvlText w:val="o"/>
      <w:lvlJc w:val="left"/>
      <w:pPr>
        <w:ind w:left="3600" w:hanging="360"/>
      </w:pPr>
      <w:rPr>
        <w:rFonts w:ascii="Courier New" w:hAnsi="Courier New" w:cs="Courier New" w:hint="default"/>
      </w:rPr>
    </w:lvl>
    <w:lvl w:ilvl="5" w:tplc="7FBE0B9A" w:tentative="1">
      <w:start w:val="1"/>
      <w:numFmt w:val="bullet"/>
      <w:lvlText w:val=""/>
      <w:lvlJc w:val="left"/>
      <w:pPr>
        <w:ind w:left="4320" w:hanging="360"/>
      </w:pPr>
      <w:rPr>
        <w:rFonts w:ascii="Wingdings" w:hAnsi="Wingdings" w:hint="default"/>
      </w:rPr>
    </w:lvl>
    <w:lvl w:ilvl="6" w:tplc="5D62FC02" w:tentative="1">
      <w:start w:val="1"/>
      <w:numFmt w:val="bullet"/>
      <w:lvlText w:val=""/>
      <w:lvlJc w:val="left"/>
      <w:pPr>
        <w:ind w:left="5040" w:hanging="360"/>
      </w:pPr>
      <w:rPr>
        <w:rFonts w:ascii="Symbol" w:hAnsi="Symbol" w:hint="default"/>
      </w:rPr>
    </w:lvl>
    <w:lvl w:ilvl="7" w:tplc="93C67AC8" w:tentative="1">
      <w:start w:val="1"/>
      <w:numFmt w:val="bullet"/>
      <w:lvlText w:val="o"/>
      <w:lvlJc w:val="left"/>
      <w:pPr>
        <w:ind w:left="5760" w:hanging="360"/>
      </w:pPr>
      <w:rPr>
        <w:rFonts w:ascii="Courier New" w:hAnsi="Courier New" w:cs="Courier New" w:hint="default"/>
      </w:rPr>
    </w:lvl>
    <w:lvl w:ilvl="8" w:tplc="AF468DBE"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E544F4FE">
      <w:start w:val="1"/>
      <w:numFmt w:val="decimal"/>
      <w:pStyle w:val="Heading2"/>
      <w:lvlText w:val="%1."/>
      <w:lvlJc w:val="left"/>
      <w:pPr>
        <w:ind w:left="5760" w:hanging="360"/>
      </w:pPr>
    </w:lvl>
    <w:lvl w:ilvl="1" w:tplc="6088B392" w:tentative="1">
      <w:start w:val="1"/>
      <w:numFmt w:val="lowerLetter"/>
      <w:lvlText w:val="%2."/>
      <w:lvlJc w:val="left"/>
      <w:pPr>
        <w:ind w:left="6480" w:hanging="360"/>
      </w:pPr>
    </w:lvl>
    <w:lvl w:ilvl="2" w:tplc="828A89D0" w:tentative="1">
      <w:start w:val="1"/>
      <w:numFmt w:val="lowerRoman"/>
      <w:lvlText w:val="%3."/>
      <w:lvlJc w:val="right"/>
      <w:pPr>
        <w:ind w:left="7200" w:hanging="180"/>
      </w:pPr>
    </w:lvl>
    <w:lvl w:ilvl="3" w:tplc="51023912" w:tentative="1">
      <w:start w:val="1"/>
      <w:numFmt w:val="decimal"/>
      <w:lvlText w:val="%4."/>
      <w:lvlJc w:val="left"/>
      <w:pPr>
        <w:ind w:left="7920" w:hanging="360"/>
      </w:pPr>
    </w:lvl>
    <w:lvl w:ilvl="4" w:tplc="E62CE442" w:tentative="1">
      <w:start w:val="1"/>
      <w:numFmt w:val="lowerLetter"/>
      <w:lvlText w:val="%5."/>
      <w:lvlJc w:val="left"/>
      <w:pPr>
        <w:ind w:left="8640" w:hanging="360"/>
      </w:pPr>
    </w:lvl>
    <w:lvl w:ilvl="5" w:tplc="3D6819BA" w:tentative="1">
      <w:start w:val="1"/>
      <w:numFmt w:val="lowerRoman"/>
      <w:lvlText w:val="%6."/>
      <w:lvlJc w:val="right"/>
      <w:pPr>
        <w:ind w:left="9360" w:hanging="180"/>
      </w:pPr>
    </w:lvl>
    <w:lvl w:ilvl="6" w:tplc="3FFC303A" w:tentative="1">
      <w:start w:val="1"/>
      <w:numFmt w:val="decimal"/>
      <w:lvlText w:val="%7."/>
      <w:lvlJc w:val="left"/>
      <w:pPr>
        <w:ind w:left="10080" w:hanging="360"/>
      </w:pPr>
    </w:lvl>
    <w:lvl w:ilvl="7" w:tplc="849E4254" w:tentative="1">
      <w:start w:val="1"/>
      <w:numFmt w:val="lowerLetter"/>
      <w:lvlText w:val="%8."/>
      <w:lvlJc w:val="left"/>
      <w:pPr>
        <w:ind w:left="10800" w:hanging="360"/>
      </w:pPr>
    </w:lvl>
    <w:lvl w:ilvl="8" w:tplc="24343B2A"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38904ED6">
      <w:start w:val="1"/>
      <w:numFmt w:val="bullet"/>
      <w:lvlText w:val=""/>
      <w:lvlJc w:val="left"/>
      <w:pPr>
        <w:ind w:left="720" w:hanging="360"/>
      </w:pPr>
      <w:rPr>
        <w:rFonts w:ascii="Symbol" w:hAnsi="Symbol" w:hint="default"/>
      </w:rPr>
    </w:lvl>
    <w:lvl w:ilvl="1" w:tplc="E1C4CF4E" w:tentative="1">
      <w:start w:val="1"/>
      <w:numFmt w:val="bullet"/>
      <w:lvlText w:val="o"/>
      <w:lvlJc w:val="left"/>
      <w:pPr>
        <w:ind w:left="1440" w:hanging="360"/>
      </w:pPr>
      <w:rPr>
        <w:rFonts w:ascii="Courier New" w:hAnsi="Courier New" w:hint="default"/>
      </w:rPr>
    </w:lvl>
    <w:lvl w:ilvl="2" w:tplc="911EA996" w:tentative="1">
      <w:start w:val="1"/>
      <w:numFmt w:val="bullet"/>
      <w:lvlText w:val=""/>
      <w:lvlJc w:val="left"/>
      <w:pPr>
        <w:ind w:left="2160" w:hanging="360"/>
      </w:pPr>
      <w:rPr>
        <w:rFonts w:ascii="Wingdings" w:hAnsi="Wingdings" w:hint="default"/>
      </w:rPr>
    </w:lvl>
    <w:lvl w:ilvl="3" w:tplc="4D9CD750" w:tentative="1">
      <w:start w:val="1"/>
      <w:numFmt w:val="bullet"/>
      <w:lvlText w:val=""/>
      <w:lvlJc w:val="left"/>
      <w:pPr>
        <w:ind w:left="2880" w:hanging="360"/>
      </w:pPr>
      <w:rPr>
        <w:rFonts w:ascii="Symbol" w:hAnsi="Symbol" w:hint="default"/>
      </w:rPr>
    </w:lvl>
    <w:lvl w:ilvl="4" w:tplc="CA36236C" w:tentative="1">
      <w:start w:val="1"/>
      <w:numFmt w:val="bullet"/>
      <w:lvlText w:val="o"/>
      <w:lvlJc w:val="left"/>
      <w:pPr>
        <w:ind w:left="3600" w:hanging="360"/>
      </w:pPr>
      <w:rPr>
        <w:rFonts w:ascii="Courier New" w:hAnsi="Courier New" w:hint="default"/>
      </w:rPr>
    </w:lvl>
    <w:lvl w:ilvl="5" w:tplc="3B88604C" w:tentative="1">
      <w:start w:val="1"/>
      <w:numFmt w:val="bullet"/>
      <w:lvlText w:val=""/>
      <w:lvlJc w:val="left"/>
      <w:pPr>
        <w:ind w:left="4320" w:hanging="360"/>
      </w:pPr>
      <w:rPr>
        <w:rFonts w:ascii="Wingdings" w:hAnsi="Wingdings" w:hint="default"/>
      </w:rPr>
    </w:lvl>
    <w:lvl w:ilvl="6" w:tplc="A5564534" w:tentative="1">
      <w:start w:val="1"/>
      <w:numFmt w:val="bullet"/>
      <w:lvlText w:val=""/>
      <w:lvlJc w:val="left"/>
      <w:pPr>
        <w:ind w:left="5040" w:hanging="360"/>
      </w:pPr>
      <w:rPr>
        <w:rFonts w:ascii="Symbol" w:hAnsi="Symbol" w:hint="default"/>
      </w:rPr>
    </w:lvl>
    <w:lvl w:ilvl="7" w:tplc="5B52E08E" w:tentative="1">
      <w:start w:val="1"/>
      <w:numFmt w:val="bullet"/>
      <w:lvlText w:val="o"/>
      <w:lvlJc w:val="left"/>
      <w:pPr>
        <w:ind w:left="5760" w:hanging="360"/>
      </w:pPr>
      <w:rPr>
        <w:rFonts w:ascii="Courier New" w:hAnsi="Courier New" w:hint="default"/>
      </w:rPr>
    </w:lvl>
    <w:lvl w:ilvl="8" w:tplc="273C8F2C"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ECECA90A">
      <w:start w:val="3"/>
      <w:numFmt w:val="bullet"/>
      <w:lvlText w:val="-"/>
      <w:lvlJc w:val="left"/>
      <w:pPr>
        <w:ind w:left="720" w:hanging="360"/>
      </w:pPr>
      <w:rPr>
        <w:rFonts w:ascii="Arial" w:eastAsia="Times New Roman" w:hAnsi="Arial" w:cs="Arial" w:hint="default"/>
      </w:rPr>
    </w:lvl>
    <w:lvl w:ilvl="1" w:tplc="554C97F4" w:tentative="1">
      <w:start w:val="1"/>
      <w:numFmt w:val="bullet"/>
      <w:lvlText w:val="o"/>
      <w:lvlJc w:val="left"/>
      <w:pPr>
        <w:ind w:left="1440" w:hanging="360"/>
      </w:pPr>
      <w:rPr>
        <w:rFonts w:ascii="Courier New" w:hAnsi="Courier New" w:cs="Courier New" w:hint="default"/>
      </w:rPr>
    </w:lvl>
    <w:lvl w:ilvl="2" w:tplc="E654BDEA" w:tentative="1">
      <w:start w:val="1"/>
      <w:numFmt w:val="bullet"/>
      <w:lvlText w:val=""/>
      <w:lvlJc w:val="left"/>
      <w:pPr>
        <w:ind w:left="2160" w:hanging="360"/>
      </w:pPr>
      <w:rPr>
        <w:rFonts w:ascii="Wingdings" w:hAnsi="Wingdings" w:hint="default"/>
      </w:rPr>
    </w:lvl>
    <w:lvl w:ilvl="3" w:tplc="6C18480E" w:tentative="1">
      <w:start w:val="1"/>
      <w:numFmt w:val="bullet"/>
      <w:lvlText w:val=""/>
      <w:lvlJc w:val="left"/>
      <w:pPr>
        <w:ind w:left="2880" w:hanging="360"/>
      </w:pPr>
      <w:rPr>
        <w:rFonts w:ascii="Symbol" w:hAnsi="Symbol" w:hint="default"/>
      </w:rPr>
    </w:lvl>
    <w:lvl w:ilvl="4" w:tplc="D272FBD2" w:tentative="1">
      <w:start w:val="1"/>
      <w:numFmt w:val="bullet"/>
      <w:lvlText w:val="o"/>
      <w:lvlJc w:val="left"/>
      <w:pPr>
        <w:ind w:left="3600" w:hanging="360"/>
      </w:pPr>
      <w:rPr>
        <w:rFonts w:ascii="Courier New" w:hAnsi="Courier New" w:cs="Courier New" w:hint="default"/>
      </w:rPr>
    </w:lvl>
    <w:lvl w:ilvl="5" w:tplc="3A3A1ED2" w:tentative="1">
      <w:start w:val="1"/>
      <w:numFmt w:val="bullet"/>
      <w:lvlText w:val=""/>
      <w:lvlJc w:val="left"/>
      <w:pPr>
        <w:ind w:left="4320" w:hanging="360"/>
      </w:pPr>
      <w:rPr>
        <w:rFonts w:ascii="Wingdings" w:hAnsi="Wingdings" w:hint="default"/>
      </w:rPr>
    </w:lvl>
    <w:lvl w:ilvl="6" w:tplc="CEFC2D7E" w:tentative="1">
      <w:start w:val="1"/>
      <w:numFmt w:val="bullet"/>
      <w:lvlText w:val=""/>
      <w:lvlJc w:val="left"/>
      <w:pPr>
        <w:ind w:left="5040" w:hanging="360"/>
      </w:pPr>
      <w:rPr>
        <w:rFonts w:ascii="Symbol" w:hAnsi="Symbol" w:hint="default"/>
      </w:rPr>
    </w:lvl>
    <w:lvl w:ilvl="7" w:tplc="A3A69F18" w:tentative="1">
      <w:start w:val="1"/>
      <w:numFmt w:val="bullet"/>
      <w:lvlText w:val="o"/>
      <w:lvlJc w:val="left"/>
      <w:pPr>
        <w:ind w:left="5760" w:hanging="360"/>
      </w:pPr>
      <w:rPr>
        <w:rFonts w:ascii="Courier New" w:hAnsi="Courier New" w:cs="Courier New" w:hint="default"/>
      </w:rPr>
    </w:lvl>
    <w:lvl w:ilvl="8" w:tplc="FDBA5912"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0FBABDB6">
      <w:start w:val="3"/>
      <w:numFmt w:val="bullet"/>
      <w:pStyle w:val="ListParagraph"/>
      <w:lvlText w:val="-"/>
      <w:lvlJc w:val="left"/>
      <w:pPr>
        <w:ind w:left="720" w:hanging="360"/>
      </w:pPr>
      <w:rPr>
        <w:rFonts w:ascii="Arial" w:eastAsia="Times New Roman" w:hAnsi="Arial" w:cs="Arial" w:hint="default"/>
      </w:rPr>
    </w:lvl>
    <w:lvl w:ilvl="1" w:tplc="98706F76" w:tentative="1">
      <w:start w:val="1"/>
      <w:numFmt w:val="bullet"/>
      <w:lvlText w:val="o"/>
      <w:lvlJc w:val="left"/>
      <w:pPr>
        <w:ind w:left="1440" w:hanging="360"/>
      </w:pPr>
      <w:rPr>
        <w:rFonts w:ascii="Courier New" w:hAnsi="Courier New" w:cs="Courier New" w:hint="default"/>
      </w:rPr>
    </w:lvl>
    <w:lvl w:ilvl="2" w:tplc="5D1A16FC" w:tentative="1">
      <w:start w:val="1"/>
      <w:numFmt w:val="bullet"/>
      <w:lvlText w:val=""/>
      <w:lvlJc w:val="left"/>
      <w:pPr>
        <w:ind w:left="2160" w:hanging="360"/>
      </w:pPr>
      <w:rPr>
        <w:rFonts w:ascii="Wingdings" w:hAnsi="Wingdings" w:hint="default"/>
      </w:rPr>
    </w:lvl>
    <w:lvl w:ilvl="3" w:tplc="2D28AB0A" w:tentative="1">
      <w:start w:val="1"/>
      <w:numFmt w:val="bullet"/>
      <w:lvlText w:val=""/>
      <w:lvlJc w:val="left"/>
      <w:pPr>
        <w:ind w:left="2880" w:hanging="360"/>
      </w:pPr>
      <w:rPr>
        <w:rFonts w:ascii="Symbol" w:hAnsi="Symbol" w:hint="default"/>
      </w:rPr>
    </w:lvl>
    <w:lvl w:ilvl="4" w:tplc="336E6608" w:tentative="1">
      <w:start w:val="1"/>
      <w:numFmt w:val="bullet"/>
      <w:lvlText w:val="o"/>
      <w:lvlJc w:val="left"/>
      <w:pPr>
        <w:ind w:left="3600" w:hanging="360"/>
      </w:pPr>
      <w:rPr>
        <w:rFonts w:ascii="Courier New" w:hAnsi="Courier New" w:cs="Courier New" w:hint="default"/>
      </w:rPr>
    </w:lvl>
    <w:lvl w:ilvl="5" w:tplc="D21044B0" w:tentative="1">
      <w:start w:val="1"/>
      <w:numFmt w:val="bullet"/>
      <w:lvlText w:val=""/>
      <w:lvlJc w:val="left"/>
      <w:pPr>
        <w:ind w:left="4320" w:hanging="360"/>
      </w:pPr>
      <w:rPr>
        <w:rFonts w:ascii="Wingdings" w:hAnsi="Wingdings" w:hint="default"/>
      </w:rPr>
    </w:lvl>
    <w:lvl w:ilvl="6" w:tplc="A0C2AAC4" w:tentative="1">
      <w:start w:val="1"/>
      <w:numFmt w:val="bullet"/>
      <w:lvlText w:val=""/>
      <w:lvlJc w:val="left"/>
      <w:pPr>
        <w:ind w:left="5040" w:hanging="360"/>
      </w:pPr>
      <w:rPr>
        <w:rFonts w:ascii="Symbol" w:hAnsi="Symbol" w:hint="default"/>
      </w:rPr>
    </w:lvl>
    <w:lvl w:ilvl="7" w:tplc="C69AA956" w:tentative="1">
      <w:start w:val="1"/>
      <w:numFmt w:val="bullet"/>
      <w:lvlText w:val="o"/>
      <w:lvlJc w:val="left"/>
      <w:pPr>
        <w:ind w:left="5760" w:hanging="360"/>
      </w:pPr>
      <w:rPr>
        <w:rFonts w:ascii="Courier New" w:hAnsi="Courier New" w:cs="Courier New" w:hint="default"/>
      </w:rPr>
    </w:lvl>
    <w:lvl w:ilvl="8" w:tplc="D7546A42"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359873FA">
      <w:start w:val="1"/>
      <w:numFmt w:val="decimal"/>
      <w:lvlText w:val="%1."/>
      <w:lvlJc w:val="left"/>
      <w:pPr>
        <w:ind w:left="4680" w:hanging="360"/>
      </w:pPr>
    </w:lvl>
    <w:lvl w:ilvl="1" w:tplc="A20C5478" w:tentative="1">
      <w:start w:val="1"/>
      <w:numFmt w:val="lowerLetter"/>
      <w:lvlText w:val="%2."/>
      <w:lvlJc w:val="left"/>
      <w:pPr>
        <w:ind w:left="5400" w:hanging="360"/>
      </w:pPr>
    </w:lvl>
    <w:lvl w:ilvl="2" w:tplc="F9B8D30A" w:tentative="1">
      <w:start w:val="1"/>
      <w:numFmt w:val="lowerRoman"/>
      <w:lvlText w:val="%3."/>
      <w:lvlJc w:val="right"/>
      <w:pPr>
        <w:ind w:left="6120" w:hanging="180"/>
      </w:pPr>
    </w:lvl>
    <w:lvl w:ilvl="3" w:tplc="AACC0404" w:tentative="1">
      <w:start w:val="1"/>
      <w:numFmt w:val="decimal"/>
      <w:lvlText w:val="%4."/>
      <w:lvlJc w:val="left"/>
      <w:pPr>
        <w:ind w:left="6840" w:hanging="360"/>
      </w:pPr>
    </w:lvl>
    <w:lvl w:ilvl="4" w:tplc="5504CB8E" w:tentative="1">
      <w:start w:val="1"/>
      <w:numFmt w:val="lowerLetter"/>
      <w:lvlText w:val="%5."/>
      <w:lvlJc w:val="left"/>
      <w:pPr>
        <w:ind w:left="7560" w:hanging="360"/>
      </w:pPr>
    </w:lvl>
    <w:lvl w:ilvl="5" w:tplc="BBB6EC20" w:tentative="1">
      <w:start w:val="1"/>
      <w:numFmt w:val="lowerRoman"/>
      <w:lvlText w:val="%6."/>
      <w:lvlJc w:val="right"/>
      <w:pPr>
        <w:ind w:left="8280" w:hanging="180"/>
      </w:pPr>
    </w:lvl>
    <w:lvl w:ilvl="6" w:tplc="279AC63C" w:tentative="1">
      <w:start w:val="1"/>
      <w:numFmt w:val="decimal"/>
      <w:lvlText w:val="%7."/>
      <w:lvlJc w:val="left"/>
      <w:pPr>
        <w:ind w:left="9000" w:hanging="360"/>
      </w:pPr>
    </w:lvl>
    <w:lvl w:ilvl="7" w:tplc="92E4B9C4" w:tentative="1">
      <w:start w:val="1"/>
      <w:numFmt w:val="lowerLetter"/>
      <w:lvlText w:val="%8."/>
      <w:lvlJc w:val="left"/>
      <w:pPr>
        <w:ind w:left="9720" w:hanging="360"/>
      </w:pPr>
    </w:lvl>
    <w:lvl w:ilvl="8" w:tplc="0EE6DABE" w:tentative="1">
      <w:start w:val="1"/>
      <w:numFmt w:val="lowerRoman"/>
      <w:lvlText w:val="%9."/>
      <w:lvlJc w:val="right"/>
      <w:pPr>
        <w:ind w:left="10440" w:hanging="180"/>
      </w:pPr>
    </w:lvl>
  </w:abstractNum>
  <w:num w:numId="1">
    <w:abstractNumId w:val="0"/>
  </w:num>
  <w:num w:numId="2">
    <w:abstractNumId w:val="3"/>
  </w:num>
  <w:num w:numId="3">
    <w:abstractNumId w:val="7"/>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0"/>
    <w:docVar w:name="InternalQPulse_CurrentUserName" w:val="Document Management Process Owner,  "/>
    <w:docVar w:name="InternalQPulse_DatabaseAlias" w:val="Default"/>
    <w:docVar w:name="InternalQPulse_DocActiveDate" w:val="11/03/2019"/>
    <w:docVar w:name="InternalQPulse_DocAuthor" w:val="Information Security Manager,  "/>
    <w:docVar w:name="InternalQPulse_DocChangeDetails" w:val="Update to make it clear we do not enforce the UoM IP policy and to remove examples of IP from scope statement. _x000d__x000a_Since this document primarily references the UoM policy the next review date will be set from the active date of this minor version change."/>
    <w:docVar w:name="InternalQPulse_DocNumber" w:val="ISMS-05-10"/>
    <w:docVar w:name="InternalQPulse_DocOwner" w:val="Information Security Manager,  "/>
    <w:docVar w:name="InternalQPulse_DocReviewDate" w:val="11/03/2021"/>
    <w:docVar w:name="InternalQPulse_DocRevisionNumber" w:val="1.6"/>
    <w:docVar w:name="InternalQPulse_DocStatus" w:val="Active"/>
    <w:docVar w:name="InternalQPulse_DocTitle" w:val="Intellectual Property Policy"/>
    <w:docVar w:name="InternalQPulse_DocType" w:val="ISMS\Policy &amp; Guidance\Asset and Supplier Management - policy &amp; guidance"/>
    <w:docVar w:name="InternalQPulse_LanguageID" w:val="0"/>
    <w:docVar w:name="QPulse_CurrentDateTime" w:val="19/03/2020 17:54:00"/>
    <w:docVar w:name="QPulse_CurrentUserName" w:val="Document Management Process Owner,  "/>
    <w:docVar w:name="QPulse_DatabaseAlias" w:val="Default"/>
    <w:docVar w:name="QPulse_DocActiveDate" w:val="11/03/2019"/>
    <w:docVar w:name="QPulse_DocAuthor" w:val="Information Security Manager,  "/>
    <w:docVar w:name="QPulse_DocChangeDetails" w:val="Update to make it clear we do not enforce the UoM IP policy and to remove examples of IP from scope statement. _x000d__x000a_Since this document primarily references the UoM policy the next review date will be set from the active date of this minor version change."/>
    <w:docVar w:name="QPulse_DocLastReviewDate" w:val="&lt;QPulse_DocLastReviewDate&gt;"/>
    <w:docVar w:name="QPulse_DocLastReviewDetails" w:val="&lt;QPulse_DocLastReviewDetails&gt;"/>
    <w:docVar w:name="QPulse_DocLastReviewOwner" w:val="&lt;QPulse_DocLastReviewOwner&gt;"/>
    <w:docVar w:name="QPulse_DocNumber" w:val="ISMS-05-10"/>
    <w:docVar w:name="QPulse_DocOwner" w:val="Information Security Manager,  "/>
    <w:docVar w:name="QPulse_DocReviewDate" w:val="11/03/2021"/>
    <w:docVar w:name="QPulse_DocRevisionNumber" w:val="1.6"/>
    <w:docVar w:name="QPulse_DocStatus" w:val="Active"/>
    <w:docVar w:name="QPulse_DocTitle" w:val="Intellectual Property Policy"/>
    <w:docVar w:name="QPulse_DocType" w:val="ISMS\Policy &amp; Guidance\Asset and Supplier Manag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0d1b6cec-5797-4032-baf7-4fd2a14e2529"/>
  </w:docVars>
  <w:rsids>
    <w:rsidRoot w:val="00E7154B"/>
    <w:rsid w:val="00583701"/>
    <w:rsid w:val="007A5645"/>
    <w:rsid w:val="00A45804"/>
    <w:rsid w:val="00B6401C"/>
    <w:rsid w:val="00E715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70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202B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mip.com/how-umip-works-with-other-university-offices/"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umip.com/your-umip-contacts/" TargetMode="Externa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documents.manchester.ac.uk/display.aspx?DocID=2442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umip.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88376-0FE6-2B41-B0F8-76D6C439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2844</Characters>
  <Application>Microsoft Office Word</Application>
  <DocSecurity>0</DocSecurity>
  <Lines>88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2020-04-14T14:58:00Z</dcterms:modified>
</cp:coreProperties>
</file>