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ED23CD"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DB43A5" w:rsidP="00A35784"/>
    <w:p w:rsidR="00F64866" w:rsidRPr="005B6D5E" w:rsidRDefault="00ED23CD" w:rsidP="005B6D5E">
      <w:pPr>
        <w:pStyle w:val="ISMSNormal"/>
        <w:jc w:val="center"/>
        <w:rPr>
          <w:b/>
        </w:rPr>
      </w:pPr>
      <w:r w:rsidRPr="005B6D5E">
        <w:rPr>
          <w:b/>
        </w:rPr>
        <w:t>STANDARD OPERATING PROCEDURE</w:t>
      </w:r>
    </w:p>
    <w:p w:rsidR="00F64866" w:rsidRPr="005B6D5E" w:rsidRDefault="00ED23CD" w:rsidP="005B6D5E">
      <w:pPr>
        <w:pStyle w:val="ISMSNormal"/>
        <w:jc w:val="center"/>
        <w:rPr>
          <w:b/>
        </w:rPr>
      </w:pPr>
      <w:r w:rsidRPr="005B6D5E">
        <w:rPr>
          <w:b/>
        </w:rPr>
        <w:t>Do not Photocopy</w:t>
      </w:r>
    </w:p>
    <w:p w:rsidR="00F64866" w:rsidRPr="005B6D5E" w:rsidRDefault="00DB43A5" w:rsidP="005B6D5E">
      <w:pPr>
        <w:pStyle w:val="ISMSNormal"/>
        <w:jc w:val="center"/>
        <w:rPr>
          <w:b/>
        </w:rPr>
      </w:pPr>
    </w:p>
    <w:p w:rsidR="000154F2" w:rsidRPr="00F06990" w:rsidRDefault="00ED23CD" w:rsidP="000154F2">
      <w:pPr>
        <w:pStyle w:val="ISMSNormal"/>
        <w:jc w:val="center"/>
        <w:rPr>
          <w:b/>
        </w:rPr>
      </w:pPr>
      <w:r>
        <w:rPr>
          <w:b/>
        </w:rPr>
        <w:t xml:space="preserve">Document Information Classification: </w:t>
      </w:r>
      <w:r w:rsidRPr="00AE1A55">
        <w:rPr>
          <w:b/>
        </w:rPr>
        <w:t>Unrestricted</w:t>
      </w:r>
    </w:p>
    <w:p w:rsidR="00F64866" w:rsidRPr="00A214A6" w:rsidRDefault="00DB43A5"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4F3B4F" w:rsidTr="00727201">
        <w:trPr>
          <w:jc w:val="center"/>
        </w:trPr>
        <w:tc>
          <w:tcPr>
            <w:tcW w:w="1912" w:type="pct"/>
            <w:tcBorders>
              <w:top w:val="single" w:sz="8" w:space="0" w:color="auto"/>
            </w:tcBorders>
          </w:tcPr>
          <w:p w:rsidR="00F64866" w:rsidRPr="005B6D5E" w:rsidRDefault="00ED23CD"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ED23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Reporting Security Events</w:t>
            </w:r>
            <w:r w:rsidRPr="005B6D5E">
              <w:rPr>
                <w:b/>
                <w:lang w:eastAsia="en-GB"/>
              </w:rPr>
              <w:fldChar w:fldCharType="end"/>
            </w:r>
          </w:p>
        </w:tc>
      </w:tr>
      <w:tr w:rsidR="004F3B4F" w:rsidTr="00727201">
        <w:trPr>
          <w:jc w:val="center"/>
        </w:trPr>
        <w:tc>
          <w:tcPr>
            <w:tcW w:w="1912" w:type="pct"/>
          </w:tcPr>
          <w:p w:rsidR="00F64866" w:rsidRPr="005B6D5E" w:rsidRDefault="00ED23CD"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ED23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24 Apr 2019</w:t>
            </w:r>
            <w:r w:rsidRPr="005B6D5E">
              <w:rPr>
                <w:b/>
                <w:lang w:eastAsia="en-GB"/>
              </w:rPr>
              <w:fldChar w:fldCharType="end"/>
            </w:r>
          </w:p>
        </w:tc>
      </w:tr>
      <w:tr w:rsidR="004F3B4F" w:rsidTr="00727201">
        <w:trPr>
          <w:jc w:val="center"/>
        </w:trPr>
        <w:tc>
          <w:tcPr>
            <w:tcW w:w="1912" w:type="pct"/>
          </w:tcPr>
          <w:p w:rsidR="00F64866" w:rsidRPr="005B6D5E" w:rsidRDefault="00ED23CD"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ED23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SOP-02-02</w:t>
            </w:r>
            <w:r w:rsidRPr="005B6D5E">
              <w:rPr>
                <w:b/>
                <w:lang w:eastAsia="en-GB"/>
              </w:rPr>
              <w:fldChar w:fldCharType="end"/>
            </w:r>
          </w:p>
        </w:tc>
      </w:tr>
      <w:tr w:rsidR="004F3B4F" w:rsidTr="00727201">
        <w:trPr>
          <w:jc w:val="center"/>
        </w:trPr>
        <w:tc>
          <w:tcPr>
            <w:tcW w:w="1912" w:type="pct"/>
          </w:tcPr>
          <w:p w:rsidR="00F64866" w:rsidRPr="005B6D5E" w:rsidRDefault="00ED23CD"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ED23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2.3</w:t>
            </w:r>
            <w:r w:rsidRPr="005B6D5E">
              <w:rPr>
                <w:b/>
                <w:lang w:eastAsia="en-GB"/>
              </w:rPr>
              <w:fldChar w:fldCharType="end"/>
            </w:r>
          </w:p>
        </w:tc>
      </w:tr>
      <w:tr w:rsidR="004F3B4F" w:rsidTr="00727201">
        <w:trPr>
          <w:jc w:val="center"/>
        </w:trPr>
        <w:tc>
          <w:tcPr>
            <w:tcW w:w="1912" w:type="pct"/>
          </w:tcPr>
          <w:p w:rsidR="00F64866" w:rsidRPr="005B6D5E" w:rsidRDefault="00ED23CD" w:rsidP="005B6D5E">
            <w:pPr>
              <w:pStyle w:val="ISMSNormal"/>
              <w:spacing w:before="120" w:after="120"/>
              <w:rPr>
                <w:b/>
                <w:lang w:eastAsia="en-GB"/>
              </w:rPr>
            </w:pPr>
            <w:r w:rsidRPr="005B6D5E">
              <w:rPr>
                <w:b/>
                <w:lang w:eastAsia="en-GB"/>
              </w:rPr>
              <w:t>Owner:</w:t>
            </w:r>
          </w:p>
        </w:tc>
        <w:tc>
          <w:tcPr>
            <w:tcW w:w="3088" w:type="pct"/>
          </w:tcPr>
          <w:p w:rsidR="00F64866" w:rsidRPr="005B6D5E" w:rsidRDefault="00ED23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Event and </w:t>
            </w:r>
            <w:r w:rsidRPr="005B6D5E">
              <w:rPr>
                <w:b/>
                <w:lang w:eastAsia="en-GB"/>
              </w:rPr>
              <w:t xml:space="preserve">Incident Management Process Owner,  </w:t>
            </w:r>
            <w:r w:rsidRPr="005B6D5E">
              <w:rPr>
                <w:b/>
                <w:lang w:eastAsia="en-GB"/>
              </w:rPr>
              <w:fldChar w:fldCharType="end"/>
            </w:r>
          </w:p>
        </w:tc>
      </w:tr>
      <w:tr w:rsidR="004F3B4F" w:rsidTr="00727201">
        <w:trPr>
          <w:jc w:val="center"/>
        </w:trPr>
        <w:tc>
          <w:tcPr>
            <w:tcW w:w="1912" w:type="pct"/>
            <w:tcBorders>
              <w:bottom w:val="single" w:sz="8" w:space="0" w:color="auto"/>
            </w:tcBorders>
          </w:tcPr>
          <w:p w:rsidR="00F64866" w:rsidRPr="005B6D5E" w:rsidRDefault="00ED23CD"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ED23CD"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04 Apr 2020</w:t>
            </w:r>
            <w:r w:rsidRPr="005B6D5E">
              <w:rPr>
                <w:b/>
                <w:lang w:eastAsia="en-GB"/>
              </w:rPr>
              <w:fldChar w:fldCharType="end"/>
            </w:r>
          </w:p>
        </w:tc>
      </w:tr>
    </w:tbl>
    <w:p w:rsidR="00F64866" w:rsidRPr="00A214A6" w:rsidRDefault="00DB43A5" w:rsidP="00A35784"/>
    <w:p w:rsidR="00F64866" w:rsidRPr="00A214A6" w:rsidRDefault="00ED23CD" w:rsidP="00A35784">
      <w:r w:rsidRPr="00A214A6">
        <w:br w:type="page"/>
      </w:r>
    </w:p>
    <w:p w:rsidR="00A04182" w:rsidRPr="009D002B" w:rsidRDefault="00DB43A5"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ED23CD" w:rsidP="00A35784">
          <w:pPr>
            <w:pStyle w:val="TOCHeading"/>
          </w:pPr>
          <w:r w:rsidRPr="00A35784">
            <w:t>Table of Contents</w:t>
          </w:r>
        </w:p>
        <w:p w:rsidR="006735AF" w:rsidRPr="006735AF" w:rsidRDefault="00DB43A5" w:rsidP="006735AF">
          <w:pPr>
            <w:rPr>
              <w:lang w:val="en-US" w:eastAsia="ja-JP"/>
            </w:rPr>
          </w:pPr>
        </w:p>
        <w:p w:rsidR="004F3B4F" w:rsidRDefault="00ED23CD">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sidRPr="000F273E">
              <w:rPr>
                <w:rStyle w:val="Hyperlink"/>
              </w:rPr>
              <w:t>Purpose</w:t>
            </w:r>
            <w:r>
              <w:tab/>
            </w:r>
            <w:r>
              <w:fldChar w:fldCharType="begin"/>
            </w:r>
            <w:r>
              <w:instrText xml:space="preserve"> PAGEREF _Toc256000006 \h </w:instrText>
            </w:r>
            <w:r>
              <w:fldChar w:fldCharType="separate"/>
            </w:r>
            <w:r>
              <w:t>3</w:t>
            </w:r>
            <w:r>
              <w:fldChar w:fldCharType="end"/>
            </w:r>
          </w:hyperlink>
        </w:p>
        <w:p w:rsidR="004F3B4F" w:rsidRDefault="00DB43A5">
          <w:pPr>
            <w:pStyle w:val="TOC1"/>
            <w:tabs>
              <w:tab w:val="left" w:pos="480"/>
              <w:tab w:val="right" w:leader="dot" w:pos="9016"/>
            </w:tabs>
            <w:rPr>
              <w:rFonts w:asciiTheme="minorHAnsi" w:hAnsiTheme="minorHAnsi"/>
              <w:noProof/>
            </w:rPr>
          </w:pPr>
          <w:hyperlink w:anchor="_Toc256000007" w:history="1">
            <w:r w:rsidR="00ED23CD">
              <w:rPr>
                <w:rStyle w:val="Hyperlink"/>
              </w:rPr>
              <w:t>2.</w:t>
            </w:r>
            <w:r w:rsidR="00ED23CD">
              <w:rPr>
                <w:rFonts w:asciiTheme="minorHAnsi" w:hAnsiTheme="minorHAnsi"/>
                <w:noProof/>
              </w:rPr>
              <w:tab/>
            </w:r>
            <w:r w:rsidR="00ED23CD" w:rsidRPr="00CD4271">
              <w:rPr>
                <w:rStyle w:val="Hyperlink"/>
              </w:rPr>
              <w:t>Scope</w:t>
            </w:r>
            <w:r w:rsidR="00ED23CD">
              <w:tab/>
            </w:r>
            <w:r w:rsidR="00ED23CD">
              <w:fldChar w:fldCharType="begin"/>
            </w:r>
            <w:r w:rsidR="00ED23CD">
              <w:instrText xml:space="preserve"> PAGEREF _Toc256000007 \h </w:instrText>
            </w:r>
            <w:r w:rsidR="00ED23CD">
              <w:fldChar w:fldCharType="separate"/>
            </w:r>
            <w:r w:rsidR="00ED23CD">
              <w:t>3</w:t>
            </w:r>
            <w:r w:rsidR="00ED23CD">
              <w:fldChar w:fldCharType="end"/>
            </w:r>
          </w:hyperlink>
        </w:p>
        <w:p w:rsidR="004F3B4F" w:rsidRDefault="00DB43A5">
          <w:pPr>
            <w:pStyle w:val="TOC1"/>
            <w:tabs>
              <w:tab w:val="left" w:pos="480"/>
              <w:tab w:val="right" w:leader="dot" w:pos="9016"/>
            </w:tabs>
            <w:rPr>
              <w:rFonts w:asciiTheme="minorHAnsi" w:hAnsiTheme="minorHAnsi"/>
              <w:noProof/>
            </w:rPr>
          </w:pPr>
          <w:hyperlink w:anchor="_Toc256000008" w:history="1">
            <w:r w:rsidR="00ED23CD">
              <w:rPr>
                <w:rStyle w:val="Hyperlink"/>
              </w:rPr>
              <w:t>3.</w:t>
            </w:r>
            <w:r w:rsidR="00ED23CD">
              <w:rPr>
                <w:rFonts w:asciiTheme="minorHAnsi" w:hAnsiTheme="minorHAnsi"/>
                <w:noProof/>
              </w:rPr>
              <w:tab/>
            </w:r>
            <w:r w:rsidR="00ED23CD" w:rsidRPr="000E2FED">
              <w:rPr>
                <w:rStyle w:val="Hyperlink"/>
              </w:rPr>
              <w:t>Responsibilities</w:t>
            </w:r>
            <w:r w:rsidR="00ED23CD">
              <w:tab/>
            </w:r>
            <w:r w:rsidR="00ED23CD">
              <w:fldChar w:fldCharType="begin"/>
            </w:r>
            <w:r w:rsidR="00ED23CD">
              <w:instrText xml:space="preserve"> PAGEREF _Toc256000008 \h </w:instrText>
            </w:r>
            <w:r w:rsidR="00ED23CD">
              <w:fldChar w:fldCharType="separate"/>
            </w:r>
            <w:r w:rsidR="00ED23CD">
              <w:t>3</w:t>
            </w:r>
            <w:r w:rsidR="00ED23CD">
              <w:fldChar w:fldCharType="end"/>
            </w:r>
          </w:hyperlink>
        </w:p>
        <w:p w:rsidR="004F3B4F" w:rsidRDefault="00DB43A5">
          <w:pPr>
            <w:pStyle w:val="TOC1"/>
            <w:tabs>
              <w:tab w:val="left" w:pos="480"/>
              <w:tab w:val="right" w:leader="dot" w:pos="9016"/>
            </w:tabs>
            <w:rPr>
              <w:rFonts w:asciiTheme="minorHAnsi" w:hAnsiTheme="minorHAnsi"/>
              <w:noProof/>
            </w:rPr>
          </w:pPr>
          <w:hyperlink w:anchor="_Toc256000009" w:history="1">
            <w:r w:rsidR="00ED23CD">
              <w:rPr>
                <w:rStyle w:val="Hyperlink"/>
              </w:rPr>
              <w:t>4.</w:t>
            </w:r>
            <w:r w:rsidR="00ED23CD">
              <w:rPr>
                <w:rFonts w:asciiTheme="minorHAnsi" w:hAnsiTheme="minorHAnsi"/>
                <w:noProof/>
              </w:rPr>
              <w:tab/>
            </w:r>
            <w:r w:rsidR="00ED23CD" w:rsidRPr="009C310D">
              <w:rPr>
                <w:rStyle w:val="Hyperlink"/>
              </w:rPr>
              <w:t>Procedure</w:t>
            </w:r>
            <w:r w:rsidR="00ED23CD">
              <w:tab/>
            </w:r>
            <w:r w:rsidR="00ED23CD">
              <w:fldChar w:fldCharType="begin"/>
            </w:r>
            <w:r w:rsidR="00ED23CD">
              <w:instrText xml:space="preserve"> PAGEREF _Toc256000009 \h </w:instrText>
            </w:r>
            <w:r w:rsidR="00ED23CD">
              <w:fldChar w:fldCharType="separate"/>
            </w:r>
            <w:r w:rsidR="00ED23CD">
              <w:t>3</w:t>
            </w:r>
            <w:r w:rsidR="00ED23CD">
              <w:fldChar w:fldCharType="end"/>
            </w:r>
          </w:hyperlink>
        </w:p>
        <w:p w:rsidR="004F3B4F" w:rsidRDefault="00DB43A5">
          <w:pPr>
            <w:pStyle w:val="TOC2"/>
            <w:tabs>
              <w:tab w:val="left" w:pos="880"/>
              <w:tab w:val="right" w:leader="dot" w:pos="9016"/>
            </w:tabs>
            <w:rPr>
              <w:rFonts w:asciiTheme="minorHAnsi" w:hAnsiTheme="minorHAnsi"/>
              <w:noProof/>
            </w:rPr>
          </w:pPr>
          <w:hyperlink w:anchor="_Toc256000010" w:history="1">
            <w:r w:rsidR="00ED23CD">
              <w:rPr>
                <w:rStyle w:val="Hyperlink"/>
              </w:rPr>
              <w:t>4.1.</w:t>
            </w:r>
            <w:r w:rsidR="00ED23CD">
              <w:rPr>
                <w:rFonts w:asciiTheme="minorHAnsi" w:hAnsiTheme="minorHAnsi"/>
                <w:noProof/>
              </w:rPr>
              <w:tab/>
            </w:r>
            <w:r w:rsidR="00ED23CD">
              <w:rPr>
                <w:rStyle w:val="Hyperlink"/>
              </w:rPr>
              <w:t>Personnel Without Access to Q-Pulse</w:t>
            </w:r>
            <w:r w:rsidR="00ED23CD">
              <w:tab/>
            </w:r>
            <w:r w:rsidR="00ED23CD">
              <w:fldChar w:fldCharType="begin"/>
            </w:r>
            <w:r w:rsidR="00ED23CD">
              <w:instrText xml:space="preserve"> PAGEREF _Toc256000010 \h </w:instrText>
            </w:r>
            <w:r w:rsidR="00ED23CD">
              <w:fldChar w:fldCharType="separate"/>
            </w:r>
            <w:r w:rsidR="00ED23CD">
              <w:t>4</w:t>
            </w:r>
            <w:r w:rsidR="00ED23CD">
              <w:fldChar w:fldCharType="end"/>
            </w:r>
          </w:hyperlink>
        </w:p>
        <w:p w:rsidR="004F3B4F" w:rsidRDefault="00DB43A5">
          <w:pPr>
            <w:pStyle w:val="TOC3"/>
            <w:tabs>
              <w:tab w:val="left" w:pos="1320"/>
              <w:tab w:val="right" w:leader="dot" w:pos="9016"/>
            </w:tabs>
            <w:rPr>
              <w:rFonts w:asciiTheme="minorHAnsi" w:hAnsiTheme="minorHAnsi"/>
              <w:noProof/>
            </w:rPr>
          </w:pPr>
          <w:hyperlink w:anchor="_Toc256000011" w:history="1">
            <w:r w:rsidR="00ED23CD">
              <w:rPr>
                <w:rStyle w:val="Hyperlink"/>
              </w:rPr>
              <w:t>4.1.1.</w:t>
            </w:r>
            <w:r w:rsidR="00ED23CD">
              <w:rPr>
                <w:rFonts w:asciiTheme="minorHAnsi" w:hAnsiTheme="minorHAnsi"/>
                <w:noProof/>
              </w:rPr>
              <w:tab/>
            </w:r>
            <w:r w:rsidR="00ED23CD">
              <w:rPr>
                <w:rStyle w:val="Hyperlink"/>
              </w:rPr>
              <w:t>Reporting Security Events</w:t>
            </w:r>
            <w:r w:rsidR="00ED23CD">
              <w:tab/>
            </w:r>
            <w:r w:rsidR="00ED23CD">
              <w:fldChar w:fldCharType="begin"/>
            </w:r>
            <w:r w:rsidR="00ED23CD">
              <w:instrText xml:space="preserve"> PAGEREF _Toc256000011 \h </w:instrText>
            </w:r>
            <w:r w:rsidR="00ED23CD">
              <w:fldChar w:fldCharType="separate"/>
            </w:r>
            <w:r w:rsidR="00ED23CD">
              <w:t>4</w:t>
            </w:r>
            <w:r w:rsidR="00ED23CD">
              <w:fldChar w:fldCharType="end"/>
            </w:r>
          </w:hyperlink>
        </w:p>
        <w:p w:rsidR="004F3B4F" w:rsidRDefault="00DB43A5">
          <w:pPr>
            <w:pStyle w:val="TOC3"/>
            <w:tabs>
              <w:tab w:val="left" w:pos="1320"/>
              <w:tab w:val="right" w:leader="dot" w:pos="9016"/>
            </w:tabs>
            <w:rPr>
              <w:rFonts w:asciiTheme="minorHAnsi" w:hAnsiTheme="minorHAnsi"/>
              <w:noProof/>
            </w:rPr>
          </w:pPr>
          <w:hyperlink w:anchor="_Toc256000080" w:history="1">
            <w:r w:rsidR="00ED23CD">
              <w:rPr>
                <w:rStyle w:val="Hyperlink"/>
              </w:rPr>
              <w:t>4.1.2.</w:t>
            </w:r>
            <w:r w:rsidR="00ED23CD">
              <w:rPr>
                <w:rFonts w:asciiTheme="minorHAnsi" w:hAnsiTheme="minorHAnsi"/>
                <w:noProof/>
              </w:rPr>
              <w:tab/>
            </w:r>
            <w:r w:rsidR="00ED23CD" w:rsidRPr="00641468">
              <w:rPr>
                <w:rStyle w:val="Hyperlink"/>
              </w:rPr>
              <w:t>Reporting a Serious Security Event</w:t>
            </w:r>
            <w:r w:rsidR="00ED23CD">
              <w:tab/>
            </w:r>
            <w:r w:rsidR="00ED23CD">
              <w:fldChar w:fldCharType="begin"/>
            </w:r>
            <w:r w:rsidR="00ED23CD">
              <w:instrText xml:space="preserve"> PAGEREF _Toc256000080 \h </w:instrText>
            </w:r>
            <w:r w:rsidR="00ED23CD">
              <w:fldChar w:fldCharType="separate"/>
            </w:r>
            <w:r w:rsidR="00ED23CD">
              <w:t>4</w:t>
            </w:r>
            <w:r w:rsidR="00ED23CD">
              <w:fldChar w:fldCharType="end"/>
            </w:r>
          </w:hyperlink>
        </w:p>
        <w:p w:rsidR="004F3B4F" w:rsidRDefault="00DB43A5">
          <w:pPr>
            <w:pStyle w:val="TOC3"/>
            <w:tabs>
              <w:tab w:val="left" w:pos="1320"/>
              <w:tab w:val="right" w:leader="dot" w:pos="9016"/>
            </w:tabs>
            <w:rPr>
              <w:rFonts w:asciiTheme="minorHAnsi" w:hAnsiTheme="minorHAnsi"/>
              <w:noProof/>
            </w:rPr>
          </w:pPr>
          <w:hyperlink w:anchor="_Toc256000081" w:history="1">
            <w:r w:rsidR="00ED23CD">
              <w:rPr>
                <w:rStyle w:val="Hyperlink"/>
              </w:rPr>
              <w:t>4.1.3.</w:t>
            </w:r>
            <w:r w:rsidR="00ED23CD">
              <w:rPr>
                <w:rFonts w:asciiTheme="minorHAnsi" w:hAnsiTheme="minorHAnsi"/>
                <w:noProof/>
              </w:rPr>
              <w:tab/>
            </w:r>
            <w:r w:rsidR="00ED23CD">
              <w:rPr>
                <w:rStyle w:val="Hyperlink"/>
              </w:rPr>
              <w:t>Reporting a Security Weaknesses or Opportunity</w:t>
            </w:r>
            <w:r w:rsidR="00ED23CD">
              <w:tab/>
            </w:r>
            <w:r w:rsidR="00ED23CD">
              <w:fldChar w:fldCharType="begin"/>
            </w:r>
            <w:r w:rsidR="00ED23CD">
              <w:instrText xml:space="preserve"> PAGEREF _Toc256000081 \h </w:instrText>
            </w:r>
            <w:r w:rsidR="00ED23CD">
              <w:fldChar w:fldCharType="separate"/>
            </w:r>
            <w:r w:rsidR="00ED23CD">
              <w:t>4</w:t>
            </w:r>
            <w:r w:rsidR="00ED23CD">
              <w:fldChar w:fldCharType="end"/>
            </w:r>
          </w:hyperlink>
        </w:p>
        <w:p w:rsidR="004F3B4F" w:rsidRDefault="00DB43A5">
          <w:pPr>
            <w:pStyle w:val="TOC2"/>
            <w:tabs>
              <w:tab w:val="left" w:pos="880"/>
              <w:tab w:val="right" w:leader="dot" w:pos="9016"/>
            </w:tabs>
            <w:rPr>
              <w:rFonts w:asciiTheme="minorHAnsi" w:hAnsiTheme="minorHAnsi"/>
              <w:noProof/>
            </w:rPr>
          </w:pPr>
          <w:hyperlink w:anchor="_Toc256000083" w:history="1">
            <w:r w:rsidR="00ED23CD">
              <w:rPr>
                <w:rStyle w:val="Hyperlink"/>
              </w:rPr>
              <w:t>4.2.</w:t>
            </w:r>
            <w:r w:rsidR="00ED23CD">
              <w:rPr>
                <w:rFonts w:asciiTheme="minorHAnsi" w:hAnsiTheme="minorHAnsi"/>
                <w:noProof/>
              </w:rPr>
              <w:tab/>
            </w:r>
            <w:r w:rsidR="00ED23CD">
              <w:rPr>
                <w:rStyle w:val="Hyperlink"/>
              </w:rPr>
              <w:t>Personnel With Access to Q-Pulse</w:t>
            </w:r>
            <w:r w:rsidR="00ED23CD">
              <w:tab/>
            </w:r>
            <w:r w:rsidR="00ED23CD">
              <w:fldChar w:fldCharType="begin"/>
            </w:r>
            <w:r w:rsidR="00ED23CD">
              <w:instrText xml:space="preserve"> PAGEREF _Toc256000083 \h </w:instrText>
            </w:r>
            <w:r w:rsidR="00ED23CD">
              <w:fldChar w:fldCharType="separate"/>
            </w:r>
            <w:r w:rsidR="00ED23CD">
              <w:t>5</w:t>
            </w:r>
            <w:r w:rsidR="00ED23CD">
              <w:fldChar w:fldCharType="end"/>
            </w:r>
          </w:hyperlink>
        </w:p>
        <w:p w:rsidR="004F3B4F" w:rsidRDefault="00DB43A5">
          <w:pPr>
            <w:pStyle w:val="TOC3"/>
            <w:tabs>
              <w:tab w:val="left" w:pos="1320"/>
              <w:tab w:val="right" w:leader="dot" w:pos="9016"/>
            </w:tabs>
            <w:rPr>
              <w:rFonts w:asciiTheme="minorHAnsi" w:hAnsiTheme="minorHAnsi"/>
              <w:noProof/>
            </w:rPr>
          </w:pPr>
          <w:hyperlink w:anchor="_Toc256000084" w:history="1">
            <w:r w:rsidR="00ED23CD">
              <w:rPr>
                <w:rStyle w:val="Hyperlink"/>
              </w:rPr>
              <w:t>4.2.1.</w:t>
            </w:r>
            <w:r w:rsidR="00ED23CD">
              <w:rPr>
                <w:rFonts w:asciiTheme="minorHAnsi" w:hAnsiTheme="minorHAnsi"/>
                <w:noProof/>
              </w:rPr>
              <w:tab/>
            </w:r>
            <w:r w:rsidR="00ED23CD">
              <w:rPr>
                <w:rStyle w:val="Hyperlink"/>
              </w:rPr>
              <w:t>Reporting a Security Event Using the Q-Pulse Web Interface</w:t>
            </w:r>
            <w:r w:rsidR="00ED23CD">
              <w:tab/>
            </w:r>
            <w:r w:rsidR="00ED23CD">
              <w:fldChar w:fldCharType="begin"/>
            </w:r>
            <w:r w:rsidR="00ED23CD">
              <w:instrText xml:space="preserve"> PAGEREF _Toc256000084 \h </w:instrText>
            </w:r>
            <w:r w:rsidR="00ED23CD">
              <w:fldChar w:fldCharType="separate"/>
            </w:r>
            <w:r w:rsidR="00ED23CD">
              <w:t>5</w:t>
            </w:r>
            <w:r w:rsidR="00ED23CD">
              <w:fldChar w:fldCharType="end"/>
            </w:r>
          </w:hyperlink>
        </w:p>
        <w:p w:rsidR="004F3B4F" w:rsidRDefault="00DB43A5">
          <w:pPr>
            <w:pStyle w:val="TOC3"/>
            <w:tabs>
              <w:tab w:val="left" w:pos="1320"/>
              <w:tab w:val="right" w:leader="dot" w:pos="9016"/>
            </w:tabs>
            <w:rPr>
              <w:rFonts w:asciiTheme="minorHAnsi" w:hAnsiTheme="minorHAnsi"/>
              <w:noProof/>
            </w:rPr>
          </w:pPr>
          <w:hyperlink w:anchor="_Toc256000085" w:history="1">
            <w:r w:rsidR="00ED23CD">
              <w:rPr>
                <w:rStyle w:val="Hyperlink"/>
              </w:rPr>
              <w:t>4.2.2.</w:t>
            </w:r>
            <w:r w:rsidR="00ED23CD">
              <w:rPr>
                <w:rFonts w:asciiTheme="minorHAnsi" w:hAnsiTheme="minorHAnsi"/>
                <w:noProof/>
              </w:rPr>
              <w:tab/>
            </w:r>
            <w:r w:rsidR="00ED23CD">
              <w:rPr>
                <w:rStyle w:val="Hyperlink"/>
              </w:rPr>
              <w:t>Reporting a Security Event Using the Q-Pulse Windows Client</w:t>
            </w:r>
            <w:r w:rsidR="00ED23CD">
              <w:tab/>
            </w:r>
            <w:r w:rsidR="00ED23CD">
              <w:fldChar w:fldCharType="begin"/>
            </w:r>
            <w:r w:rsidR="00ED23CD">
              <w:instrText xml:space="preserve"> PAGEREF _Toc256000085 \h </w:instrText>
            </w:r>
            <w:r w:rsidR="00ED23CD">
              <w:fldChar w:fldCharType="separate"/>
            </w:r>
            <w:r w:rsidR="00ED23CD">
              <w:t>6</w:t>
            </w:r>
            <w:r w:rsidR="00ED23CD">
              <w:fldChar w:fldCharType="end"/>
            </w:r>
          </w:hyperlink>
        </w:p>
        <w:p w:rsidR="004F3B4F" w:rsidRDefault="00DB43A5">
          <w:pPr>
            <w:pStyle w:val="TOC3"/>
            <w:tabs>
              <w:tab w:val="left" w:pos="1320"/>
              <w:tab w:val="right" w:leader="dot" w:pos="9016"/>
            </w:tabs>
            <w:rPr>
              <w:rFonts w:asciiTheme="minorHAnsi" w:hAnsiTheme="minorHAnsi"/>
              <w:noProof/>
            </w:rPr>
          </w:pPr>
          <w:hyperlink w:anchor="_Toc256000086" w:history="1">
            <w:r w:rsidR="00ED23CD">
              <w:rPr>
                <w:rStyle w:val="Hyperlink"/>
              </w:rPr>
              <w:t>4.2.3.</w:t>
            </w:r>
            <w:r w:rsidR="00ED23CD">
              <w:rPr>
                <w:rFonts w:asciiTheme="minorHAnsi" w:hAnsiTheme="minorHAnsi"/>
                <w:noProof/>
              </w:rPr>
              <w:tab/>
            </w:r>
            <w:r w:rsidR="00ED23CD">
              <w:rPr>
                <w:rStyle w:val="Hyperlink"/>
              </w:rPr>
              <w:t>Reporting a Security Weakness or Opportunity</w:t>
            </w:r>
            <w:r w:rsidR="00ED23CD">
              <w:tab/>
            </w:r>
            <w:r w:rsidR="00ED23CD">
              <w:fldChar w:fldCharType="begin"/>
            </w:r>
            <w:r w:rsidR="00ED23CD">
              <w:instrText xml:space="preserve"> PAGEREF _Toc256000086 \h </w:instrText>
            </w:r>
            <w:r w:rsidR="00ED23CD">
              <w:fldChar w:fldCharType="separate"/>
            </w:r>
            <w:r w:rsidR="00ED23CD">
              <w:t>9</w:t>
            </w:r>
            <w:r w:rsidR="00ED23CD">
              <w:fldChar w:fldCharType="end"/>
            </w:r>
          </w:hyperlink>
        </w:p>
        <w:p w:rsidR="004F3B4F" w:rsidRDefault="00DB43A5">
          <w:pPr>
            <w:pStyle w:val="TOC4"/>
            <w:tabs>
              <w:tab w:val="left" w:pos="1920"/>
              <w:tab w:val="right" w:leader="dot" w:pos="9016"/>
            </w:tabs>
            <w:rPr>
              <w:rFonts w:asciiTheme="minorHAnsi" w:hAnsiTheme="minorHAnsi"/>
              <w:noProof/>
            </w:rPr>
          </w:pPr>
          <w:hyperlink w:anchor="_Toc256000087" w:history="1">
            <w:r w:rsidR="00ED23CD">
              <w:rPr>
                <w:rStyle w:val="Hyperlink"/>
              </w:rPr>
              <w:t>4.2.3.1.</w:t>
            </w:r>
            <w:r w:rsidR="00ED23CD">
              <w:rPr>
                <w:rFonts w:asciiTheme="minorHAnsi" w:hAnsiTheme="minorHAnsi"/>
                <w:noProof/>
              </w:rPr>
              <w:tab/>
            </w:r>
            <w:r w:rsidR="00ED23CD">
              <w:rPr>
                <w:rStyle w:val="Hyperlink"/>
              </w:rPr>
              <w:t>Using the Q-Pulse Web Interface</w:t>
            </w:r>
            <w:r w:rsidR="00ED23CD">
              <w:tab/>
            </w:r>
            <w:r w:rsidR="00ED23CD">
              <w:fldChar w:fldCharType="begin"/>
            </w:r>
            <w:r w:rsidR="00ED23CD">
              <w:instrText xml:space="preserve"> PAGEREF _Toc256000087 \h </w:instrText>
            </w:r>
            <w:r w:rsidR="00ED23CD">
              <w:fldChar w:fldCharType="separate"/>
            </w:r>
            <w:r w:rsidR="00ED23CD">
              <w:t>9</w:t>
            </w:r>
            <w:r w:rsidR="00ED23CD">
              <w:fldChar w:fldCharType="end"/>
            </w:r>
          </w:hyperlink>
        </w:p>
        <w:p w:rsidR="004F3B4F" w:rsidRDefault="00DB43A5">
          <w:pPr>
            <w:pStyle w:val="TOC4"/>
            <w:tabs>
              <w:tab w:val="left" w:pos="1920"/>
              <w:tab w:val="right" w:leader="dot" w:pos="9016"/>
            </w:tabs>
            <w:rPr>
              <w:rFonts w:asciiTheme="minorHAnsi" w:hAnsiTheme="minorHAnsi"/>
              <w:noProof/>
            </w:rPr>
          </w:pPr>
          <w:hyperlink w:anchor="_Toc256000088" w:history="1">
            <w:r w:rsidR="00ED23CD">
              <w:rPr>
                <w:rStyle w:val="Hyperlink"/>
              </w:rPr>
              <w:t>4.2.3.2.</w:t>
            </w:r>
            <w:r w:rsidR="00ED23CD">
              <w:rPr>
                <w:rFonts w:asciiTheme="minorHAnsi" w:hAnsiTheme="minorHAnsi"/>
                <w:noProof/>
              </w:rPr>
              <w:tab/>
            </w:r>
            <w:r w:rsidR="00ED23CD">
              <w:rPr>
                <w:rStyle w:val="Hyperlink"/>
              </w:rPr>
              <w:t>Using the Q-Pulse Windows Client</w:t>
            </w:r>
            <w:r w:rsidR="00ED23CD">
              <w:tab/>
            </w:r>
            <w:r w:rsidR="00ED23CD">
              <w:fldChar w:fldCharType="begin"/>
            </w:r>
            <w:r w:rsidR="00ED23CD">
              <w:instrText xml:space="preserve"> PAGEREF _Toc256000088 \h </w:instrText>
            </w:r>
            <w:r w:rsidR="00ED23CD">
              <w:fldChar w:fldCharType="separate"/>
            </w:r>
            <w:r w:rsidR="00ED23CD">
              <w:t>10</w:t>
            </w:r>
            <w:r w:rsidR="00ED23CD">
              <w:fldChar w:fldCharType="end"/>
            </w:r>
          </w:hyperlink>
        </w:p>
        <w:p w:rsidR="004F3B4F" w:rsidRDefault="00DB43A5">
          <w:pPr>
            <w:pStyle w:val="TOC2"/>
            <w:tabs>
              <w:tab w:val="left" w:pos="880"/>
              <w:tab w:val="right" w:leader="dot" w:pos="9016"/>
            </w:tabs>
            <w:rPr>
              <w:rFonts w:asciiTheme="minorHAnsi" w:hAnsiTheme="minorHAnsi"/>
              <w:noProof/>
            </w:rPr>
          </w:pPr>
          <w:hyperlink w:anchor="_Toc256000089" w:history="1">
            <w:r w:rsidR="00ED23CD">
              <w:rPr>
                <w:rStyle w:val="Hyperlink"/>
              </w:rPr>
              <w:t>4.3.</w:t>
            </w:r>
            <w:r w:rsidR="00ED23CD">
              <w:rPr>
                <w:rFonts w:asciiTheme="minorHAnsi" w:hAnsiTheme="minorHAnsi"/>
                <w:noProof/>
              </w:rPr>
              <w:tab/>
            </w:r>
            <w:r w:rsidR="00ED23CD" w:rsidRPr="005F4E50">
              <w:rPr>
                <w:rStyle w:val="Hyperlink"/>
              </w:rPr>
              <w:t>Additional steps</w:t>
            </w:r>
            <w:r w:rsidR="00ED23CD">
              <w:rPr>
                <w:rStyle w:val="Hyperlink"/>
              </w:rPr>
              <w:t xml:space="preserve"> required by University of Manchester Policy</w:t>
            </w:r>
            <w:r w:rsidR="00ED23CD">
              <w:tab/>
            </w:r>
            <w:r w:rsidR="00ED23CD">
              <w:fldChar w:fldCharType="begin"/>
            </w:r>
            <w:r w:rsidR="00ED23CD">
              <w:instrText xml:space="preserve"> PAGEREF _Toc256000089 \h </w:instrText>
            </w:r>
            <w:r w:rsidR="00ED23CD">
              <w:fldChar w:fldCharType="separate"/>
            </w:r>
            <w:r w:rsidR="00ED23CD">
              <w:t>11</w:t>
            </w:r>
            <w:r w:rsidR="00ED23CD">
              <w:fldChar w:fldCharType="end"/>
            </w:r>
          </w:hyperlink>
        </w:p>
        <w:p w:rsidR="004F3B4F" w:rsidRDefault="00DB43A5">
          <w:pPr>
            <w:pStyle w:val="TOC1"/>
            <w:tabs>
              <w:tab w:val="left" w:pos="480"/>
              <w:tab w:val="right" w:leader="dot" w:pos="9016"/>
            </w:tabs>
            <w:rPr>
              <w:rFonts w:asciiTheme="minorHAnsi" w:hAnsiTheme="minorHAnsi"/>
              <w:noProof/>
            </w:rPr>
          </w:pPr>
          <w:hyperlink w:anchor="_Toc256000090" w:history="1">
            <w:r w:rsidR="00ED23CD">
              <w:rPr>
                <w:rStyle w:val="Hyperlink"/>
              </w:rPr>
              <w:t>5.</w:t>
            </w:r>
            <w:r w:rsidR="00ED23CD">
              <w:rPr>
                <w:rFonts w:asciiTheme="minorHAnsi" w:hAnsiTheme="minorHAnsi"/>
                <w:noProof/>
              </w:rPr>
              <w:tab/>
            </w:r>
            <w:r w:rsidR="00ED23CD">
              <w:rPr>
                <w:rStyle w:val="Hyperlink"/>
              </w:rPr>
              <w:t>Cross-referenced ISMS Documents</w:t>
            </w:r>
            <w:r w:rsidR="00ED23CD">
              <w:tab/>
            </w:r>
            <w:r w:rsidR="00ED23CD">
              <w:fldChar w:fldCharType="begin"/>
            </w:r>
            <w:r w:rsidR="00ED23CD">
              <w:instrText xml:space="preserve"> PAGEREF _Toc256000090 \h </w:instrText>
            </w:r>
            <w:r w:rsidR="00ED23CD">
              <w:fldChar w:fldCharType="separate"/>
            </w:r>
            <w:r w:rsidR="00ED23CD">
              <w:t>12</w:t>
            </w:r>
            <w:r w:rsidR="00ED23CD">
              <w:fldChar w:fldCharType="end"/>
            </w:r>
          </w:hyperlink>
        </w:p>
        <w:p w:rsidR="004F3B4F" w:rsidRDefault="00DB43A5">
          <w:pPr>
            <w:pStyle w:val="TOC1"/>
            <w:tabs>
              <w:tab w:val="left" w:pos="480"/>
              <w:tab w:val="right" w:leader="dot" w:pos="9016"/>
            </w:tabs>
            <w:rPr>
              <w:rFonts w:asciiTheme="minorHAnsi" w:hAnsiTheme="minorHAnsi"/>
              <w:noProof/>
            </w:rPr>
          </w:pPr>
          <w:hyperlink w:anchor="_Toc256000091" w:history="1">
            <w:r w:rsidR="00ED23CD">
              <w:rPr>
                <w:rStyle w:val="Hyperlink"/>
              </w:rPr>
              <w:t>6.</w:t>
            </w:r>
            <w:r w:rsidR="00ED23CD">
              <w:rPr>
                <w:rFonts w:asciiTheme="minorHAnsi" w:hAnsiTheme="minorHAnsi"/>
                <w:noProof/>
              </w:rPr>
              <w:tab/>
            </w:r>
            <w:r w:rsidR="00ED23CD" w:rsidRPr="000F2F2F">
              <w:rPr>
                <w:rStyle w:val="Hyperlink"/>
              </w:rPr>
              <w:t>Appendices</w:t>
            </w:r>
            <w:r w:rsidR="00ED23CD">
              <w:tab/>
            </w:r>
            <w:r w:rsidR="00ED23CD">
              <w:fldChar w:fldCharType="begin"/>
            </w:r>
            <w:r w:rsidR="00ED23CD">
              <w:instrText xml:space="preserve"> PAGEREF _Toc256000091 \h </w:instrText>
            </w:r>
            <w:r w:rsidR="00ED23CD">
              <w:fldChar w:fldCharType="separate"/>
            </w:r>
            <w:r w:rsidR="00ED23CD">
              <w:t>12</w:t>
            </w:r>
            <w:r w:rsidR="00ED23CD">
              <w:fldChar w:fldCharType="end"/>
            </w:r>
          </w:hyperlink>
        </w:p>
        <w:p w:rsidR="004F3B4F" w:rsidRDefault="00ED23CD" w:rsidP="006735AF">
          <w:pPr>
            <w:pStyle w:val="TOCHeading"/>
            <w:jc w:val="left"/>
          </w:pPr>
          <w:r>
            <w:fldChar w:fldCharType="end"/>
          </w:r>
        </w:p>
      </w:sdtContent>
    </w:sdt>
    <w:p w:rsidR="007C06D4" w:rsidRPr="000F273E" w:rsidRDefault="00ED23CD" w:rsidP="007C06D4">
      <w:pPr>
        <w:pStyle w:val="ISMSHeading1"/>
      </w:pPr>
      <w:r>
        <w:br w:type="page"/>
      </w:r>
      <w:bookmarkStart w:id="0" w:name="_Toc256000006"/>
      <w:bookmarkStart w:id="1" w:name="_Toc256000064"/>
      <w:bookmarkStart w:id="2" w:name="_Toc256000048"/>
      <w:bookmarkStart w:id="3" w:name="_Toc256000005"/>
      <w:bookmarkStart w:id="4" w:name="_Toc256000030"/>
      <w:bookmarkStart w:id="5" w:name="_Toc256000018"/>
      <w:bookmarkStart w:id="6" w:name="_Toc256000000"/>
      <w:bookmarkStart w:id="7" w:name="_Toc481577882"/>
      <w:bookmarkStart w:id="8" w:name="_Toc490556674"/>
      <w:bookmarkStart w:id="9" w:name="_Toc493661206"/>
      <w:bookmarkStart w:id="10" w:name="_Toc501023332"/>
      <w:bookmarkStart w:id="11" w:name="_Toc509218030"/>
      <w:bookmarkStart w:id="12" w:name="_Toc509834461"/>
      <w:bookmarkStart w:id="13" w:name="_Toc955496"/>
      <w:bookmarkStart w:id="14" w:name="_Toc6297763"/>
      <w:r w:rsidRPr="000F273E">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7C06D4" w:rsidRPr="002B74B9" w:rsidRDefault="00ED23CD" w:rsidP="007C06D4">
      <w:pPr>
        <w:pStyle w:val="ISMSNormal"/>
      </w:pPr>
      <w:r w:rsidRPr="002B74B9">
        <w:t xml:space="preserve">Procedures must be established for the reporting of information security events and </w:t>
      </w:r>
      <w:r>
        <w:t>a</w:t>
      </w:r>
      <w:r w:rsidRPr="002B74B9">
        <w:t>ll employees should be made aware of their responsibility to report information</w:t>
      </w:r>
      <w:r>
        <w:t xml:space="preserve"> </w:t>
      </w:r>
      <w:r w:rsidRPr="002B74B9">
        <w:t xml:space="preserve">security events as quickly as possible. </w:t>
      </w:r>
      <w:r>
        <w:t>Employees should also be required to note and report any observed or suspected information security weaknesses and opportunities for improvement in systems or services.</w:t>
      </w:r>
    </w:p>
    <w:p w:rsidR="00FE7B23" w:rsidRDefault="00DB43A5" w:rsidP="007C06D4">
      <w:pPr>
        <w:pStyle w:val="ISMSNormal"/>
      </w:pPr>
    </w:p>
    <w:p w:rsidR="007C06D4" w:rsidRDefault="00ED23CD" w:rsidP="007C06D4">
      <w:pPr>
        <w:pStyle w:val="ISMSNormal"/>
      </w:pPr>
      <w:r>
        <w:t>This document describes the procedure for reporting information security events, weaknesses and opportunities.</w:t>
      </w:r>
      <w:r w:rsidRPr="00A545ED">
        <w:t xml:space="preserve"> </w:t>
      </w:r>
    </w:p>
    <w:p w:rsidR="007C06D4" w:rsidRPr="009D002B" w:rsidRDefault="00DB43A5" w:rsidP="007C06D4">
      <w:pPr>
        <w:pStyle w:val="ISMSNormal"/>
      </w:pPr>
    </w:p>
    <w:p w:rsidR="007C06D4" w:rsidRPr="00CD4271" w:rsidRDefault="00ED23CD" w:rsidP="007C06D4">
      <w:pPr>
        <w:pStyle w:val="ISMSHeading1"/>
      </w:pPr>
      <w:bookmarkStart w:id="15" w:name="_Toc256000007"/>
      <w:bookmarkStart w:id="16" w:name="_Toc256000065"/>
      <w:bookmarkStart w:id="17" w:name="_Toc256000049"/>
      <w:bookmarkStart w:id="18" w:name="_Toc256000014"/>
      <w:bookmarkStart w:id="19" w:name="_Toc256000031"/>
      <w:bookmarkStart w:id="20" w:name="_Toc256000019"/>
      <w:bookmarkStart w:id="21" w:name="_Toc256000001"/>
      <w:bookmarkStart w:id="22" w:name="_Toc481577883"/>
      <w:bookmarkStart w:id="23" w:name="_Toc490556675"/>
      <w:bookmarkStart w:id="24" w:name="_Toc493661207"/>
      <w:bookmarkStart w:id="25" w:name="_Toc501023333"/>
      <w:bookmarkStart w:id="26" w:name="_Toc509218031"/>
      <w:bookmarkStart w:id="27" w:name="_Toc509834462"/>
      <w:bookmarkStart w:id="28" w:name="_Toc955497"/>
      <w:bookmarkStart w:id="29" w:name="_Toc6297764"/>
      <w:r w:rsidRPr="00CD4271">
        <w:t>Scope</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7C06D4" w:rsidRDefault="00ED23CD" w:rsidP="007C06D4">
      <w:pPr>
        <w:pStyle w:val="ISMSNormal"/>
      </w:pPr>
      <w:r>
        <w:t xml:space="preserve">The reporting of all security events, weaknesses and opportunities for all employees. </w:t>
      </w:r>
    </w:p>
    <w:p w:rsidR="007C06D4" w:rsidRDefault="00DB43A5" w:rsidP="007C06D4">
      <w:pPr>
        <w:pStyle w:val="ISMSNormal"/>
      </w:pPr>
    </w:p>
    <w:p w:rsidR="007C06D4" w:rsidRDefault="00ED23CD" w:rsidP="007C06D4">
      <w:pPr>
        <w:pStyle w:val="ISMSNormal"/>
      </w:pPr>
      <w:r>
        <w:t>The management of reported security events, weaknesses and opportunities, including assessment and further response is out of scope of this procedure.</w:t>
      </w:r>
    </w:p>
    <w:p w:rsidR="007C06D4" w:rsidRPr="009D002B" w:rsidRDefault="00DB43A5" w:rsidP="007C06D4">
      <w:pPr>
        <w:pStyle w:val="ISMSNormal"/>
      </w:pPr>
    </w:p>
    <w:p w:rsidR="007C06D4" w:rsidRPr="000E2FED" w:rsidRDefault="00ED23CD" w:rsidP="007C06D4">
      <w:pPr>
        <w:pStyle w:val="ISMSHeading1"/>
      </w:pPr>
      <w:bookmarkStart w:id="30" w:name="_Toc256000008"/>
      <w:bookmarkStart w:id="31" w:name="_Toc256000066"/>
      <w:bookmarkStart w:id="32" w:name="_Toc256000050"/>
      <w:bookmarkStart w:id="33" w:name="_Toc256000023"/>
      <w:bookmarkStart w:id="34" w:name="_Toc256000032"/>
      <w:bookmarkStart w:id="35" w:name="_Toc256000020"/>
      <w:bookmarkStart w:id="36" w:name="_Toc256000002"/>
      <w:bookmarkStart w:id="37" w:name="_Toc481577884"/>
      <w:bookmarkStart w:id="38" w:name="_Toc490556676"/>
      <w:bookmarkStart w:id="39" w:name="_Toc493661208"/>
      <w:bookmarkStart w:id="40" w:name="_Toc501023334"/>
      <w:bookmarkStart w:id="41" w:name="_Toc509218032"/>
      <w:bookmarkStart w:id="42" w:name="_Toc509834463"/>
      <w:bookmarkStart w:id="43" w:name="_Toc955498"/>
      <w:bookmarkStart w:id="44" w:name="_Toc6297765"/>
      <w:r w:rsidRPr="000E2FED">
        <w:t>Responsibilities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C06D4" w:rsidRDefault="00ED23CD" w:rsidP="007C06D4">
      <w:pPr>
        <w:pStyle w:val="ISMSNormal"/>
      </w:pPr>
      <w:r>
        <w:t>All CHI staff and students</w:t>
      </w:r>
    </w:p>
    <w:p w:rsidR="007C06D4" w:rsidRDefault="00ED23CD" w:rsidP="007C06D4">
      <w:pPr>
        <w:pStyle w:val="ListParagraph"/>
        <w:numPr>
          <w:ilvl w:val="0"/>
          <w:numId w:val="8"/>
        </w:numPr>
      </w:pPr>
      <w:r>
        <w:t>Reporting security events, weaknesses and opportunities via the defined mechanisms</w:t>
      </w:r>
    </w:p>
    <w:p w:rsidR="00337632" w:rsidRDefault="00DB43A5" w:rsidP="00337632"/>
    <w:p w:rsidR="00641468" w:rsidRDefault="00ED23CD" w:rsidP="00337632">
      <w:r>
        <w:t>The Information Security Steering Group (ISSG) and the SIRO (Senior Information Risk Owner)</w:t>
      </w:r>
    </w:p>
    <w:p w:rsidR="00641468" w:rsidRDefault="00ED23CD" w:rsidP="00641468">
      <w:pPr>
        <w:pStyle w:val="ListParagraph"/>
        <w:numPr>
          <w:ilvl w:val="0"/>
          <w:numId w:val="8"/>
        </w:numPr>
      </w:pPr>
      <w:r>
        <w:t>Responding appropriately to serious events raised directly to them</w:t>
      </w:r>
    </w:p>
    <w:p w:rsidR="00337632" w:rsidRDefault="00DB43A5" w:rsidP="00337632"/>
    <w:p w:rsidR="007C06D4" w:rsidRDefault="00ED23CD" w:rsidP="007C06D4">
      <w:pPr>
        <w:pStyle w:val="ISMSHeading1"/>
      </w:pPr>
      <w:bookmarkStart w:id="45" w:name="_Toc256000009"/>
      <w:bookmarkStart w:id="46" w:name="_Toc256000067"/>
      <w:bookmarkStart w:id="47" w:name="_Toc256000051"/>
      <w:bookmarkStart w:id="48" w:name="_Toc256000024"/>
      <w:bookmarkStart w:id="49" w:name="_Toc256000033"/>
      <w:bookmarkStart w:id="50" w:name="_Toc256000021"/>
      <w:bookmarkStart w:id="51" w:name="_Toc256000012"/>
      <w:bookmarkStart w:id="52" w:name="_Toc256000003"/>
      <w:bookmarkStart w:id="53" w:name="_Toc481577885"/>
      <w:bookmarkStart w:id="54" w:name="_Toc490556677"/>
      <w:bookmarkStart w:id="55" w:name="_Toc493661209"/>
      <w:bookmarkStart w:id="56" w:name="_Toc501023335"/>
      <w:bookmarkStart w:id="57" w:name="_Toc509218033"/>
      <w:bookmarkStart w:id="58" w:name="_Toc509834464"/>
      <w:bookmarkStart w:id="59" w:name="_Toc955499"/>
      <w:bookmarkStart w:id="60" w:name="_Toc6297766"/>
      <w:r w:rsidRPr="009C310D">
        <w:t>Procedure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C06D4" w:rsidRDefault="00ED23CD" w:rsidP="007C06D4">
      <w:pPr>
        <w:pStyle w:val="ISMSNormal"/>
      </w:pPr>
      <w:r>
        <w:t>Situations to be considered for information security event reporting include:</w:t>
      </w:r>
    </w:p>
    <w:p w:rsidR="007C06D4" w:rsidRDefault="00ED23CD" w:rsidP="007C06D4">
      <w:pPr>
        <w:pStyle w:val="ListParagraph"/>
      </w:pPr>
      <w:r>
        <w:t>Ineffective security control;</w:t>
      </w:r>
    </w:p>
    <w:p w:rsidR="007C06D4" w:rsidRDefault="00ED23CD" w:rsidP="007C06D4">
      <w:pPr>
        <w:pStyle w:val="ListParagraph"/>
      </w:pPr>
      <w:r>
        <w:t>﻿Breach of information integrity, confidentiality or availability expectations;</w:t>
      </w:r>
    </w:p>
    <w:p w:rsidR="007C06D4" w:rsidRDefault="00ED23CD" w:rsidP="007C06D4">
      <w:pPr>
        <w:pStyle w:val="ListParagraph"/>
      </w:pPr>
      <w:r>
        <w:t>Human errors;</w:t>
      </w:r>
    </w:p>
    <w:p w:rsidR="007C06D4" w:rsidRDefault="00ED23CD" w:rsidP="007C06D4">
      <w:pPr>
        <w:pStyle w:val="ListParagraph"/>
      </w:pPr>
      <w:r>
        <w:t>Non-compliances with policies or guidelines;</w:t>
      </w:r>
    </w:p>
    <w:p w:rsidR="007C06D4" w:rsidRDefault="00ED23CD" w:rsidP="007C06D4">
      <w:pPr>
        <w:pStyle w:val="ListParagraph"/>
      </w:pPr>
      <w:r>
        <w:t>Breaches of physical security arrangements;</w:t>
      </w:r>
    </w:p>
    <w:p w:rsidR="007C06D4" w:rsidRDefault="00ED23CD" w:rsidP="007C06D4">
      <w:pPr>
        <w:pStyle w:val="ListParagraph"/>
      </w:pPr>
      <w:r>
        <w:t>Uncontrolled system changes;</w:t>
      </w:r>
    </w:p>
    <w:p w:rsidR="007C06D4" w:rsidRDefault="00ED23CD" w:rsidP="007C06D4">
      <w:pPr>
        <w:pStyle w:val="ListParagraph"/>
      </w:pPr>
      <w:r>
        <w:t>Malfunctions of software or hardware;</w:t>
      </w:r>
    </w:p>
    <w:p w:rsidR="007C06D4" w:rsidRDefault="00ED23CD" w:rsidP="007C06D4">
      <w:pPr>
        <w:pStyle w:val="ListParagraph"/>
      </w:pPr>
      <w:r>
        <w:t>Access violations.</w:t>
      </w:r>
    </w:p>
    <w:p w:rsidR="00FE7B23" w:rsidRDefault="00DB43A5" w:rsidP="007C06D4">
      <w:pPr>
        <w:pStyle w:val="ISMSNormal"/>
      </w:pPr>
    </w:p>
    <w:p w:rsidR="007C06D4" w:rsidRDefault="00ED23CD" w:rsidP="007C06D4">
      <w:pPr>
        <w:pStyle w:val="ISMSNormal"/>
      </w:pPr>
      <w:r>
        <w:t>Malfunctions or other anomalous system behavior may be an indicator of a security attack or actual security breach and should therefore always be reported as an information security event.</w:t>
      </w:r>
    </w:p>
    <w:p w:rsidR="007C06D4" w:rsidRDefault="00DB43A5" w:rsidP="007C06D4">
      <w:pPr>
        <w:pStyle w:val="ISMSNormal"/>
      </w:pPr>
    </w:p>
    <w:p w:rsidR="007C06D4" w:rsidRDefault="00ED23CD" w:rsidP="007C06D4">
      <w:pPr>
        <w:pStyle w:val="ISMSNormal"/>
      </w:pPr>
      <w:r>
        <w:t>Examples might include:</w:t>
      </w:r>
    </w:p>
    <w:p w:rsidR="007C06D4" w:rsidRDefault="00ED23CD" w:rsidP="007C06D4">
      <w:pPr>
        <w:pStyle w:val="ListParagraph"/>
        <w:numPr>
          <w:ilvl w:val="0"/>
          <w:numId w:val="8"/>
        </w:numPr>
      </w:pPr>
      <w:r>
        <w:t>Unauthorized access to the building or data</w:t>
      </w:r>
    </w:p>
    <w:p w:rsidR="007C06D4" w:rsidRDefault="00ED23CD" w:rsidP="007C06D4">
      <w:pPr>
        <w:pStyle w:val="ListParagraph"/>
        <w:numPr>
          <w:ilvl w:val="0"/>
          <w:numId w:val="8"/>
        </w:numPr>
      </w:pPr>
      <w:r>
        <w:t>Removal of data or sensitive information from TRE</w:t>
      </w:r>
    </w:p>
    <w:p w:rsidR="007C06D4" w:rsidRDefault="00ED23CD" w:rsidP="007C06D4">
      <w:pPr>
        <w:pStyle w:val="ListParagraph"/>
        <w:numPr>
          <w:ilvl w:val="0"/>
          <w:numId w:val="8"/>
        </w:numPr>
      </w:pPr>
      <w:r>
        <w:t>Actions that risk the disclosure of sensitive information, e.g. not using encryption when sending data via email, unsecure storage of information, copying data to public computers</w:t>
      </w:r>
    </w:p>
    <w:p w:rsidR="007C06D4" w:rsidRDefault="00ED23CD" w:rsidP="007C06D4">
      <w:pPr>
        <w:pStyle w:val="ListParagraph"/>
        <w:numPr>
          <w:ilvl w:val="0"/>
          <w:numId w:val="8"/>
        </w:numPr>
      </w:pPr>
      <w:r>
        <w:t>Disclosure of passwords or alarm codes</w:t>
      </w:r>
    </w:p>
    <w:p w:rsidR="007C06D4" w:rsidRDefault="00ED23CD" w:rsidP="007C06D4">
      <w:pPr>
        <w:pStyle w:val="ListParagraph"/>
        <w:numPr>
          <w:ilvl w:val="0"/>
          <w:numId w:val="8"/>
        </w:numPr>
      </w:pPr>
      <w:r>
        <w:t>Attacks on the network</w:t>
      </w:r>
    </w:p>
    <w:p w:rsidR="007C06D4" w:rsidRDefault="00ED23CD" w:rsidP="007C06D4">
      <w:pPr>
        <w:pStyle w:val="ListParagraph"/>
        <w:numPr>
          <w:ilvl w:val="0"/>
          <w:numId w:val="8"/>
        </w:numPr>
      </w:pPr>
      <w:r>
        <w:t>Failure of utilities, e.g. electrical supply</w:t>
      </w:r>
    </w:p>
    <w:p w:rsidR="007C06D4" w:rsidRDefault="00ED23CD" w:rsidP="007C06D4">
      <w:pPr>
        <w:pStyle w:val="ListParagraph"/>
        <w:numPr>
          <w:ilvl w:val="0"/>
          <w:numId w:val="8"/>
        </w:numPr>
      </w:pPr>
      <w:r>
        <w:t>Theft of hardware, information or paperwork</w:t>
      </w:r>
    </w:p>
    <w:p w:rsidR="007C06D4" w:rsidRDefault="00ED23CD" w:rsidP="007C06D4">
      <w:pPr>
        <w:pStyle w:val="ListParagraph"/>
        <w:numPr>
          <w:ilvl w:val="0"/>
          <w:numId w:val="8"/>
        </w:numPr>
      </w:pPr>
      <w:r>
        <w:lastRenderedPageBreak/>
        <w:t>Loss or corruption of data</w:t>
      </w:r>
    </w:p>
    <w:p w:rsidR="007C06D4" w:rsidRDefault="00DB43A5" w:rsidP="007C06D4"/>
    <w:p w:rsidR="007C06D4" w:rsidRDefault="00ED23CD" w:rsidP="007C06D4">
      <w:r>
        <w:t xml:space="preserve">Security weaknesses and opportunities are where there are </w:t>
      </w:r>
      <w:r w:rsidRPr="00CC5967">
        <w:t xml:space="preserve">observed or suspected </w:t>
      </w:r>
      <w:r>
        <w:t xml:space="preserve">issues with the existing systems or processes. Note: Staff should </w:t>
      </w:r>
      <w:r w:rsidRPr="00CC5967">
        <w:t xml:space="preserve">not </w:t>
      </w:r>
      <w:r>
        <w:t xml:space="preserve">try </w:t>
      </w:r>
      <w:r w:rsidRPr="00CC5967">
        <w:t xml:space="preserve">to prove </w:t>
      </w:r>
      <w:r>
        <w:t xml:space="preserve">any </w:t>
      </w:r>
      <w:r w:rsidRPr="00CC5967">
        <w:t>suspected security weaknesses</w:t>
      </w:r>
      <w:r>
        <w:t xml:space="preserve"> as this could result in </w:t>
      </w:r>
      <w:r w:rsidRPr="00CC5967">
        <w:t>damage</w:t>
      </w:r>
      <w:r>
        <w:t xml:space="preserve"> </w:t>
      </w:r>
      <w:r w:rsidRPr="00CC5967">
        <w:t xml:space="preserve">to the </w:t>
      </w:r>
      <w:r>
        <w:t>s</w:t>
      </w:r>
      <w:r w:rsidRPr="00CC5967">
        <w:t xml:space="preserve">ervice and result in </w:t>
      </w:r>
      <w:r>
        <w:t>a real security incident</w:t>
      </w:r>
      <w:r w:rsidRPr="00CC5967">
        <w:t>.</w:t>
      </w:r>
    </w:p>
    <w:p w:rsidR="007C06D4" w:rsidRDefault="00DB43A5" w:rsidP="007C06D4"/>
    <w:p w:rsidR="007C06D4" w:rsidRPr="007F59F4" w:rsidRDefault="00ED23CD" w:rsidP="007C06D4">
      <w:pPr>
        <w:pStyle w:val="ISMSHeading2"/>
        <w:rPr>
          <w:rFonts w:cs="Arial"/>
        </w:rPr>
      </w:pPr>
      <w:bookmarkStart w:id="61" w:name="_Toc256000010"/>
      <w:bookmarkStart w:id="62" w:name="_Toc256000068"/>
      <w:bookmarkStart w:id="63" w:name="_Toc256000052"/>
      <w:bookmarkStart w:id="64" w:name="_Toc256000025"/>
      <w:bookmarkStart w:id="65" w:name="_Toc509218034"/>
      <w:bookmarkStart w:id="66" w:name="_Toc509834465"/>
      <w:bookmarkStart w:id="67" w:name="_Toc955500"/>
      <w:bookmarkStart w:id="68" w:name="_Toc6297767"/>
      <w:r>
        <w:t>Personnel Without Access to Q-Pulse</w:t>
      </w:r>
      <w:bookmarkEnd w:id="61"/>
      <w:bookmarkEnd w:id="62"/>
      <w:bookmarkEnd w:id="63"/>
      <w:bookmarkEnd w:id="64"/>
      <w:bookmarkEnd w:id="65"/>
      <w:bookmarkEnd w:id="66"/>
      <w:bookmarkEnd w:id="67"/>
      <w:bookmarkEnd w:id="68"/>
    </w:p>
    <w:p w:rsidR="007C06D4" w:rsidRDefault="00ED23CD" w:rsidP="007C06D4">
      <w:pPr>
        <w:pStyle w:val="ISMSHeading3"/>
      </w:pPr>
      <w:bookmarkStart w:id="69" w:name="_Toc256000011"/>
      <w:bookmarkStart w:id="70" w:name="_Toc256000069"/>
      <w:bookmarkStart w:id="71" w:name="_Toc256000053"/>
      <w:bookmarkStart w:id="72" w:name="_Toc256000026"/>
      <w:bookmarkStart w:id="73" w:name="_Toc509218035"/>
      <w:bookmarkStart w:id="74" w:name="_Toc509834466"/>
      <w:bookmarkStart w:id="75" w:name="_Toc955501"/>
      <w:bookmarkStart w:id="76" w:name="_Ref5788874"/>
      <w:bookmarkStart w:id="77" w:name="_Ref5789314"/>
      <w:bookmarkStart w:id="78" w:name="_Toc6297768"/>
      <w:bookmarkStart w:id="79" w:name="_Toc256000034"/>
      <w:bookmarkStart w:id="80" w:name="_Toc256000022"/>
      <w:bookmarkStart w:id="81" w:name="_Toc256000013"/>
      <w:bookmarkStart w:id="82" w:name="_Toc256000004"/>
      <w:bookmarkStart w:id="83" w:name="_Toc481577886"/>
      <w:bookmarkStart w:id="84" w:name="_Toc490556678"/>
      <w:bookmarkStart w:id="85" w:name="_Toc493661210"/>
      <w:bookmarkStart w:id="86" w:name="_Toc501023336"/>
      <w:r>
        <w:t>Reporting Security Events</w:t>
      </w:r>
      <w:bookmarkEnd w:id="69"/>
      <w:bookmarkEnd w:id="70"/>
      <w:bookmarkEnd w:id="71"/>
      <w:bookmarkEnd w:id="72"/>
      <w:bookmarkEnd w:id="73"/>
      <w:bookmarkEnd w:id="74"/>
      <w:bookmarkEnd w:id="75"/>
      <w:bookmarkEnd w:id="76"/>
      <w:bookmarkEnd w:id="77"/>
      <w:bookmarkEnd w:id="78"/>
      <w:r>
        <w:t xml:space="preserve"> </w:t>
      </w:r>
      <w:bookmarkEnd w:id="79"/>
      <w:bookmarkEnd w:id="80"/>
      <w:bookmarkEnd w:id="81"/>
      <w:bookmarkEnd w:id="82"/>
      <w:bookmarkEnd w:id="83"/>
      <w:bookmarkEnd w:id="84"/>
      <w:bookmarkEnd w:id="85"/>
      <w:bookmarkEnd w:id="86"/>
    </w:p>
    <w:p w:rsidR="007C06D4" w:rsidRDefault="00ED23CD" w:rsidP="007C06D4">
      <w:pPr>
        <w:pStyle w:val="ISMSNormal"/>
      </w:pPr>
      <w:r>
        <w:t xml:space="preserve">Personnel without access to Q-Pulse should report security events to the ISM via email to: </w:t>
      </w:r>
      <w:hyperlink r:id="rId10" w:history="1">
        <w:r w:rsidRPr="00126E11">
          <w:rPr>
            <w:rStyle w:val="Hyperlink"/>
          </w:rPr>
          <w:t>chi-incidents@listserv.manchester.ac.uk</w:t>
        </w:r>
      </w:hyperlink>
      <w:r>
        <w:t xml:space="preserve">. </w:t>
      </w:r>
    </w:p>
    <w:p w:rsidR="007C06D4" w:rsidRDefault="00ED23CD" w:rsidP="007C06D4">
      <w:pPr>
        <w:pStyle w:val="ISMSNormal"/>
      </w:pPr>
      <w:r>
        <w:t>The email should include:</w:t>
      </w:r>
    </w:p>
    <w:p w:rsidR="007C06D4" w:rsidRDefault="00ED23CD" w:rsidP="007C06D4">
      <w:pPr>
        <w:pStyle w:val="ListParagraph"/>
      </w:pPr>
      <w:r>
        <w:t>Date (and, if possible, time) of security event.</w:t>
      </w:r>
    </w:p>
    <w:p w:rsidR="007C06D4" w:rsidRDefault="00ED23CD" w:rsidP="007C06D4">
      <w:pPr>
        <w:pStyle w:val="ListParagraph"/>
      </w:pPr>
      <w:r>
        <w:t>Detail of the event.</w:t>
      </w:r>
    </w:p>
    <w:p w:rsidR="007C06D4" w:rsidRDefault="00ED23CD" w:rsidP="007C06D4">
      <w:pPr>
        <w:pStyle w:val="ListParagraph"/>
      </w:pPr>
      <w:r>
        <w:t>Action Taken (where appropriate):</w:t>
      </w:r>
    </w:p>
    <w:p w:rsidR="007C06D4" w:rsidRDefault="00ED23CD" w:rsidP="007C06D4">
      <w:pPr>
        <w:pStyle w:val="ListParagraph"/>
      </w:pPr>
      <w:r>
        <w:t>Name of Person reporting the event.</w:t>
      </w:r>
    </w:p>
    <w:p w:rsidR="007C06D4" w:rsidRDefault="00ED23CD" w:rsidP="007C06D4">
      <w:pPr>
        <w:pStyle w:val="ISMSNormal"/>
      </w:pPr>
      <w:r>
        <w:t>An example is shown below:</w:t>
      </w:r>
    </w:p>
    <w:p w:rsidR="007C06D4" w:rsidRDefault="00DB43A5" w:rsidP="007C06D4">
      <w:pPr>
        <w:pStyle w:val="ISMSNormal"/>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980"/>
      </w:tblGrid>
      <w:tr w:rsidR="004F3B4F" w:rsidTr="00203D50">
        <w:tc>
          <w:tcPr>
            <w:tcW w:w="9242" w:type="dxa"/>
            <w:shd w:val="clear" w:color="auto" w:fill="DBE5F1" w:themeFill="accent1" w:themeFillTint="33"/>
          </w:tcPr>
          <w:p w:rsidR="007C06D4" w:rsidRPr="002A0934" w:rsidRDefault="00ED23CD" w:rsidP="00203D50">
            <w:pPr>
              <w:rPr>
                <w:rFonts w:cs="Arial"/>
                <w:color w:val="000000" w:themeColor="text1"/>
              </w:rPr>
            </w:pPr>
            <w:r w:rsidRPr="002A0934">
              <w:rPr>
                <w:rFonts w:cs="Arial"/>
                <w:color w:val="000000" w:themeColor="text1"/>
              </w:rPr>
              <w:t>Date</w:t>
            </w:r>
            <w:r>
              <w:rPr>
                <w:rFonts w:cs="Arial"/>
                <w:color w:val="000000" w:themeColor="text1"/>
              </w:rPr>
              <w:t xml:space="preserve"> and Time</w:t>
            </w:r>
            <w:r w:rsidRPr="002A0934">
              <w:rPr>
                <w:rFonts w:cs="Arial"/>
                <w:color w:val="000000" w:themeColor="text1"/>
              </w:rPr>
              <w:t xml:space="preserve">: </w:t>
            </w:r>
            <w:r>
              <w:rPr>
                <w:rFonts w:cs="Arial"/>
                <w:color w:val="000000" w:themeColor="text1"/>
              </w:rPr>
              <w:t>dd mmm yy   hh:mm</w:t>
            </w:r>
          </w:p>
          <w:p w:rsidR="007C06D4" w:rsidRDefault="00ED23CD" w:rsidP="00203D50">
            <w:pPr>
              <w:rPr>
                <w:rFonts w:cs="Arial"/>
                <w:color w:val="000000" w:themeColor="text1"/>
              </w:rPr>
            </w:pPr>
            <w:r>
              <w:rPr>
                <w:rFonts w:cs="Arial"/>
                <w:color w:val="000000" w:themeColor="text1"/>
              </w:rPr>
              <w:t xml:space="preserve">Detail of Event: </w:t>
            </w:r>
            <w:r w:rsidRPr="002A0934">
              <w:rPr>
                <w:rFonts w:cs="Arial"/>
                <w:color w:val="000000" w:themeColor="text1"/>
              </w:rPr>
              <w:t xml:space="preserve">Swipe card was found outside </w:t>
            </w:r>
            <w:r>
              <w:rPr>
                <w:rFonts w:cs="Arial"/>
                <w:color w:val="000000" w:themeColor="text1"/>
              </w:rPr>
              <w:t>main entrance to Vaughan House.</w:t>
            </w:r>
            <w:r w:rsidRPr="003025A5">
              <w:rPr>
                <w:rFonts w:cs="Arial"/>
                <w:color w:val="000000" w:themeColor="text1"/>
              </w:rPr>
              <w:t xml:space="preserve"> </w:t>
            </w:r>
            <w:r w:rsidRPr="002A0934">
              <w:rPr>
                <w:rFonts w:cs="Arial"/>
                <w:color w:val="000000" w:themeColor="text1"/>
              </w:rPr>
              <w:t xml:space="preserve">No </w:t>
            </w:r>
            <w:r>
              <w:rPr>
                <w:rFonts w:cs="Arial"/>
                <w:color w:val="000000" w:themeColor="text1"/>
              </w:rPr>
              <w:t xml:space="preserve">observed </w:t>
            </w:r>
            <w:r w:rsidRPr="002A0934">
              <w:rPr>
                <w:rFonts w:cs="Arial"/>
                <w:color w:val="000000" w:themeColor="text1"/>
              </w:rPr>
              <w:t>breach of security.</w:t>
            </w:r>
          </w:p>
          <w:p w:rsidR="007C06D4" w:rsidRPr="002A0934" w:rsidRDefault="00ED23CD" w:rsidP="00203D50">
            <w:pPr>
              <w:rPr>
                <w:rFonts w:cs="Arial"/>
                <w:color w:val="000000" w:themeColor="text1"/>
              </w:rPr>
            </w:pPr>
            <w:r>
              <w:rPr>
                <w:rFonts w:cs="Arial"/>
                <w:color w:val="000000" w:themeColor="text1"/>
              </w:rPr>
              <w:t>Action Taken Card returned to Operations Team.</w:t>
            </w:r>
          </w:p>
          <w:p w:rsidR="007C06D4" w:rsidRDefault="00DB43A5" w:rsidP="00203D50">
            <w:pPr>
              <w:rPr>
                <w:rFonts w:cs="Arial"/>
                <w:color w:val="000000" w:themeColor="text1"/>
              </w:rPr>
            </w:pPr>
          </w:p>
          <w:p w:rsidR="007C06D4" w:rsidRDefault="00ED23CD" w:rsidP="00203D50">
            <w:r w:rsidRPr="002A0934">
              <w:rPr>
                <w:rFonts w:cs="Arial"/>
                <w:color w:val="000000" w:themeColor="text1"/>
              </w:rPr>
              <w:t>Raised by (Name)</w:t>
            </w:r>
          </w:p>
        </w:tc>
      </w:tr>
    </w:tbl>
    <w:p w:rsidR="007C06D4" w:rsidRDefault="00DB43A5" w:rsidP="007C06D4">
      <w:pPr>
        <w:pStyle w:val="ISMSNormal"/>
      </w:pPr>
    </w:p>
    <w:p w:rsidR="00641468" w:rsidRDefault="00ED23CD" w:rsidP="00641468">
      <w:pPr>
        <w:pStyle w:val="ISMSHeading3"/>
      </w:pPr>
      <w:bookmarkStart w:id="87" w:name="_Toc256000080"/>
      <w:bookmarkStart w:id="88" w:name="_Toc6297769"/>
      <w:bookmarkStart w:id="89" w:name="_Toc509218036"/>
      <w:bookmarkStart w:id="90" w:name="_Toc256000070"/>
      <w:bookmarkStart w:id="91" w:name="_Toc256000054"/>
      <w:bookmarkStart w:id="92" w:name="_Toc256000035"/>
      <w:bookmarkStart w:id="93" w:name="_Toc509834467"/>
      <w:bookmarkStart w:id="94" w:name="_Toc955502"/>
      <w:r w:rsidRPr="00641468">
        <w:t>Reporting a Serious Security Event</w:t>
      </w:r>
      <w:bookmarkEnd w:id="87"/>
      <w:bookmarkEnd w:id="88"/>
    </w:p>
    <w:p w:rsidR="00641468" w:rsidRDefault="00ED23CD" w:rsidP="00337632">
      <w:pPr>
        <w:pStyle w:val="ISMSNormal"/>
        <w:rPr>
          <w:lang w:val="en-GB"/>
        </w:rPr>
      </w:pPr>
      <w:r w:rsidRPr="00641468">
        <w:rPr>
          <w:lang w:val="en-GB"/>
        </w:rPr>
        <w:t xml:space="preserve">It is also possible to report a serious security event verbally direct to a member of the ISSG or the SIRO. This would be for events where the reporting person considered that immediate action was required. The event should then be raised in Q-Pulse as per </w:t>
      </w:r>
      <w:r>
        <w:rPr>
          <w:lang w:val="en-GB"/>
        </w:rPr>
        <w:fldChar w:fldCharType="begin"/>
      </w:r>
      <w:r>
        <w:rPr>
          <w:lang w:val="en-GB"/>
        </w:rPr>
        <w:instrText xml:space="preserve"> REF _Ref5789314 \r \h </w:instrText>
      </w:r>
      <w:r>
        <w:rPr>
          <w:lang w:val="en-GB"/>
        </w:rPr>
      </w:r>
      <w:r>
        <w:rPr>
          <w:lang w:val="en-GB"/>
        </w:rPr>
        <w:fldChar w:fldCharType="separate"/>
      </w:r>
      <w:r>
        <w:rPr>
          <w:lang w:val="en-GB"/>
        </w:rPr>
        <w:t>4.1.1</w:t>
      </w:r>
      <w:r>
        <w:rPr>
          <w:lang w:val="en-GB"/>
        </w:rPr>
        <w:fldChar w:fldCharType="end"/>
      </w:r>
      <w:r>
        <w:rPr>
          <w:lang w:val="en-GB"/>
        </w:rPr>
        <w:t xml:space="preserve"> </w:t>
      </w:r>
      <w:r w:rsidRPr="00641468">
        <w:rPr>
          <w:lang w:val="en-GB"/>
        </w:rPr>
        <w:t>as soon as possible.</w:t>
      </w:r>
    </w:p>
    <w:p w:rsidR="00337632" w:rsidRPr="0071096D" w:rsidRDefault="00DB43A5" w:rsidP="00337632">
      <w:pPr>
        <w:pStyle w:val="ISMSNormal"/>
      </w:pPr>
    </w:p>
    <w:p w:rsidR="007C06D4" w:rsidRDefault="00ED23CD" w:rsidP="007C06D4">
      <w:pPr>
        <w:pStyle w:val="ISMSHeading3"/>
      </w:pPr>
      <w:bookmarkStart w:id="95" w:name="_Toc256000081"/>
      <w:bookmarkStart w:id="96" w:name="_Toc6297770"/>
      <w:r>
        <w:t>Reporting a Security Weaknesses</w:t>
      </w:r>
      <w:bookmarkEnd w:id="89"/>
      <w:r>
        <w:t xml:space="preserve"> or Opportunity</w:t>
      </w:r>
      <w:bookmarkEnd w:id="90"/>
      <w:bookmarkEnd w:id="91"/>
      <w:bookmarkEnd w:id="92"/>
      <w:bookmarkEnd w:id="93"/>
      <w:bookmarkEnd w:id="94"/>
      <w:bookmarkEnd w:id="95"/>
      <w:bookmarkEnd w:id="96"/>
    </w:p>
    <w:p w:rsidR="007C06D4" w:rsidRDefault="00ED23CD" w:rsidP="007C06D4">
      <w:pPr>
        <w:pStyle w:val="ISMSNormal"/>
      </w:pPr>
      <w:r>
        <w:t xml:space="preserve">Personnel without access to Q-Pulse should report security weaknesses and opportunities to the ISM via email to: </w:t>
      </w:r>
      <w:hyperlink r:id="rId11" w:history="1">
        <w:r w:rsidRPr="00126E11">
          <w:rPr>
            <w:rStyle w:val="Hyperlink"/>
          </w:rPr>
          <w:t>chi-incidents@listserv.manchester.ac.uk</w:t>
        </w:r>
      </w:hyperlink>
      <w:r>
        <w:t xml:space="preserve">. </w:t>
      </w:r>
    </w:p>
    <w:p w:rsidR="007C06D4" w:rsidRDefault="00ED23CD" w:rsidP="007C06D4">
      <w:pPr>
        <w:pStyle w:val="ISMSNormal"/>
      </w:pPr>
      <w:r>
        <w:t>The email should include:</w:t>
      </w:r>
    </w:p>
    <w:p w:rsidR="007C06D4" w:rsidRDefault="00ED23CD" w:rsidP="007C06D4">
      <w:pPr>
        <w:pStyle w:val="ListParagraph"/>
      </w:pPr>
      <w:r>
        <w:t>Detail of the observed or suspected weakness or opportunity.</w:t>
      </w:r>
    </w:p>
    <w:p w:rsidR="007C06D4" w:rsidRDefault="00ED23CD" w:rsidP="007C06D4">
      <w:pPr>
        <w:pStyle w:val="ListParagraph"/>
      </w:pPr>
      <w:r>
        <w:t>The Process that is affected (if known)</w:t>
      </w:r>
    </w:p>
    <w:p w:rsidR="007C06D4" w:rsidRDefault="00ED23CD" w:rsidP="007C06D4">
      <w:pPr>
        <w:pStyle w:val="ListParagraph"/>
      </w:pPr>
      <w:r>
        <w:t>Name of Person reporting the proposal.</w:t>
      </w:r>
    </w:p>
    <w:p w:rsidR="007C06D4" w:rsidRDefault="00ED23CD" w:rsidP="007C06D4">
      <w:pPr>
        <w:pStyle w:val="ISMSNormal"/>
      </w:pPr>
      <w:r>
        <w:t>An example is shown below:</w:t>
      </w:r>
    </w:p>
    <w:p w:rsidR="007C06D4" w:rsidRDefault="00DB43A5" w:rsidP="007C06D4">
      <w:pPr>
        <w:pStyle w:val="ISMSNormal"/>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980"/>
      </w:tblGrid>
      <w:tr w:rsidR="004F3B4F" w:rsidTr="00203D50">
        <w:tc>
          <w:tcPr>
            <w:tcW w:w="9242" w:type="dxa"/>
            <w:shd w:val="clear" w:color="auto" w:fill="DBE5F1" w:themeFill="accent1" w:themeFillTint="33"/>
          </w:tcPr>
          <w:p w:rsidR="007C06D4" w:rsidRDefault="00ED23CD" w:rsidP="00203D50">
            <w:pPr>
              <w:rPr>
                <w:rFonts w:cs="Arial"/>
                <w:color w:val="000000" w:themeColor="text1"/>
              </w:rPr>
            </w:pPr>
            <w:r>
              <w:rPr>
                <w:rFonts w:cs="Arial"/>
                <w:color w:val="000000" w:themeColor="text1"/>
              </w:rPr>
              <w:t xml:space="preserve">Weakness: The main door to Vaughan House shuts very slowly and could allow tailgating of unauthorised visitors. </w:t>
            </w:r>
          </w:p>
          <w:p w:rsidR="007C06D4" w:rsidRDefault="00ED23CD" w:rsidP="00203D50">
            <w:pPr>
              <w:rPr>
                <w:rFonts w:cs="Arial"/>
                <w:color w:val="000000" w:themeColor="text1"/>
              </w:rPr>
            </w:pPr>
            <w:r>
              <w:rPr>
                <w:rFonts w:cs="Arial"/>
                <w:color w:val="000000" w:themeColor="text1"/>
              </w:rPr>
              <w:t>Process: TRE Physical Security</w:t>
            </w:r>
          </w:p>
          <w:p w:rsidR="007C06D4" w:rsidRDefault="00DB43A5" w:rsidP="00203D50">
            <w:pPr>
              <w:rPr>
                <w:rFonts w:cs="Arial"/>
                <w:color w:val="000000" w:themeColor="text1"/>
              </w:rPr>
            </w:pPr>
          </w:p>
          <w:p w:rsidR="007C06D4" w:rsidRDefault="00ED23CD" w:rsidP="00203D50">
            <w:r w:rsidRPr="002A0934">
              <w:rPr>
                <w:rFonts w:cs="Arial"/>
                <w:color w:val="000000" w:themeColor="text1"/>
              </w:rPr>
              <w:t>Raised by (Name)</w:t>
            </w:r>
          </w:p>
        </w:tc>
      </w:tr>
    </w:tbl>
    <w:p w:rsidR="00FE7B23" w:rsidRDefault="00DB43A5" w:rsidP="00FE7B23">
      <w:pPr>
        <w:pStyle w:val="ISMSHeading2"/>
        <w:numPr>
          <w:ilvl w:val="0"/>
          <w:numId w:val="0"/>
        </w:numPr>
        <w:ind w:left="510"/>
      </w:pPr>
      <w:bookmarkStart w:id="97" w:name="_Toc256000071"/>
      <w:bookmarkStart w:id="98" w:name="_Toc256000055"/>
      <w:bookmarkStart w:id="99" w:name="_Toc256000036"/>
      <w:bookmarkStart w:id="100" w:name="_Toc509218037"/>
      <w:bookmarkStart w:id="101" w:name="_Toc509834468"/>
      <w:bookmarkStart w:id="102" w:name="_Toc955503"/>
    </w:p>
    <w:p w:rsidR="007C06D4" w:rsidRDefault="00ED23CD" w:rsidP="007C06D4">
      <w:pPr>
        <w:pStyle w:val="ISMSHeading2"/>
      </w:pPr>
      <w:bookmarkStart w:id="103" w:name="_Toc256000083"/>
      <w:bookmarkStart w:id="104" w:name="_Toc6297771"/>
      <w:r>
        <w:t>Personnel With Access to Q-Pulse</w:t>
      </w:r>
      <w:bookmarkEnd w:id="97"/>
      <w:bookmarkEnd w:id="98"/>
      <w:bookmarkEnd w:id="99"/>
      <w:bookmarkEnd w:id="100"/>
      <w:bookmarkEnd w:id="101"/>
      <w:bookmarkEnd w:id="102"/>
      <w:bookmarkEnd w:id="103"/>
      <w:bookmarkEnd w:id="104"/>
    </w:p>
    <w:p w:rsidR="007C06D4" w:rsidRDefault="00ED23CD" w:rsidP="00203D50">
      <w:pPr>
        <w:pStyle w:val="ISMSNormal"/>
      </w:pPr>
      <w:r>
        <w:t>All staff with Q-Pulse accounts will have access to event reporting.</w:t>
      </w:r>
    </w:p>
    <w:p w:rsidR="007C06D4" w:rsidRDefault="00ED23CD" w:rsidP="007C06D4">
      <w:pPr>
        <w:pStyle w:val="ISMSHeading3"/>
      </w:pPr>
      <w:bookmarkStart w:id="105" w:name="_Toc256000084"/>
      <w:bookmarkStart w:id="106" w:name="_Toc256000072"/>
      <w:bookmarkStart w:id="107" w:name="_Toc256000056"/>
      <w:bookmarkStart w:id="108" w:name="_Toc256000037"/>
      <w:bookmarkStart w:id="109" w:name="_Toc509218038"/>
      <w:bookmarkStart w:id="110" w:name="_Toc509834469"/>
      <w:bookmarkStart w:id="111" w:name="_Toc955504"/>
      <w:bookmarkStart w:id="112" w:name="_Toc6297772"/>
      <w:r>
        <w:t>Reporting a Security Event Using the Q-Pulse Web Interface</w:t>
      </w:r>
      <w:bookmarkEnd w:id="105"/>
      <w:bookmarkEnd w:id="106"/>
      <w:bookmarkEnd w:id="107"/>
      <w:bookmarkEnd w:id="108"/>
      <w:bookmarkEnd w:id="109"/>
      <w:bookmarkEnd w:id="110"/>
      <w:bookmarkEnd w:id="111"/>
      <w:bookmarkEnd w:id="112"/>
    </w:p>
    <w:p w:rsidR="007C06D4" w:rsidRDefault="00ED23CD" w:rsidP="00203D50">
      <w:pPr>
        <w:pStyle w:val="ISMSNormal"/>
      </w:pPr>
      <w:r>
        <w:t xml:space="preserve">From the ‘My </w:t>
      </w:r>
      <w:r w:rsidRPr="00285785">
        <w:t>Actions’</w:t>
      </w:r>
      <w:r>
        <w:t xml:space="preserve"> </w:t>
      </w:r>
      <w:r w:rsidRPr="007174B9">
        <w:t>Launchpad</w:t>
      </w:r>
      <w:r>
        <w:t xml:space="preserve"> click on the icon to ‘Create a new Non-Conformance’. </w:t>
      </w:r>
    </w:p>
    <w:p w:rsidR="007C06D4" w:rsidRDefault="00DB43A5" w:rsidP="00203D50">
      <w:pPr>
        <w:pStyle w:val="ISMSNormal"/>
      </w:pPr>
    </w:p>
    <w:p w:rsidR="007C06D4" w:rsidRDefault="00ED23CD" w:rsidP="00203D50">
      <w:pPr>
        <w:pStyle w:val="ISMSNormal"/>
        <w:jc w:val="center"/>
      </w:pPr>
      <w:r>
        <w:rPr>
          <w:noProof/>
          <w:lang w:val="en-GB" w:eastAsia="en-GB"/>
        </w:rPr>
        <w:drawing>
          <wp:inline distT="0" distB="0" distL="0" distR="0">
            <wp:extent cx="5286375" cy="171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6375" cy="1714500"/>
                    </a:xfrm>
                    <a:prstGeom prst="rect">
                      <a:avLst/>
                    </a:prstGeom>
                    <a:noFill/>
                    <a:ln>
                      <a:noFill/>
                    </a:ln>
                  </pic:spPr>
                </pic:pic>
              </a:graphicData>
            </a:graphic>
          </wp:inline>
        </w:drawing>
      </w:r>
    </w:p>
    <w:p w:rsidR="007C06D4" w:rsidRDefault="00DB43A5" w:rsidP="00203D50">
      <w:pPr>
        <w:pStyle w:val="ISMSNormal"/>
      </w:pPr>
    </w:p>
    <w:p w:rsidR="007C06D4" w:rsidRDefault="00ED23CD" w:rsidP="00203D50">
      <w:pPr>
        <w:pStyle w:val="ISMSNormal"/>
      </w:pPr>
      <w:r>
        <w:t>From the ‘Create non-conformance’ dialog select the wizard for reporting an IS Event</w:t>
      </w:r>
    </w:p>
    <w:p w:rsidR="007C06D4" w:rsidRDefault="00DB43A5" w:rsidP="00203D50">
      <w:pPr>
        <w:pStyle w:val="ISMSNormal"/>
      </w:pPr>
    </w:p>
    <w:p w:rsidR="007C06D4" w:rsidRDefault="00ED23CD" w:rsidP="00203D50">
      <w:pPr>
        <w:pStyle w:val="ISMSNormal"/>
        <w:jc w:val="center"/>
      </w:pPr>
      <w:r w:rsidRPr="00BA6F62">
        <w:rPr>
          <w:noProof/>
          <w:lang w:val="en-GB" w:eastAsia="en-GB"/>
        </w:rPr>
        <w:drawing>
          <wp:inline distT="0" distB="0" distL="0" distR="0">
            <wp:extent cx="3219450" cy="35052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19450" cy="3505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t>.</w:t>
      </w:r>
    </w:p>
    <w:p w:rsidR="007C06D4" w:rsidRDefault="00DB43A5" w:rsidP="00203D50">
      <w:pPr>
        <w:pStyle w:val="ISMSNormal"/>
      </w:pPr>
    </w:p>
    <w:p w:rsidR="007C06D4" w:rsidRDefault="00ED23CD" w:rsidP="00203D50">
      <w:pPr>
        <w:pStyle w:val="ISMSNormal"/>
      </w:pPr>
      <w:r>
        <w:t>This will display the screen for entering the details of the information security event.</w:t>
      </w:r>
    </w:p>
    <w:p w:rsidR="007C06D4" w:rsidRDefault="00DB43A5" w:rsidP="00203D50">
      <w:pPr>
        <w:pStyle w:val="ListParagraph"/>
        <w:keepNext/>
        <w:numPr>
          <w:ilvl w:val="0"/>
          <w:numId w:val="0"/>
        </w:numPr>
        <w:ind w:left="720"/>
      </w:pPr>
    </w:p>
    <w:p w:rsidR="007C06D4" w:rsidRDefault="00ED23CD" w:rsidP="00203D50">
      <w:pPr>
        <w:pStyle w:val="ISMSNormal"/>
        <w:keepNext/>
        <w:jc w:val="center"/>
      </w:pPr>
      <w:r>
        <w:rPr>
          <w:noProof/>
          <w:lang w:val="en-GB" w:eastAsia="en-GB"/>
        </w:rPr>
        <w:drawing>
          <wp:inline distT="0" distB="0" distL="0" distR="0">
            <wp:extent cx="5724525" cy="46672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525" cy="4667250"/>
                    </a:xfrm>
                    <a:prstGeom prst="rect">
                      <a:avLst/>
                    </a:prstGeom>
                    <a:noFill/>
                    <a:ln>
                      <a:solidFill>
                        <a:schemeClr val="tx1"/>
                      </a:solidFill>
                    </a:ln>
                  </pic:spPr>
                </pic:pic>
              </a:graphicData>
            </a:graphic>
          </wp:inline>
        </w:drawing>
      </w:r>
    </w:p>
    <w:p w:rsidR="007C06D4" w:rsidRDefault="00DB43A5" w:rsidP="00203D50">
      <w:pPr>
        <w:pStyle w:val="Caption"/>
      </w:pPr>
    </w:p>
    <w:p w:rsidR="007C06D4" w:rsidRPr="007F59F4" w:rsidRDefault="00ED23CD" w:rsidP="00203D50">
      <w:r>
        <w:t>Complete the fields for the information security event as follows:</w:t>
      </w:r>
    </w:p>
    <w:p w:rsidR="007C06D4" w:rsidRPr="007F59F4" w:rsidRDefault="00DB43A5" w:rsidP="00203D50"/>
    <w:p w:rsidR="007C06D4" w:rsidRDefault="00ED23CD" w:rsidP="00203D50">
      <w:pPr>
        <w:pStyle w:val="ListParagraph"/>
      </w:pPr>
      <w:r w:rsidRPr="00BA6F62">
        <w:rPr>
          <w:b/>
        </w:rPr>
        <w:t xml:space="preserve">Details </w:t>
      </w:r>
      <w:r>
        <w:t>– Enter the details of the event. Include the date and time observed if possible.</w:t>
      </w:r>
    </w:p>
    <w:p w:rsidR="007C06D4" w:rsidRDefault="00ED23CD" w:rsidP="00203D50">
      <w:pPr>
        <w:pStyle w:val="ListParagraph"/>
      </w:pPr>
      <w:r w:rsidRPr="00BA6F62">
        <w:rPr>
          <w:b/>
        </w:rPr>
        <w:t xml:space="preserve">Attachment </w:t>
      </w:r>
      <w:r>
        <w:t>– Attach any documents that may support or assist the event report.</w:t>
      </w:r>
    </w:p>
    <w:p w:rsidR="007C06D4" w:rsidRDefault="00ED23CD" w:rsidP="00203D50">
      <w:pPr>
        <w:pStyle w:val="ListParagraph"/>
      </w:pPr>
      <w:r w:rsidRPr="00BA6F62">
        <w:rPr>
          <w:b/>
        </w:rPr>
        <w:t>Event Category</w:t>
      </w:r>
      <w:r>
        <w:t xml:space="preserve"> – Where possible select an item from the drop-down to classify the nature of the security event e.g. malfunction of hardware, non-compliance.</w:t>
      </w:r>
    </w:p>
    <w:p w:rsidR="007C06D4" w:rsidRDefault="00ED23CD" w:rsidP="00203D50">
      <w:pPr>
        <w:pStyle w:val="ListParagraph"/>
      </w:pPr>
      <w:r w:rsidRPr="00BA6F62">
        <w:rPr>
          <w:b/>
        </w:rPr>
        <w:t>Raised by Person</w:t>
      </w:r>
      <w:r>
        <w:t xml:space="preserve"> – Add the name of the person that is reporting the event</w:t>
      </w:r>
    </w:p>
    <w:p w:rsidR="007C06D4" w:rsidRPr="00BA6F62" w:rsidRDefault="00ED23CD" w:rsidP="00203D50">
      <w:pPr>
        <w:pStyle w:val="ListParagraph"/>
      </w:pPr>
      <w:r w:rsidRPr="00BA6F62">
        <w:rPr>
          <w:b/>
        </w:rPr>
        <w:t xml:space="preserve">Source </w:t>
      </w:r>
      <w:r>
        <w:t xml:space="preserve">– This field is set by default to “Security Event” and </w:t>
      </w:r>
      <w:r w:rsidRPr="006044B3">
        <w:rPr>
          <w:b/>
        </w:rPr>
        <w:t>should not be updated</w:t>
      </w:r>
      <w:r>
        <w:rPr>
          <w:b/>
        </w:rPr>
        <w:t>.</w:t>
      </w:r>
    </w:p>
    <w:p w:rsidR="007C06D4" w:rsidRDefault="00DB43A5" w:rsidP="00203D50">
      <w:pPr>
        <w:pStyle w:val="ISMSNormal"/>
      </w:pPr>
    </w:p>
    <w:p w:rsidR="007C06D4" w:rsidRDefault="00ED23CD" w:rsidP="00203D50">
      <w:pPr>
        <w:pStyle w:val="ISMSNormal"/>
      </w:pPr>
      <w:r>
        <w:t xml:space="preserve">When all of the necessary information has been added, click on ‘Finish’ to submit the details of the security event to the ISM. The information entered will be used to assess the event and assign it to an appropriate owner for further action. </w:t>
      </w:r>
    </w:p>
    <w:p w:rsidR="007C06D4" w:rsidRDefault="00ED23CD" w:rsidP="00203D50">
      <w:pPr>
        <w:pStyle w:val="ISMSNormal"/>
      </w:pPr>
      <w:r>
        <w:t xml:space="preserve">  </w:t>
      </w:r>
    </w:p>
    <w:p w:rsidR="007C06D4" w:rsidRDefault="00ED23CD" w:rsidP="007C06D4">
      <w:pPr>
        <w:pStyle w:val="ISMSHeading3"/>
      </w:pPr>
      <w:bookmarkStart w:id="113" w:name="_Toc256000085"/>
      <w:bookmarkStart w:id="114" w:name="_Toc256000073"/>
      <w:bookmarkStart w:id="115" w:name="_Toc256000057"/>
      <w:bookmarkStart w:id="116" w:name="_Toc256000038"/>
      <w:bookmarkStart w:id="117" w:name="_Toc509218039"/>
      <w:bookmarkStart w:id="118" w:name="_Toc509834470"/>
      <w:bookmarkStart w:id="119" w:name="_Toc955505"/>
      <w:bookmarkStart w:id="120" w:name="_Toc6297773"/>
      <w:r>
        <w:t>Reporting a Security Event Using the Q-Pulse Windows Client</w:t>
      </w:r>
      <w:bookmarkEnd w:id="113"/>
      <w:bookmarkEnd w:id="114"/>
      <w:bookmarkEnd w:id="115"/>
      <w:bookmarkEnd w:id="116"/>
      <w:bookmarkEnd w:id="117"/>
      <w:bookmarkEnd w:id="118"/>
      <w:bookmarkEnd w:id="119"/>
      <w:bookmarkEnd w:id="120"/>
    </w:p>
    <w:p w:rsidR="007C06D4" w:rsidRDefault="00ED23CD" w:rsidP="00203D50">
      <w:pPr>
        <w:pStyle w:val="ISMSNormal"/>
      </w:pPr>
      <w:r>
        <w:t xml:space="preserve">To raise an incident via the Q-Pulse Windows client, click on the ‘Ideas’ dropdown </w:t>
      </w:r>
      <w:r>
        <w:rPr>
          <w:noProof/>
          <w:lang w:val="en-GB" w:eastAsia="en-GB"/>
        </w:rPr>
        <w:drawing>
          <wp:inline distT="0" distB="0" distL="0" distR="0">
            <wp:extent cx="34290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2900" cy="200025"/>
                    </a:xfrm>
                    <a:prstGeom prst="rect">
                      <a:avLst/>
                    </a:prstGeom>
                    <a:noFill/>
                    <a:ln>
                      <a:noFill/>
                    </a:ln>
                  </pic:spPr>
                </pic:pic>
              </a:graphicData>
            </a:graphic>
          </wp:inline>
        </w:drawing>
      </w:r>
      <w:r>
        <w:t xml:space="preserve"> on the toolbar of the Launchpad and select ‘Report an IS Event’. </w:t>
      </w:r>
    </w:p>
    <w:p w:rsidR="007C06D4" w:rsidRDefault="00DB43A5" w:rsidP="00203D50">
      <w:pPr>
        <w:pStyle w:val="ListParagraph"/>
        <w:numPr>
          <w:ilvl w:val="0"/>
          <w:numId w:val="0"/>
        </w:numPr>
        <w:ind w:left="720"/>
      </w:pPr>
    </w:p>
    <w:p w:rsidR="007C06D4" w:rsidRDefault="00ED23CD" w:rsidP="00203D50">
      <w:pPr>
        <w:pStyle w:val="ISMSNormal"/>
        <w:jc w:val="center"/>
      </w:pPr>
      <w:r w:rsidRPr="00B814EE">
        <w:rPr>
          <w:noProof/>
          <w:lang w:val="en-GB" w:eastAsia="en-GB"/>
        </w:rPr>
        <w:lastRenderedPageBreak/>
        <w:drawing>
          <wp:inline distT="0" distB="0" distL="0" distR="0">
            <wp:extent cx="567690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76900" cy="1076325"/>
                    </a:xfrm>
                    <a:prstGeom prst="rect">
                      <a:avLst/>
                    </a:prstGeom>
                    <a:noFill/>
                    <a:ln>
                      <a:noFill/>
                    </a:ln>
                  </pic:spPr>
                </pic:pic>
              </a:graphicData>
            </a:graphic>
          </wp:inline>
        </w:drawing>
      </w:r>
    </w:p>
    <w:p w:rsidR="007C06D4" w:rsidRDefault="00DB43A5" w:rsidP="00203D50">
      <w:pPr>
        <w:pStyle w:val="ISMSNormal"/>
      </w:pPr>
    </w:p>
    <w:p w:rsidR="007C06D4" w:rsidRDefault="00ED23CD" w:rsidP="00203D50">
      <w:pPr>
        <w:pStyle w:val="ISMSNormal"/>
      </w:pPr>
      <w:r>
        <w:t>Note: If the wizard does not appear see SOP-02-06 for details of how to add the wizard to your Launchpad.</w:t>
      </w:r>
    </w:p>
    <w:p w:rsidR="007C06D4" w:rsidRDefault="00DB43A5" w:rsidP="00203D50">
      <w:pPr>
        <w:pStyle w:val="ISMSNormal"/>
      </w:pPr>
    </w:p>
    <w:p w:rsidR="007C06D4" w:rsidRDefault="00ED23CD" w:rsidP="00203D50">
      <w:pPr>
        <w:pStyle w:val="ISMSNormal"/>
      </w:pPr>
      <w:r>
        <w:t>The “Welcome” screen will be displayed. Click on ‘Next’ to continue.</w:t>
      </w:r>
    </w:p>
    <w:p w:rsidR="007C06D4" w:rsidRDefault="00DB43A5" w:rsidP="00203D50">
      <w:pPr>
        <w:pStyle w:val="ISMSNormal"/>
      </w:pPr>
    </w:p>
    <w:p w:rsidR="007C06D4" w:rsidRDefault="00ED23CD" w:rsidP="00203D50">
      <w:pPr>
        <w:pStyle w:val="ISMSNormal"/>
        <w:jc w:val="center"/>
      </w:pPr>
      <w:r w:rsidRPr="00B814EE">
        <w:rPr>
          <w:noProof/>
          <w:lang w:val="en-GB" w:eastAsia="en-GB"/>
        </w:rPr>
        <w:drawing>
          <wp:inline distT="0" distB="0" distL="0" distR="0">
            <wp:extent cx="4485286"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485286" cy="3467100"/>
                    </a:xfrm>
                    <a:prstGeom prst="rect">
                      <a:avLst/>
                    </a:prstGeom>
                    <a:noFill/>
                    <a:ln>
                      <a:noFill/>
                    </a:ln>
                  </pic:spPr>
                </pic:pic>
              </a:graphicData>
            </a:graphic>
          </wp:inline>
        </w:drawing>
      </w:r>
    </w:p>
    <w:p w:rsidR="007C06D4" w:rsidRDefault="00DB43A5" w:rsidP="00203D50">
      <w:pPr>
        <w:pStyle w:val="ISMSNormal"/>
      </w:pPr>
    </w:p>
    <w:p w:rsidR="007C06D4" w:rsidRDefault="00ED23CD" w:rsidP="00203D50">
      <w:pPr>
        <w:pStyle w:val="ISMSNormal"/>
        <w:jc w:val="center"/>
      </w:pPr>
      <w:r w:rsidRPr="00B814EE">
        <w:rPr>
          <w:noProof/>
          <w:lang w:val="en-GB" w:eastAsia="en-GB"/>
        </w:rPr>
        <w:lastRenderedPageBreak/>
        <w:drawing>
          <wp:inline distT="0" distB="0" distL="0" distR="0">
            <wp:extent cx="4362450" cy="33359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62450" cy="3335991"/>
                    </a:xfrm>
                    <a:prstGeom prst="rect">
                      <a:avLst/>
                    </a:prstGeom>
                    <a:noFill/>
                    <a:ln>
                      <a:noFill/>
                    </a:ln>
                  </pic:spPr>
                </pic:pic>
              </a:graphicData>
            </a:graphic>
          </wp:inline>
        </w:drawing>
      </w:r>
    </w:p>
    <w:p w:rsidR="007C06D4" w:rsidRDefault="00DB43A5" w:rsidP="00203D50">
      <w:pPr>
        <w:pStyle w:val="ISMSNormal"/>
      </w:pPr>
    </w:p>
    <w:p w:rsidR="007C06D4" w:rsidRPr="007F59F4" w:rsidRDefault="00ED23CD" w:rsidP="00203D50">
      <w:r>
        <w:t>Complete the fields for the information security event as follows:</w:t>
      </w:r>
    </w:p>
    <w:p w:rsidR="007C06D4" w:rsidRPr="007F59F4" w:rsidRDefault="00DB43A5" w:rsidP="00203D50"/>
    <w:p w:rsidR="007C06D4" w:rsidRDefault="00ED23CD" w:rsidP="00203D50">
      <w:pPr>
        <w:pStyle w:val="ListParagraph"/>
      </w:pPr>
      <w:r w:rsidRPr="00BA6F62">
        <w:rPr>
          <w:b/>
        </w:rPr>
        <w:t xml:space="preserve">Details </w:t>
      </w:r>
      <w:r>
        <w:t>– Enter the details of the event. Include the date and time observed if possible.</w:t>
      </w:r>
    </w:p>
    <w:p w:rsidR="007C06D4" w:rsidRDefault="00ED23CD" w:rsidP="00203D50">
      <w:pPr>
        <w:pStyle w:val="ListParagraph"/>
      </w:pPr>
      <w:r w:rsidRPr="00BA6F62">
        <w:rPr>
          <w:b/>
        </w:rPr>
        <w:t xml:space="preserve">Attachment </w:t>
      </w:r>
      <w:r>
        <w:t>– Attach any documents that may support or assist the event report.</w:t>
      </w:r>
    </w:p>
    <w:p w:rsidR="007C06D4" w:rsidRDefault="00ED23CD" w:rsidP="00203D50">
      <w:pPr>
        <w:pStyle w:val="ListParagraph"/>
      </w:pPr>
      <w:r w:rsidRPr="00BA6F62">
        <w:rPr>
          <w:b/>
        </w:rPr>
        <w:t>Event Category</w:t>
      </w:r>
      <w:r>
        <w:t xml:space="preserve"> – Where possible select an item from the drop-down to classify the nature of the security event e.g. malfunction of hardware, non-compliance.</w:t>
      </w:r>
    </w:p>
    <w:p w:rsidR="007C06D4" w:rsidRDefault="00ED23CD" w:rsidP="00203D50">
      <w:pPr>
        <w:pStyle w:val="ListParagraph"/>
      </w:pPr>
      <w:r w:rsidRPr="00BA6F62">
        <w:rPr>
          <w:b/>
        </w:rPr>
        <w:t>Raised by Person</w:t>
      </w:r>
      <w:r>
        <w:t xml:space="preserve"> – Add the name of the person that is reporting the event</w:t>
      </w:r>
    </w:p>
    <w:p w:rsidR="007C06D4" w:rsidRPr="00BA6F62" w:rsidRDefault="00ED23CD" w:rsidP="00203D50">
      <w:pPr>
        <w:pStyle w:val="ListParagraph"/>
      </w:pPr>
      <w:r w:rsidRPr="00BA6F62">
        <w:rPr>
          <w:b/>
        </w:rPr>
        <w:t xml:space="preserve">Source </w:t>
      </w:r>
      <w:r>
        <w:t xml:space="preserve">– This field is set by default to “Security Event” and </w:t>
      </w:r>
      <w:r w:rsidRPr="006044B3">
        <w:rPr>
          <w:b/>
        </w:rPr>
        <w:t>should not be updated</w:t>
      </w:r>
      <w:r>
        <w:t>. Note: It is only visible if the screen is scrolled.</w:t>
      </w:r>
    </w:p>
    <w:p w:rsidR="007C06D4" w:rsidRDefault="00DB43A5" w:rsidP="00203D50">
      <w:pPr>
        <w:pStyle w:val="ISMSNormal"/>
      </w:pPr>
    </w:p>
    <w:p w:rsidR="007C06D4" w:rsidRDefault="00ED23CD" w:rsidP="00203D50">
      <w:pPr>
        <w:pStyle w:val="ISMSNormal"/>
      </w:pPr>
      <w:r>
        <w:t>When all of the necessary information has been added, click on ‘Next’ and the final screen will be presented.</w:t>
      </w:r>
    </w:p>
    <w:p w:rsidR="007C06D4" w:rsidRDefault="00ED23CD" w:rsidP="00203D50">
      <w:pPr>
        <w:pStyle w:val="ISMSNormal"/>
        <w:jc w:val="center"/>
      </w:pPr>
      <w:r>
        <w:rPr>
          <w:noProof/>
          <w:lang w:val="en-GB" w:eastAsia="en-GB"/>
        </w:rPr>
        <w:lastRenderedPageBreak/>
        <w:drawing>
          <wp:inline distT="0" distB="0" distL="0" distR="0">
            <wp:extent cx="4220663" cy="32670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20663" cy="3267075"/>
                    </a:xfrm>
                    <a:prstGeom prst="rect">
                      <a:avLst/>
                    </a:prstGeom>
                    <a:noFill/>
                    <a:ln>
                      <a:noFill/>
                    </a:ln>
                  </pic:spPr>
                </pic:pic>
              </a:graphicData>
            </a:graphic>
          </wp:inline>
        </w:drawing>
      </w:r>
    </w:p>
    <w:p w:rsidR="007C06D4" w:rsidRDefault="00DB43A5" w:rsidP="00203D50">
      <w:pPr>
        <w:pStyle w:val="ISMSNormal"/>
      </w:pPr>
    </w:p>
    <w:p w:rsidR="007C06D4" w:rsidRDefault="00ED23CD" w:rsidP="00203D50">
      <w:pPr>
        <w:pStyle w:val="ISMSNormal"/>
      </w:pPr>
      <w:r>
        <w:t xml:space="preserve">Click on ‘Finish’ to submit the details of the security event to the ISM. The information entered will be used to assess the event and assign it to an appropriate owner for further action. </w:t>
      </w:r>
    </w:p>
    <w:p w:rsidR="007C06D4" w:rsidRDefault="00DB43A5" w:rsidP="00203D50">
      <w:pPr>
        <w:pStyle w:val="ISMSNormal"/>
      </w:pPr>
    </w:p>
    <w:p w:rsidR="007C06D4" w:rsidRDefault="00ED23CD" w:rsidP="007C06D4">
      <w:pPr>
        <w:pStyle w:val="ISMSHeading3"/>
      </w:pPr>
      <w:bookmarkStart w:id="121" w:name="_Toc256000086"/>
      <w:bookmarkStart w:id="122" w:name="_Toc256000074"/>
      <w:bookmarkStart w:id="123" w:name="_Toc256000058"/>
      <w:bookmarkStart w:id="124" w:name="_Toc256000042"/>
      <w:bookmarkStart w:id="125" w:name="_Toc509218040"/>
      <w:bookmarkStart w:id="126" w:name="_Toc509834471"/>
      <w:bookmarkStart w:id="127" w:name="_Toc955506"/>
      <w:bookmarkStart w:id="128" w:name="_Toc6297774"/>
      <w:r>
        <w:t>Reporting a Security Weakness or Opportunity</w:t>
      </w:r>
      <w:bookmarkEnd w:id="121"/>
      <w:bookmarkEnd w:id="122"/>
      <w:bookmarkEnd w:id="123"/>
      <w:bookmarkEnd w:id="124"/>
      <w:bookmarkEnd w:id="125"/>
      <w:bookmarkEnd w:id="126"/>
      <w:bookmarkEnd w:id="127"/>
      <w:bookmarkEnd w:id="128"/>
    </w:p>
    <w:p w:rsidR="007C06D4" w:rsidRDefault="00ED23CD" w:rsidP="00203D50">
      <w:pPr>
        <w:pStyle w:val="ISMSNormal"/>
        <w:rPr>
          <w:lang w:val="en-GB"/>
        </w:rPr>
      </w:pPr>
      <w:r>
        <w:rPr>
          <w:lang w:val="en-GB"/>
        </w:rPr>
        <w:t xml:space="preserve">The Q-Pulse steps are similar for reporting a security weakness or opportunity although some of the fields that are required will differ. Only the data entry dialogs will be shown here. </w:t>
      </w:r>
    </w:p>
    <w:p w:rsidR="007C06D4" w:rsidRDefault="00DB43A5" w:rsidP="00203D50">
      <w:pPr>
        <w:pStyle w:val="ISMSNormal"/>
        <w:rPr>
          <w:lang w:val="en-GB"/>
        </w:rPr>
      </w:pPr>
    </w:p>
    <w:p w:rsidR="007C06D4" w:rsidRDefault="00ED23CD" w:rsidP="007C06D4">
      <w:pPr>
        <w:pStyle w:val="ISMSHeading4"/>
      </w:pPr>
      <w:bookmarkStart w:id="129" w:name="_Toc256000087"/>
      <w:bookmarkStart w:id="130" w:name="_Toc256000075"/>
      <w:bookmarkStart w:id="131" w:name="_Toc256000059"/>
      <w:bookmarkStart w:id="132" w:name="_Toc256000043"/>
      <w:bookmarkStart w:id="133" w:name="_Toc509218041"/>
      <w:bookmarkStart w:id="134" w:name="_Toc509834472"/>
      <w:bookmarkStart w:id="135" w:name="_Toc955507"/>
      <w:bookmarkStart w:id="136" w:name="_Toc6297775"/>
      <w:r>
        <w:t>Using the Q-Pulse Web Interface</w:t>
      </w:r>
      <w:bookmarkEnd w:id="129"/>
      <w:bookmarkEnd w:id="130"/>
      <w:bookmarkEnd w:id="131"/>
      <w:bookmarkEnd w:id="132"/>
      <w:bookmarkEnd w:id="133"/>
      <w:bookmarkEnd w:id="134"/>
      <w:bookmarkEnd w:id="135"/>
      <w:bookmarkEnd w:id="136"/>
    </w:p>
    <w:p w:rsidR="007C06D4" w:rsidRPr="00DF03ED" w:rsidRDefault="00ED23CD" w:rsidP="00203D50">
      <w:pPr>
        <w:pStyle w:val="ISMSNormal"/>
        <w:rPr>
          <w:lang w:val="en-GB"/>
        </w:rPr>
      </w:pPr>
      <w:r>
        <w:rPr>
          <w:lang w:val="en-GB"/>
        </w:rPr>
        <w:t>The wizard screen will be presented in the web interface as follows:</w:t>
      </w:r>
    </w:p>
    <w:p w:rsidR="007C06D4" w:rsidRDefault="00DB43A5" w:rsidP="00203D50">
      <w:pPr>
        <w:pStyle w:val="ISMSNormal"/>
        <w:rPr>
          <w:lang w:val="en-GB"/>
        </w:rPr>
      </w:pPr>
    </w:p>
    <w:p w:rsidR="007C06D4" w:rsidRDefault="00DB43A5" w:rsidP="00203D50">
      <w:pPr>
        <w:pStyle w:val="ISMSNormal"/>
        <w:rPr>
          <w:lang w:val="en-GB"/>
        </w:rPr>
      </w:pPr>
    </w:p>
    <w:p w:rsidR="007C06D4" w:rsidRDefault="00ED23CD" w:rsidP="00203D50">
      <w:pPr>
        <w:pStyle w:val="ISMSNormal"/>
        <w:rPr>
          <w:lang w:val="en-GB"/>
        </w:rPr>
      </w:pPr>
      <w:r>
        <w:rPr>
          <w:noProof/>
          <w:lang w:val="en-GB" w:eastAsia="en-GB"/>
        </w:rPr>
        <w:lastRenderedPageBreak/>
        <w:drawing>
          <wp:inline distT="0" distB="0" distL="0" distR="0">
            <wp:extent cx="5734050" cy="5381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4050" cy="5381625"/>
                    </a:xfrm>
                    <a:prstGeom prst="rect">
                      <a:avLst/>
                    </a:prstGeom>
                    <a:noFill/>
                    <a:ln>
                      <a:noFill/>
                    </a:ln>
                  </pic:spPr>
                </pic:pic>
              </a:graphicData>
            </a:graphic>
          </wp:inline>
        </w:drawing>
      </w:r>
    </w:p>
    <w:p w:rsidR="007C06D4" w:rsidRPr="007F59F4" w:rsidRDefault="00ED23CD" w:rsidP="00203D50">
      <w:r>
        <w:t>Complete the fields for the information security event as follows:</w:t>
      </w:r>
    </w:p>
    <w:p w:rsidR="007C06D4" w:rsidRDefault="00DB43A5" w:rsidP="00203D50">
      <w:pPr>
        <w:pStyle w:val="ISMSNormal"/>
        <w:rPr>
          <w:lang w:val="en-GB"/>
        </w:rPr>
      </w:pPr>
    </w:p>
    <w:p w:rsidR="007C06D4" w:rsidRDefault="00ED23CD" w:rsidP="00203D50">
      <w:pPr>
        <w:pStyle w:val="ListParagraph"/>
      </w:pPr>
      <w:r w:rsidRPr="00BA6F62">
        <w:rPr>
          <w:b/>
        </w:rPr>
        <w:t xml:space="preserve">Details </w:t>
      </w:r>
      <w:r>
        <w:t>– Enter the details of the weakness or opportunity.</w:t>
      </w:r>
    </w:p>
    <w:p w:rsidR="007C06D4" w:rsidRDefault="00ED23CD" w:rsidP="00203D50">
      <w:pPr>
        <w:pStyle w:val="ListParagraph"/>
      </w:pPr>
      <w:r w:rsidRPr="00BA6F62">
        <w:rPr>
          <w:b/>
        </w:rPr>
        <w:t xml:space="preserve">Attachment </w:t>
      </w:r>
      <w:r>
        <w:t>– Attach any documents that may support or assist the proposal.</w:t>
      </w:r>
    </w:p>
    <w:p w:rsidR="007C06D4" w:rsidRDefault="00ED23CD" w:rsidP="00203D50">
      <w:pPr>
        <w:pStyle w:val="ListParagraph"/>
      </w:pPr>
      <w:r>
        <w:rPr>
          <w:b/>
        </w:rPr>
        <w:t xml:space="preserve">Process </w:t>
      </w:r>
      <w:r>
        <w:t>– Where possible select an item from the drop-down to classify the process that is affected by the proposal e.g. Staff Induction, Update and Exit.</w:t>
      </w:r>
    </w:p>
    <w:p w:rsidR="007C06D4" w:rsidRDefault="00ED23CD" w:rsidP="00203D50">
      <w:pPr>
        <w:pStyle w:val="ListParagraph"/>
      </w:pPr>
      <w:r w:rsidRPr="00BA6F62">
        <w:rPr>
          <w:b/>
        </w:rPr>
        <w:t>Raised by Person</w:t>
      </w:r>
      <w:r>
        <w:t xml:space="preserve"> – Add the name of the person that is reporting the weakness or opportunity.</w:t>
      </w:r>
    </w:p>
    <w:p w:rsidR="007C06D4" w:rsidRPr="00BA6F62" w:rsidRDefault="00ED23CD" w:rsidP="00203D50">
      <w:pPr>
        <w:pStyle w:val="ListParagraph"/>
      </w:pPr>
      <w:r w:rsidRPr="00BA6F62">
        <w:rPr>
          <w:b/>
        </w:rPr>
        <w:t xml:space="preserve">Source </w:t>
      </w:r>
      <w:r>
        <w:t xml:space="preserve">– This field is set by default to “Opportunity” and </w:t>
      </w:r>
      <w:r w:rsidRPr="006044B3">
        <w:rPr>
          <w:b/>
        </w:rPr>
        <w:t>should not be updated</w:t>
      </w:r>
      <w:r>
        <w:rPr>
          <w:b/>
        </w:rPr>
        <w:t>.</w:t>
      </w:r>
    </w:p>
    <w:p w:rsidR="007C06D4" w:rsidRPr="00B814EE" w:rsidRDefault="00DB43A5" w:rsidP="00203D50">
      <w:pPr>
        <w:pStyle w:val="ISMSNormal"/>
        <w:rPr>
          <w:lang w:val="en-GB"/>
        </w:rPr>
      </w:pPr>
    </w:p>
    <w:p w:rsidR="007C06D4" w:rsidRDefault="00ED23CD" w:rsidP="007C06D4">
      <w:pPr>
        <w:pStyle w:val="ISMSHeading4"/>
      </w:pPr>
      <w:bookmarkStart w:id="137" w:name="_Toc256000088"/>
      <w:bookmarkStart w:id="138" w:name="_Toc256000076"/>
      <w:bookmarkStart w:id="139" w:name="_Toc256000060"/>
      <w:bookmarkStart w:id="140" w:name="_Toc256000044"/>
      <w:bookmarkStart w:id="141" w:name="_Toc509218042"/>
      <w:bookmarkStart w:id="142" w:name="_Toc509834473"/>
      <w:bookmarkStart w:id="143" w:name="_Toc955508"/>
      <w:bookmarkStart w:id="144" w:name="_Toc6297776"/>
      <w:r>
        <w:t>Using the Q-Pulse Windows Client</w:t>
      </w:r>
      <w:bookmarkEnd w:id="137"/>
      <w:bookmarkEnd w:id="138"/>
      <w:bookmarkEnd w:id="139"/>
      <w:bookmarkEnd w:id="140"/>
      <w:bookmarkEnd w:id="141"/>
      <w:bookmarkEnd w:id="142"/>
      <w:bookmarkEnd w:id="143"/>
      <w:bookmarkEnd w:id="144"/>
    </w:p>
    <w:p w:rsidR="007C06D4" w:rsidRPr="004E0958" w:rsidRDefault="00ED23CD" w:rsidP="00203D50">
      <w:pPr>
        <w:pStyle w:val="ISMSNormal"/>
        <w:rPr>
          <w:lang w:val="en-GB"/>
        </w:rPr>
      </w:pPr>
      <w:r>
        <w:rPr>
          <w:lang w:val="en-GB"/>
        </w:rPr>
        <w:t>The wizard screen will be presented in the windows client as follows</w:t>
      </w:r>
    </w:p>
    <w:p w:rsidR="007C06D4" w:rsidRDefault="00DB43A5" w:rsidP="00203D50">
      <w:pPr>
        <w:pStyle w:val="ISMSNormal"/>
        <w:rPr>
          <w:lang w:val="en-GB"/>
        </w:rPr>
      </w:pPr>
    </w:p>
    <w:p w:rsidR="007C06D4" w:rsidRPr="00DF03ED" w:rsidRDefault="00ED23CD" w:rsidP="00203D50">
      <w:pPr>
        <w:pStyle w:val="ISMSNormal"/>
        <w:jc w:val="center"/>
        <w:rPr>
          <w:lang w:val="en-GB"/>
        </w:rPr>
      </w:pPr>
      <w:r>
        <w:rPr>
          <w:noProof/>
          <w:lang w:val="en-GB" w:eastAsia="en-GB"/>
        </w:rPr>
        <w:lastRenderedPageBreak/>
        <w:drawing>
          <wp:inline distT="0" distB="0" distL="0" distR="0">
            <wp:extent cx="4248150" cy="327357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248150" cy="3273574"/>
                    </a:xfrm>
                    <a:prstGeom prst="rect">
                      <a:avLst/>
                    </a:prstGeom>
                    <a:noFill/>
                    <a:ln>
                      <a:noFill/>
                    </a:ln>
                  </pic:spPr>
                </pic:pic>
              </a:graphicData>
            </a:graphic>
          </wp:inline>
        </w:drawing>
      </w:r>
    </w:p>
    <w:p w:rsidR="007C06D4" w:rsidRPr="007F59F4" w:rsidRDefault="00ED23CD" w:rsidP="00203D50">
      <w:r>
        <w:t>Complete the fields for the information security event as follows:</w:t>
      </w:r>
    </w:p>
    <w:p w:rsidR="007C06D4" w:rsidRDefault="00DB43A5" w:rsidP="00203D50">
      <w:pPr>
        <w:pStyle w:val="ISMSNormal"/>
      </w:pPr>
    </w:p>
    <w:p w:rsidR="007C06D4" w:rsidRDefault="00ED23CD" w:rsidP="00203D50">
      <w:pPr>
        <w:pStyle w:val="ListParagraph"/>
      </w:pPr>
      <w:r w:rsidRPr="00BA6F62">
        <w:rPr>
          <w:b/>
        </w:rPr>
        <w:t xml:space="preserve">Details </w:t>
      </w:r>
      <w:r>
        <w:t>– Enter the details of the weakness or opportunity.</w:t>
      </w:r>
    </w:p>
    <w:p w:rsidR="007C06D4" w:rsidRDefault="00ED23CD" w:rsidP="00203D50">
      <w:pPr>
        <w:pStyle w:val="ListParagraph"/>
      </w:pPr>
      <w:r w:rsidRPr="00BA6F62">
        <w:rPr>
          <w:b/>
        </w:rPr>
        <w:t xml:space="preserve">Attachment </w:t>
      </w:r>
      <w:r>
        <w:t>– Attach any documents that may support or assist the proposal.</w:t>
      </w:r>
    </w:p>
    <w:p w:rsidR="007C06D4" w:rsidRDefault="00ED23CD" w:rsidP="00203D50">
      <w:pPr>
        <w:pStyle w:val="ListParagraph"/>
      </w:pPr>
      <w:r>
        <w:rPr>
          <w:b/>
        </w:rPr>
        <w:t xml:space="preserve">Process </w:t>
      </w:r>
      <w:r>
        <w:t>– Where possible select an item from the drop-down to classify the process that is affected by the proposal e.g. Staff Induction, Update and Exit.</w:t>
      </w:r>
    </w:p>
    <w:p w:rsidR="007C06D4" w:rsidRDefault="00ED23CD" w:rsidP="00203D50">
      <w:pPr>
        <w:pStyle w:val="ListParagraph"/>
      </w:pPr>
      <w:r w:rsidRPr="00BA6F62">
        <w:rPr>
          <w:b/>
        </w:rPr>
        <w:t>Raised by Person</w:t>
      </w:r>
      <w:r>
        <w:t xml:space="preserve"> – Add the name of the person that is reporting the weakness or opportunity.</w:t>
      </w:r>
    </w:p>
    <w:p w:rsidR="007C06D4" w:rsidRDefault="00ED23CD" w:rsidP="00203D50">
      <w:pPr>
        <w:pStyle w:val="ListParagraph"/>
      </w:pPr>
      <w:r w:rsidRPr="00DF03ED">
        <w:rPr>
          <w:b/>
        </w:rPr>
        <w:t xml:space="preserve">Source </w:t>
      </w:r>
      <w:r>
        <w:t xml:space="preserve">– This field is set by default to “Opportunity” and </w:t>
      </w:r>
      <w:r w:rsidRPr="006044B3">
        <w:rPr>
          <w:b/>
        </w:rPr>
        <w:t>should not be updated</w:t>
      </w:r>
      <w:r>
        <w:t>. Note: It is only visible if the screen is scrolled.</w:t>
      </w:r>
    </w:p>
    <w:p w:rsidR="007C06D4" w:rsidRDefault="00DB43A5" w:rsidP="00203D50">
      <w:pPr>
        <w:pStyle w:val="ISMSNormal"/>
      </w:pPr>
    </w:p>
    <w:p w:rsidR="007C06D4" w:rsidRDefault="00ED23CD" w:rsidP="007C06D4">
      <w:pPr>
        <w:pStyle w:val="ISMSHeading2"/>
      </w:pPr>
      <w:bookmarkStart w:id="145" w:name="_Toc256000089"/>
      <w:bookmarkStart w:id="146" w:name="_Toc256000077"/>
      <w:bookmarkStart w:id="147" w:name="_Toc256000061"/>
      <w:bookmarkStart w:id="148" w:name="_Toc256000045"/>
      <w:bookmarkStart w:id="149" w:name="_Toc256000039"/>
      <w:bookmarkStart w:id="150" w:name="_Toc256000027"/>
      <w:bookmarkStart w:id="151" w:name="_Toc256000015"/>
      <w:bookmarkStart w:id="152" w:name="_Toc481577888"/>
      <w:bookmarkStart w:id="153" w:name="_Toc490556680"/>
      <w:bookmarkStart w:id="154" w:name="_Toc493661215"/>
      <w:bookmarkStart w:id="155" w:name="_Toc501023341"/>
      <w:bookmarkStart w:id="156" w:name="_Toc509218043"/>
      <w:bookmarkStart w:id="157" w:name="_Toc509834474"/>
      <w:bookmarkStart w:id="158" w:name="_Toc955509"/>
      <w:bookmarkStart w:id="159" w:name="_Toc6297777"/>
      <w:r w:rsidRPr="005F4E50">
        <w:t>Additional steps</w:t>
      </w:r>
      <w:r>
        <w:t xml:space="preserve"> required by University of Manchester Policy</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7C06D4" w:rsidRPr="000D5078" w:rsidRDefault="00ED23CD" w:rsidP="00203D50">
      <w:pPr>
        <w:pStyle w:val="ISMSNormal"/>
      </w:pPr>
      <w:r w:rsidRPr="000D5078">
        <w:t>In</w:t>
      </w:r>
      <w:r>
        <w:t xml:space="preserve"> </w:t>
      </w:r>
      <w:r w:rsidRPr="000D5078">
        <w:t>addition to the above steps</w:t>
      </w:r>
      <w:r>
        <w:t>, it may be necessary to report the event to the following groups. If in doubt - report it.</w:t>
      </w:r>
    </w:p>
    <w:p w:rsidR="007C06D4" w:rsidRPr="00B92F69" w:rsidRDefault="00DB43A5" w:rsidP="00203D50">
      <w:pPr>
        <w:pStyle w:val="ISMSNormal"/>
        <w:rPr>
          <w:b/>
        </w:rPr>
      </w:pPr>
    </w:p>
    <w:p w:rsidR="007C06D4" w:rsidRDefault="00ED23CD" w:rsidP="00203D50">
      <w:pPr>
        <w:pStyle w:val="ISMSNormal"/>
      </w:pPr>
      <w:r>
        <w:t>Theft or loss of university data or equipment, regardless of where the data/equipment was taken from, should be reported to the university security office on 0161 306 9966. The security office will contact you to discuss the type of data that has been lost or stolen and to determine the action to be taken. The security office is also the first point of contact when stolen property is found, and so they should have a full record of the event.</w:t>
      </w:r>
    </w:p>
    <w:p w:rsidR="007C06D4" w:rsidRDefault="00DB43A5" w:rsidP="00203D50">
      <w:pPr>
        <w:pStyle w:val="ISMSNormal"/>
      </w:pPr>
    </w:p>
    <w:p w:rsidR="007C06D4" w:rsidRDefault="00ED23CD" w:rsidP="00203D50">
      <w:pPr>
        <w:pStyle w:val="ISMSNormal"/>
      </w:pPr>
      <w:r>
        <w:t xml:space="preserve">Personal data at risk events should be reported to the Records Management Office on 0161 275 8111, or outside of office hours via email to: </w:t>
      </w:r>
      <w:hyperlink r:id="rId22" w:history="1">
        <w:r w:rsidRPr="002C16BB">
          <w:rPr>
            <w:rStyle w:val="Hyperlink"/>
          </w:rPr>
          <w:t>infosec@listserv.manchester.ac.uk</w:t>
        </w:r>
      </w:hyperlink>
      <w:r>
        <w:t>. The Records management office will provide advice and guidance on the next steps; they may also decide to contact the Information Commissioner’s Office.</w:t>
      </w:r>
    </w:p>
    <w:p w:rsidR="007C06D4" w:rsidRDefault="00DB43A5" w:rsidP="00203D50">
      <w:pPr>
        <w:pStyle w:val="ISMSNormal"/>
      </w:pPr>
    </w:p>
    <w:p w:rsidR="007C06D4" w:rsidRPr="005F4E50" w:rsidRDefault="00ED23CD" w:rsidP="00203D50">
      <w:pPr>
        <w:pStyle w:val="ISMSNormal"/>
      </w:pPr>
      <w:r w:rsidRPr="006F042A">
        <w:t xml:space="preserve">For any </w:t>
      </w:r>
      <w:r>
        <w:t>event w</w:t>
      </w:r>
      <w:r w:rsidRPr="006F042A">
        <w:t xml:space="preserve">here you feel appropriate action is not being taken then it may be escalated to the </w:t>
      </w:r>
      <w:r>
        <w:t>University Information Security Manager on 0161 275 2122.</w:t>
      </w:r>
    </w:p>
    <w:p w:rsidR="007C06D4" w:rsidRPr="00B92F69" w:rsidRDefault="00DB43A5" w:rsidP="00203D50">
      <w:pPr>
        <w:pStyle w:val="ISMSNormal"/>
        <w:rPr>
          <w:b/>
        </w:rPr>
      </w:pPr>
    </w:p>
    <w:p w:rsidR="007C06D4" w:rsidRDefault="00ED23CD" w:rsidP="007C06D4">
      <w:pPr>
        <w:pStyle w:val="ISMSHeading1"/>
      </w:pPr>
      <w:bookmarkStart w:id="160" w:name="_Toc256000090"/>
      <w:bookmarkStart w:id="161" w:name="_Toc256000078"/>
      <w:bookmarkStart w:id="162" w:name="_Toc256000062"/>
      <w:bookmarkStart w:id="163" w:name="_Toc256000046"/>
      <w:bookmarkStart w:id="164" w:name="_Toc256000040"/>
      <w:bookmarkStart w:id="165" w:name="_Toc256000028"/>
      <w:bookmarkStart w:id="166" w:name="_Toc256000016"/>
      <w:bookmarkStart w:id="167" w:name="_Toc481577889"/>
      <w:bookmarkStart w:id="168" w:name="_Toc490556681"/>
      <w:bookmarkStart w:id="169" w:name="_Toc493661216"/>
      <w:bookmarkStart w:id="170" w:name="_Toc501023342"/>
      <w:bookmarkStart w:id="171" w:name="_Toc509218044"/>
      <w:bookmarkStart w:id="172" w:name="_Toc509834475"/>
      <w:bookmarkStart w:id="173" w:name="_Toc955510"/>
      <w:bookmarkStart w:id="174" w:name="_Toc6297778"/>
      <w:r>
        <w:t>Cross-referenced ISMS Documents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sdt>
      <w:sdtPr>
        <w:tag w:val="QPulse_DocRelatedDocuments"/>
        <w:id w:val="-176422272"/>
        <w:lock w:val="contentLocked"/>
      </w:sdtPr>
      <w:sdtEndPr/>
      <w:sdtContent>
        <w:p w:rsidR="007C06D4" w:rsidRDefault="00DB43A5" w:rsidP="00203D50"/>
        <w:tbl>
          <w:tblPr>
            <w:tblStyle w:val="TableProfessional"/>
            <w:tblW w:w="0" w:type="auto"/>
            <w:tblLayout w:type="fixed"/>
            <w:tblLook w:val="04A0" w:firstRow="1" w:lastRow="0" w:firstColumn="1" w:lastColumn="0" w:noHBand="0" w:noVBand="1"/>
          </w:tblPr>
          <w:tblGrid>
            <w:gridCol w:w="3080"/>
            <w:gridCol w:w="3081"/>
            <w:gridCol w:w="3081"/>
          </w:tblGrid>
          <w:tr w:rsidR="004F3B4F" w:rsidTr="004F3B4F">
            <w:trPr>
              <w:cnfStyle w:val="100000000000" w:firstRow="1" w:lastRow="0" w:firstColumn="0" w:lastColumn="0" w:oddVBand="0" w:evenVBand="0" w:oddHBand="0" w:evenHBand="0" w:firstRowFirstColumn="0" w:firstRowLastColumn="0" w:lastRowFirstColumn="0" w:lastRowLastColumn="0"/>
            </w:trPr>
            <w:tc>
              <w:tcPr>
                <w:tcW w:w="3080" w:type="dxa"/>
              </w:tcPr>
              <w:p w:rsidR="007C06D4" w:rsidRPr="00C02CC1" w:rsidRDefault="00ED23CD" w:rsidP="00203D50">
                <w:r>
                  <w:t>Number</w:t>
                </w:r>
              </w:p>
            </w:tc>
            <w:tc>
              <w:tcPr>
                <w:tcW w:w="3081" w:type="dxa"/>
              </w:tcPr>
              <w:p w:rsidR="007C06D4" w:rsidRPr="00C02CC1" w:rsidRDefault="00ED23CD" w:rsidP="00203D50">
                <w:r>
                  <w:t>Type</w:t>
                </w:r>
              </w:p>
            </w:tc>
            <w:tc>
              <w:tcPr>
                <w:tcW w:w="3081" w:type="dxa"/>
              </w:tcPr>
              <w:p w:rsidR="007C06D4" w:rsidRPr="00C02CC1" w:rsidRDefault="00ED23CD" w:rsidP="00203D50">
                <w:r>
                  <w:t>Title</w:t>
                </w:r>
              </w:p>
            </w:tc>
          </w:tr>
          <w:tr w:rsidR="004F3B4F" w:rsidTr="004F3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4F3B4F" w:rsidRDefault="00ED23CD">
                <w:r>
                  <w:t>SOP-02-06</w:t>
                </w:r>
              </w:p>
            </w:tc>
            <w:tc>
              <w:tcPr>
                <w:tcW w:w="360" w:type="dxa"/>
              </w:tcPr>
              <w:p w:rsidR="004F3B4F" w:rsidRDefault="00ED23CD">
                <w:r>
                  <w:t>ISMS\SOP\ISMS Management - SOP</w:t>
                </w:r>
              </w:p>
            </w:tc>
            <w:tc>
              <w:tcPr>
                <w:tcW w:w="360" w:type="dxa"/>
              </w:tcPr>
              <w:p w:rsidR="004F3B4F" w:rsidRDefault="00ED23CD">
                <w:r>
                  <w:t>Use of Q-Pulse</w:t>
                </w:r>
              </w:p>
            </w:tc>
          </w:tr>
          <w:tr w:rsidR="004F3B4F" w:rsidTr="004F3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4F3B4F" w:rsidRDefault="00ED23CD">
                <w:r>
                  <w:t>SOP-02-03</w:t>
                </w:r>
              </w:p>
            </w:tc>
            <w:tc>
              <w:tcPr>
                <w:tcW w:w="360" w:type="dxa"/>
              </w:tcPr>
              <w:p w:rsidR="004F3B4F" w:rsidRDefault="00ED23CD">
                <w:r>
                  <w:t>ISMS\SOP\ISMS Management - SOP</w:t>
                </w:r>
              </w:p>
            </w:tc>
            <w:tc>
              <w:tcPr>
                <w:tcW w:w="360" w:type="dxa"/>
              </w:tcPr>
              <w:p w:rsidR="004F3B4F" w:rsidRDefault="00ED23CD">
                <w:r>
                  <w:t>Managing Security Events and Weaknesses</w:t>
                </w:r>
              </w:p>
            </w:tc>
          </w:tr>
          <w:tr w:rsidR="004F3B4F" w:rsidTr="004F3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4F3B4F" w:rsidRDefault="00ED23CD">
                <w:r>
                  <w:t>SOP-03-11</w:t>
                </w:r>
              </w:p>
            </w:tc>
            <w:tc>
              <w:tcPr>
                <w:tcW w:w="360" w:type="dxa"/>
              </w:tcPr>
              <w:p w:rsidR="004F3B4F" w:rsidRDefault="00ED23CD">
                <w:r>
                  <w:t>ISMS\SOP\TRE Operations - SOP</w:t>
                </w:r>
              </w:p>
            </w:tc>
            <w:tc>
              <w:tcPr>
                <w:tcW w:w="360" w:type="dxa"/>
              </w:tcPr>
              <w:p w:rsidR="004F3B4F" w:rsidRDefault="00ED23CD">
                <w:r>
                  <w:t>Protecting the TRE from Malware</w:t>
                </w:r>
              </w:p>
            </w:tc>
          </w:tr>
        </w:tbl>
        <w:p w:rsidR="007C06D4" w:rsidRPr="00B92F69" w:rsidRDefault="00DB43A5" w:rsidP="00203D50">
          <w:pPr>
            <w:rPr>
              <w:rFonts w:eastAsia="Times New Roman"/>
              <w:lang w:val="en-US"/>
            </w:rPr>
          </w:pPr>
        </w:p>
      </w:sdtContent>
    </w:sdt>
    <w:p w:rsidR="007C06D4" w:rsidRDefault="00ED23CD" w:rsidP="007C06D4">
      <w:pPr>
        <w:pStyle w:val="ISMSHeading1"/>
      </w:pPr>
      <w:bookmarkStart w:id="175" w:name="_Toc256000091"/>
      <w:bookmarkStart w:id="176" w:name="_Toc256000079"/>
      <w:bookmarkStart w:id="177" w:name="_Toc256000063"/>
      <w:bookmarkStart w:id="178" w:name="_Toc256000047"/>
      <w:bookmarkStart w:id="179" w:name="_Toc256000041"/>
      <w:bookmarkStart w:id="180" w:name="_Toc256000029"/>
      <w:bookmarkStart w:id="181" w:name="_Toc256000017"/>
      <w:bookmarkStart w:id="182" w:name="_Toc481577890"/>
      <w:bookmarkStart w:id="183" w:name="_Toc490556682"/>
      <w:bookmarkStart w:id="184" w:name="_Toc493661217"/>
      <w:bookmarkStart w:id="185" w:name="_Toc501023343"/>
      <w:bookmarkStart w:id="186" w:name="_Toc509218045"/>
      <w:bookmarkStart w:id="187" w:name="_Toc509834476"/>
      <w:bookmarkStart w:id="188" w:name="_Toc955511"/>
      <w:bookmarkStart w:id="189" w:name="_Toc6297779"/>
      <w:r w:rsidRPr="000F2F2F">
        <w:t>Appendices</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2C7566" w:rsidRDefault="00ED23CD" w:rsidP="00FE7B23">
      <w:pPr>
        <w:pStyle w:val="ISMSNormal"/>
      </w:pPr>
      <w:r>
        <w:t>None</w:t>
      </w:r>
    </w:p>
    <w:sectPr w:rsidR="002C7566" w:rsidSect="00F64866">
      <w:headerReference w:type="even" r:id="rId23"/>
      <w:headerReference w:type="default" r:id="rId24"/>
      <w:footerReference w:type="default" r:id="rId25"/>
      <w:headerReference w:type="first" r:id="rId2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43A5" w:rsidRDefault="00DB43A5">
      <w:r>
        <w:separator/>
      </w:r>
    </w:p>
  </w:endnote>
  <w:endnote w:type="continuationSeparator" w:id="0">
    <w:p w:rsidR="00DB43A5" w:rsidRDefault="00DB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DB43A5" w:rsidP="008C17CD">
    <w:pPr>
      <w:pBdr>
        <w:bottom w:val="single" w:sz="6" w:space="1" w:color="auto"/>
      </w:pBdr>
      <w:spacing w:before="60"/>
      <w:rPr>
        <w:rFonts w:asciiTheme="minorHAnsi" w:hAnsiTheme="minorHAnsi" w:cstheme="minorHAnsi"/>
      </w:rPr>
    </w:pPr>
  </w:p>
  <w:p w:rsidR="008C17CD" w:rsidRPr="00823E00" w:rsidRDefault="00ED23CD"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SOP-02-02</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Reporting Security Events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2.3</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ED23CD"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24 Apr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12</w:t>
    </w:r>
    <w:r w:rsidRPr="00823E00">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43A5" w:rsidRDefault="00DB43A5">
      <w:r>
        <w:separator/>
      </w:r>
    </w:p>
  </w:footnote>
  <w:footnote w:type="continuationSeparator" w:id="0">
    <w:p w:rsidR="00DB43A5" w:rsidRDefault="00DB4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DB43A5"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DB43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DB43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27AEC46C">
      <w:start w:val="5"/>
      <w:numFmt w:val="bullet"/>
      <w:lvlText w:val="-"/>
      <w:lvlJc w:val="left"/>
      <w:pPr>
        <w:ind w:left="720" w:hanging="360"/>
      </w:pPr>
      <w:rPr>
        <w:rFonts w:ascii="Arial" w:eastAsia="Times New Roman" w:hAnsi="Arial" w:cs="Arial" w:hint="default"/>
      </w:rPr>
    </w:lvl>
    <w:lvl w:ilvl="1" w:tplc="0A9AF27A" w:tentative="1">
      <w:start w:val="1"/>
      <w:numFmt w:val="bullet"/>
      <w:lvlText w:val="o"/>
      <w:lvlJc w:val="left"/>
      <w:pPr>
        <w:ind w:left="1440" w:hanging="360"/>
      </w:pPr>
      <w:rPr>
        <w:rFonts w:ascii="Courier New" w:hAnsi="Courier New" w:cs="Courier New" w:hint="default"/>
      </w:rPr>
    </w:lvl>
    <w:lvl w:ilvl="2" w:tplc="DA92C9B2" w:tentative="1">
      <w:start w:val="1"/>
      <w:numFmt w:val="bullet"/>
      <w:lvlText w:val=""/>
      <w:lvlJc w:val="left"/>
      <w:pPr>
        <w:ind w:left="2160" w:hanging="360"/>
      </w:pPr>
      <w:rPr>
        <w:rFonts w:ascii="Wingdings" w:hAnsi="Wingdings" w:hint="default"/>
      </w:rPr>
    </w:lvl>
    <w:lvl w:ilvl="3" w:tplc="5748C968" w:tentative="1">
      <w:start w:val="1"/>
      <w:numFmt w:val="bullet"/>
      <w:lvlText w:val=""/>
      <w:lvlJc w:val="left"/>
      <w:pPr>
        <w:ind w:left="2880" w:hanging="360"/>
      </w:pPr>
      <w:rPr>
        <w:rFonts w:ascii="Symbol" w:hAnsi="Symbol" w:hint="default"/>
      </w:rPr>
    </w:lvl>
    <w:lvl w:ilvl="4" w:tplc="1B1C532C" w:tentative="1">
      <w:start w:val="1"/>
      <w:numFmt w:val="bullet"/>
      <w:lvlText w:val="o"/>
      <w:lvlJc w:val="left"/>
      <w:pPr>
        <w:ind w:left="3600" w:hanging="360"/>
      </w:pPr>
      <w:rPr>
        <w:rFonts w:ascii="Courier New" w:hAnsi="Courier New" w:cs="Courier New" w:hint="default"/>
      </w:rPr>
    </w:lvl>
    <w:lvl w:ilvl="5" w:tplc="591A93BA" w:tentative="1">
      <w:start w:val="1"/>
      <w:numFmt w:val="bullet"/>
      <w:lvlText w:val=""/>
      <w:lvlJc w:val="left"/>
      <w:pPr>
        <w:ind w:left="4320" w:hanging="360"/>
      </w:pPr>
      <w:rPr>
        <w:rFonts w:ascii="Wingdings" w:hAnsi="Wingdings" w:hint="default"/>
      </w:rPr>
    </w:lvl>
    <w:lvl w:ilvl="6" w:tplc="E67CC86C" w:tentative="1">
      <w:start w:val="1"/>
      <w:numFmt w:val="bullet"/>
      <w:lvlText w:val=""/>
      <w:lvlJc w:val="left"/>
      <w:pPr>
        <w:ind w:left="5040" w:hanging="360"/>
      </w:pPr>
      <w:rPr>
        <w:rFonts w:ascii="Symbol" w:hAnsi="Symbol" w:hint="default"/>
      </w:rPr>
    </w:lvl>
    <w:lvl w:ilvl="7" w:tplc="91FAC592" w:tentative="1">
      <w:start w:val="1"/>
      <w:numFmt w:val="bullet"/>
      <w:lvlText w:val="o"/>
      <w:lvlJc w:val="left"/>
      <w:pPr>
        <w:ind w:left="5760" w:hanging="360"/>
      </w:pPr>
      <w:rPr>
        <w:rFonts w:ascii="Courier New" w:hAnsi="Courier New" w:cs="Courier New" w:hint="default"/>
      </w:rPr>
    </w:lvl>
    <w:lvl w:ilvl="8" w:tplc="077A37BC"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E2AC9352">
      <w:start w:val="1"/>
      <w:numFmt w:val="decimal"/>
      <w:pStyle w:val="Heading2"/>
      <w:lvlText w:val="%1."/>
      <w:lvlJc w:val="left"/>
      <w:pPr>
        <w:ind w:left="5760" w:hanging="360"/>
      </w:pPr>
    </w:lvl>
    <w:lvl w:ilvl="1" w:tplc="3D8E00A0" w:tentative="1">
      <w:start w:val="1"/>
      <w:numFmt w:val="lowerLetter"/>
      <w:lvlText w:val="%2."/>
      <w:lvlJc w:val="left"/>
      <w:pPr>
        <w:ind w:left="6480" w:hanging="360"/>
      </w:pPr>
    </w:lvl>
    <w:lvl w:ilvl="2" w:tplc="4CE20B1E" w:tentative="1">
      <w:start w:val="1"/>
      <w:numFmt w:val="lowerRoman"/>
      <w:lvlText w:val="%3."/>
      <w:lvlJc w:val="right"/>
      <w:pPr>
        <w:ind w:left="7200" w:hanging="180"/>
      </w:pPr>
    </w:lvl>
    <w:lvl w:ilvl="3" w:tplc="E35035F4" w:tentative="1">
      <w:start w:val="1"/>
      <w:numFmt w:val="decimal"/>
      <w:lvlText w:val="%4."/>
      <w:lvlJc w:val="left"/>
      <w:pPr>
        <w:ind w:left="7920" w:hanging="360"/>
      </w:pPr>
    </w:lvl>
    <w:lvl w:ilvl="4" w:tplc="350C7BCE" w:tentative="1">
      <w:start w:val="1"/>
      <w:numFmt w:val="lowerLetter"/>
      <w:lvlText w:val="%5."/>
      <w:lvlJc w:val="left"/>
      <w:pPr>
        <w:ind w:left="8640" w:hanging="360"/>
      </w:pPr>
    </w:lvl>
    <w:lvl w:ilvl="5" w:tplc="01323636" w:tentative="1">
      <w:start w:val="1"/>
      <w:numFmt w:val="lowerRoman"/>
      <w:lvlText w:val="%6."/>
      <w:lvlJc w:val="right"/>
      <w:pPr>
        <w:ind w:left="9360" w:hanging="180"/>
      </w:pPr>
    </w:lvl>
    <w:lvl w:ilvl="6" w:tplc="12440EA2" w:tentative="1">
      <w:start w:val="1"/>
      <w:numFmt w:val="decimal"/>
      <w:lvlText w:val="%7."/>
      <w:lvlJc w:val="left"/>
      <w:pPr>
        <w:ind w:left="10080" w:hanging="360"/>
      </w:pPr>
    </w:lvl>
    <w:lvl w:ilvl="7" w:tplc="D9FAD67E" w:tentative="1">
      <w:start w:val="1"/>
      <w:numFmt w:val="lowerLetter"/>
      <w:lvlText w:val="%8."/>
      <w:lvlJc w:val="left"/>
      <w:pPr>
        <w:ind w:left="10800" w:hanging="360"/>
      </w:pPr>
    </w:lvl>
    <w:lvl w:ilvl="8" w:tplc="48E83A6E"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A2AA056C">
      <w:start w:val="1"/>
      <w:numFmt w:val="bullet"/>
      <w:lvlText w:val=""/>
      <w:lvlJc w:val="left"/>
      <w:pPr>
        <w:ind w:left="720" w:hanging="360"/>
      </w:pPr>
      <w:rPr>
        <w:rFonts w:ascii="Symbol" w:hAnsi="Symbol" w:hint="default"/>
      </w:rPr>
    </w:lvl>
    <w:lvl w:ilvl="1" w:tplc="7A0CB42C" w:tentative="1">
      <w:start w:val="1"/>
      <w:numFmt w:val="bullet"/>
      <w:lvlText w:val="o"/>
      <w:lvlJc w:val="left"/>
      <w:pPr>
        <w:ind w:left="1440" w:hanging="360"/>
      </w:pPr>
      <w:rPr>
        <w:rFonts w:ascii="Courier New" w:hAnsi="Courier New" w:hint="default"/>
      </w:rPr>
    </w:lvl>
    <w:lvl w:ilvl="2" w:tplc="9C341828" w:tentative="1">
      <w:start w:val="1"/>
      <w:numFmt w:val="bullet"/>
      <w:lvlText w:val=""/>
      <w:lvlJc w:val="left"/>
      <w:pPr>
        <w:ind w:left="2160" w:hanging="360"/>
      </w:pPr>
      <w:rPr>
        <w:rFonts w:ascii="Wingdings" w:hAnsi="Wingdings" w:hint="default"/>
      </w:rPr>
    </w:lvl>
    <w:lvl w:ilvl="3" w:tplc="1396B508" w:tentative="1">
      <w:start w:val="1"/>
      <w:numFmt w:val="bullet"/>
      <w:lvlText w:val=""/>
      <w:lvlJc w:val="left"/>
      <w:pPr>
        <w:ind w:left="2880" w:hanging="360"/>
      </w:pPr>
      <w:rPr>
        <w:rFonts w:ascii="Symbol" w:hAnsi="Symbol" w:hint="default"/>
      </w:rPr>
    </w:lvl>
    <w:lvl w:ilvl="4" w:tplc="947AB8BE" w:tentative="1">
      <w:start w:val="1"/>
      <w:numFmt w:val="bullet"/>
      <w:lvlText w:val="o"/>
      <w:lvlJc w:val="left"/>
      <w:pPr>
        <w:ind w:left="3600" w:hanging="360"/>
      </w:pPr>
      <w:rPr>
        <w:rFonts w:ascii="Courier New" w:hAnsi="Courier New" w:hint="default"/>
      </w:rPr>
    </w:lvl>
    <w:lvl w:ilvl="5" w:tplc="DA823C8C" w:tentative="1">
      <w:start w:val="1"/>
      <w:numFmt w:val="bullet"/>
      <w:lvlText w:val=""/>
      <w:lvlJc w:val="left"/>
      <w:pPr>
        <w:ind w:left="4320" w:hanging="360"/>
      </w:pPr>
      <w:rPr>
        <w:rFonts w:ascii="Wingdings" w:hAnsi="Wingdings" w:hint="default"/>
      </w:rPr>
    </w:lvl>
    <w:lvl w:ilvl="6" w:tplc="3AEE2A5C" w:tentative="1">
      <w:start w:val="1"/>
      <w:numFmt w:val="bullet"/>
      <w:lvlText w:val=""/>
      <w:lvlJc w:val="left"/>
      <w:pPr>
        <w:ind w:left="5040" w:hanging="360"/>
      </w:pPr>
      <w:rPr>
        <w:rFonts w:ascii="Symbol" w:hAnsi="Symbol" w:hint="default"/>
      </w:rPr>
    </w:lvl>
    <w:lvl w:ilvl="7" w:tplc="55AE885A" w:tentative="1">
      <w:start w:val="1"/>
      <w:numFmt w:val="bullet"/>
      <w:lvlText w:val="o"/>
      <w:lvlJc w:val="left"/>
      <w:pPr>
        <w:ind w:left="5760" w:hanging="360"/>
      </w:pPr>
      <w:rPr>
        <w:rFonts w:ascii="Courier New" w:hAnsi="Courier New" w:hint="default"/>
      </w:rPr>
    </w:lvl>
    <w:lvl w:ilvl="8" w:tplc="4EEC10EE"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AE821FD8">
      <w:start w:val="3"/>
      <w:numFmt w:val="bullet"/>
      <w:lvlText w:val="-"/>
      <w:lvlJc w:val="left"/>
      <w:pPr>
        <w:ind w:left="720" w:hanging="360"/>
      </w:pPr>
      <w:rPr>
        <w:rFonts w:ascii="Arial" w:eastAsia="Times New Roman" w:hAnsi="Arial" w:cs="Arial" w:hint="default"/>
      </w:rPr>
    </w:lvl>
    <w:lvl w:ilvl="1" w:tplc="FECEEB2A" w:tentative="1">
      <w:start w:val="1"/>
      <w:numFmt w:val="bullet"/>
      <w:lvlText w:val="o"/>
      <w:lvlJc w:val="left"/>
      <w:pPr>
        <w:ind w:left="1440" w:hanging="360"/>
      </w:pPr>
      <w:rPr>
        <w:rFonts w:ascii="Courier New" w:hAnsi="Courier New" w:cs="Courier New" w:hint="default"/>
      </w:rPr>
    </w:lvl>
    <w:lvl w:ilvl="2" w:tplc="3084B7BA" w:tentative="1">
      <w:start w:val="1"/>
      <w:numFmt w:val="bullet"/>
      <w:lvlText w:val=""/>
      <w:lvlJc w:val="left"/>
      <w:pPr>
        <w:ind w:left="2160" w:hanging="360"/>
      </w:pPr>
      <w:rPr>
        <w:rFonts w:ascii="Wingdings" w:hAnsi="Wingdings" w:hint="default"/>
      </w:rPr>
    </w:lvl>
    <w:lvl w:ilvl="3" w:tplc="0346FC50" w:tentative="1">
      <w:start w:val="1"/>
      <w:numFmt w:val="bullet"/>
      <w:lvlText w:val=""/>
      <w:lvlJc w:val="left"/>
      <w:pPr>
        <w:ind w:left="2880" w:hanging="360"/>
      </w:pPr>
      <w:rPr>
        <w:rFonts w:ascii="Symbol" w:hAnsi="Symbol" w:hint="default"/>
      </w:rPr>
    </w:lvl>
    <w:lvl w:ilvl="4" w:tplc="1E7E44EE" w:tentative="1">
      <w:start w:val="1"/>
      <w:numFmt w:val="bullet"/>
      <w:lvlText w:val="o"/>
      <w:lvlJc w:val="left"/>
      <w:pPr>
        <w:ind w:left="3600" w:hanging="360"/>
      </w:pPr>
      <w:rPr>
        <w:rFonts w:ascii="Courier New" w:hAnsi="Courier New" w:cs="Courier New" w:hint="default"/>
      </w:rPr>
    </w:lvl>
    <w:lvl w:ilvl="5" w:tplc="C1CA1872" w:tentative="1">
      <w:start w:val="1"/>
      <w:numFmt w:val="bullet"/>
      <w:lvlText w:val=""/>
      <w:lvlJc w:val="left"/>
      <w:pPr>
        <w:ind w:left="4320" w:hanging="360"/>
      </w:pPr>
      <w:rPr>
        <w:rFonts w:ascii="Wingdings" w:hAnsi="Wingdings" w:hint="default"/>
      </w:rPr>
    </w:lvl>
    <w:lvl w:ilvl="6" w:tplc="2F6EDBE4" w:tentative="1">
      <w:start w:val="1"/>
      <w:numFmt w:val="bullet"/>
      <w:lvlText w:val=""/>
      <w:lvlJc w:val="left"/>
      <w:pPr>
        <w:ind w:left="5040" w:hanging="360"/>
      </w:pPr>
      <w:rPr>
        <w:rFonts w:ascii="Symbol" w:hAnsi="Symbol" w:hint="default"/>
      </w:rPr>
    </w:lvl>
    <w:lvl w:ilvl="7" w:tplc="6EDC6900" w:tentative="1">
      <w:start w:val="1"/>
      <w:numFmt w:val="bullet"/>
      <w:lvlText w:val="o"/>
      <w:lvlJc w:val="left"/>
      <w:pPr>
        <w:ind w:left="5760" w:hanging="360"/>
      </w:pPr>
      <w:rPr>
        <w:rFonts w:ascii="Courier New" w:hAnsi="Courier New" w:cs="Courier New" w:hint="default"/>
      </w:rPr>
    </w:lvl>
    <w:lvl w:ilvl="8" w:tplc="A34644CC"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325A0160">
      <w:start w:val="3"/>
      <w:numFmt w:val="bullet"/>
      <w:pStyle w:val="ListParagraph"/>
      <w:lvlText w:val="-"/>
      <w:lvlJc w:val="left"/>
      <w:pPr>
        <w:ind w:left="720" w:hanging="360"/>
      </w:pPr>
      <w:rPr>
        <w:rFonts w:ascii="Arial" w:eastAsia="Times New Roman" w:hAnsi="Arial" w:cs="Arial" w:hint="default"/>
      </w:rPr>
    </w:lvl>
    <w:lvl w:ilvl="1" w:tplc="0F707F98" w:tentative="1">
      <w:start w:val="1"/>
      <w:numFmt w:val="bullet"/>
      <w:lvlText w:val="o"/>
      <w:lvlJc w:val="left"/>
      <w:pPr>
        <w:ind w:left="1440" w:hanging="360"/>
      </w:pPr>
      <w:rPr>
        <w:rFonts w:ascii="Courier New" w:hAnsi="Courier New" w:cs="Courier New" w:hint="default"/>
      </w:rPr>
    </w:lvl>
    <w:lvl w:ilvl="2" w:tplc="7932E888" w:tentative="1">
      <w:start w:val="1"/>
      <w:numFmt w:val="bullet"/>
      <w:lvlText w:val=""/>
      <w:lvlJc w:val="left"/>
      <w:pPr>
        <w:ind w:left="2160" w:hanging="360"/>
      </w:pPr>
      <w:rPr>
        <w:rFonts w:ascii="Wingdings" w:hAnsi="Wingdings" w:hint="default"/>
      </w:rPr>
    </w:lvl>
    <w:lvl w:ilvl="3" w:tplc="3BE40D44" w:tentative="1">
      <w:start w:val="1"/>
      <w:numFmt w:val="bullet"/>
      <w:lvlText w:val=""/>
      <w:lvlJc w:val="left"/>
      <w:pPr>
        <w:ind w:left="2880" w:hanging="360"/>
      </w:pPr>
      <w:rPr>
        <w:rFonts w:ascii="Symbol" w:hAnsi="Symbol" w:hint="default"/>
      </w:rPr>
    </w:lvl>
    <w:lvl w:ilvl="4" w:tplc="6026E4C2" w:tentative="1">
      <w:start w:val="1"/>
      <w:numFmt w:val="bullet"/>
      <w:lvlText w:val="o"/>
      <w:lvlJc w:val="left"/>
      <w:pPr>
        <w:ind w:left="3600" w:hanging="360"/>
      </w:pPr>
      <w:rPr>
        <w:rFonts w:ascii="Courier New" w:hAnsi="Courier New" w:cs="Courier New" w:hint="default"/>
      </w:rPr>
    </w:lvl>
    <w:lvl w:ilvl="5" w:tplc="7FA43BFA" w:tentative="1">
      <w:start w:val="1"/>
      <w:numFmt w:val="bullet"/>
      <w:lvlText w:val=""/>
      <w:lvlJc w:val="left"/>
      <w:pPr>
        <w:ind w:left="4320" w:hanging="360"/>
      </w:pPr>
      <w:rPr>
        <w:rFonts w:ascii="Wingdings" w:hAnsi="Wingdings" w:hint="default"/>
      </w:rPr>
    </w:lvl>
    <w:lvl w:ilvl="6" w:tplc="48AC84C2" w:tentative="1">
      <w:start w:val="1"/>
      <w:numFmt w:val="bullet"/>
      <w:lvlText w:val=""/>
      <w:lvlJc w:val="left"/>
      <w:pPr>
        <w:ind w:left="5040" w:hanging="360"/>
      </w:pPr>
      <w:rPr>
        <w:rFonts w:ascii="Symbol" w:hAnsi="Symbol" w:hint="default"/>
      </w:rPr>
    </w:lvl>
    <w:lvl w:ilvl="7" w:tplc="8EE8DDBE" w:tentative="1">
      <w:start w:val="1"/>
      <w:numFmt w:val="bullet"/>
      <w:lvlText w:val="o"/>
      <w:lvlJc w:val="left"/>
      <w:pPr>
        <w:ind w:left="5760" w:hanging="360"/>
      </w:pPr>
      <w:rPr>
        <w:rFonts w:ascii="Courier New" w:hAnsi="Courier New" w:cs="Courier New" w:hint="default"/>
      </w:rPr>
    </w:lvl>
    <w:lvl w:ilvl="8" w:tplc="54DE360E" w:tentative="1">
      <w:start w:val="1"/>
      <w:numFmt w:val="bullet"/>
      <w:lvlText w:val=""/>
      <w:lvlJc w:val="left"/>
      <w:pPr>
        <w:ind w:left="6480" w:hanging="360"/>
      </w:pPr>
      <w:rPr>
        <w:rFonts w:ascii="Wingdings" w:hAnsi="Wingdings" w:hint="default"/>
      </w:rPr>
    </w:lvl>
  </w:abstractNum>
  <w:abstractNum w:abstractNumId="6" w15:restartNumberingAfterBreak="0">
    <w:nsid w:val="528F03B2"/>
    <w:multiLevelType w:val="hybridMultilevel"/>
    <w:tmpl w:val="98C2B822"/>
    <w:lvl w:ilvl="0" w:tplc="C32E2D90">
      <w:start w:val="3"/>
      <w:numFmt w:val="bullet"/>
      <w:lvlText w:val="-"/>
      <w:lvlJc w:val="left"/>
      <w:pPr>
        <w:ind w:left="720" w:hanging="360"/>
      </w:pPr>
      <w:rPr>
        <w:rFonts w:ascii="Arial" w:eastAsia="Times New Roman" w:hAnsi="Arial" w:cs="Arial" w:hint="default"/>
      </w:rPr>
    </w:lvl>
    <w:lvl w:ilvl="1" w:tplc="45CCF9FA" w:tentative="1">
      <w:start w:val="1"/>
      <w:numFmt w:val="bullet"/>
      <w:lvlText w:val="o"/>
      <w:lvlJc w:val="left"/>
      <w:pPr>
        <w:ind w:left="1440" w:hanging="360"/>
      </w:pPr>
      <w:rPr>
        <w:rFonts w:ascii="Courier New" w:hAnsi="Courier New" w:cs="Courier New" w:hint="default"/>
      </w:rPr>
    </w:lvl>
    <w:lvl w:ilvl="2" w:tplc="8CF64632" w:tentative="1">
      <w:start w:val="1"/>
      <w:numFmt w:val="bullet"/>
      <w:lvlText w:val=""/>
      <w:lvlJc w:val="left"/>
      <w:pPr>
        <w:ind w:left="2160" w:hanging="360"/>
      </w:pPr>
      <w:rPr>
        <w:rFonts w:ascii="Wingdings" w:hAnsi="Wingdings" w:hint="default"/>
      </w:rPr>
    </w:lvl>
    <w:lvl w:ilvl="3" w:tplc="7C68161A" w:tentative="1">
      <w:start w:val="1"/>
      <w:numFmt w:val="bullet"/>
      <w:lvlText w:val=""/>
      <w:lvlJc w:val="left"/>
      <w:pPr>
        <w:ind w:left="2880" w:hanging="360"/>
      </w:pPr>
      <w:rPr>
        <w:rFonts w:ascii="Symbol" w:hAnsi="Symbol" w:hint="default"/>
      </w:rPr>
    </w:lvl>
    <w:lvl w:ilvl="4" w:tplc="573E4D5A" w:tentative="1">
      <w:start w:val="1"/>
      <w:numFmt w:val="bullet"/>
      <w:lvlText w:val="o"/>
      <w:lvlJc w:val="left"/>
      <w:pPr>
        <w:ind w:left="3600" w:hanging="360"/>
      </w:pPr>
      <w:rPr>
        <w:rFonts w:ascii="Courier New" w:hAnsi="Courier New" w:cs="Courier New" w:hint="default"/>
      </w:rPr>
    </w:lvl>
    <w:lvl w:ilvl="5" w:tplc="06A42668" w:tentative="1">
      <w:start w:val="1"/>
      <w:numFmt w:val="bullet"/>
      <w:lvlText w:val=""/>
      <w:lvlJc w:val="left"/>
      <w:pPr>
        <w:ind w:left="4320" w:hanging="360"/>
      </w:pPr>
      <w:rPr>
        <w:rFonts w:ascii="Wingdings" w:hAnsi="Wingdings" w:hint="default"/>
      </w:rPr>
    </w:lvl>
    <w:lvl w:ilvl="6" w:tplc="B1E678D2" w:tentative="1">
      <w:start w:val="1"/>
      <w:numFmt w:val="bullet"/>
      <w:lvlText w:val=""/>
      <w:lvlJc w:val="left"/>
      <w:pPr>
        <w:ind w:left="5040" w:hanging="360"/>
      </w:pPr>
      <w:rPr>
        <w:rFonts w:ascii="Symbol" w:hAnsi="Symbol" w:hint="default"/>
      </w:rPr>
    </w:lvl>
    <w:lvl w:ilvl="7" w:tplc="6F0C8D10" w:tentative="1">
      <w:start w:val="1"/>
      <w:numFmt w:val="bullet"/>
      <w:lvlText w:val="o"/>
      <w:lvlJc w:val="left"/>
      <w:pPr>
        <w:ind w:left="5760" w:hanging="360"/>
      </w:pPr>
      <w:rPr>
        <w:rFonts w:ascii="Courier New" w:hAnsi="Courier New" w:cs="Courier New" w:hint="default"/>
      </w:rPr>
    </w:lvl>
    <w:lvl w:ilvl="8" w:tplc="4A785B66"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056441F8">
      <w:start w:val="1"/>
      <w:numFmt w:val="decimal"/>
      <w:lvlText w:val="%1."/>
      <w:lvlJc w:val="left"/>
      <w:pPr>
        <w:ind w:left="4680" w:hanging="360"/>
      </w:pPr>
    </w:lvl>
    <w:lvl w:ilvl="1" w:tplc="583443A4" w:tentative="1">
      <w:start w:val="1"/>
      <w:numFmt w:val="lowerLetter"/>
      <w:lvlText w:val="%2."/>
      <w:lvlJc w:val="left"/>
      <w:pPr>
        <w:ind w:left="5400" w:hanging="360"/>
      </w:pPr>
    </w:lvl>
    <w:lvl w:ilvl="2" w:tplc="4942FA58" w:tentative="1">
      <w:start w:val="1"/>
      <w:numFmt w:val="lowerRoman"/>
      <w:lvlText w:val="%3."/>
      <w:lvlJc w:val="right"/>
      <w:pPr>
        <w:ind w:left="6120" w:hanging="180"/>
      </w:pPr>
    </w:lvl>
    <w:lvl w:ilvl="3" w:tplc="973203EC" w:tentative="1">
      <w:start w:val="1"/>
      <w:numFmt w:val="decimal"/>
      <w:lvlText w:val="%4."/>
      <w:lvlJc w:val="left"/>
      <w:pPr>
        <w:ind w:left="6840" w:hanging="360"/>
      </w:pPr>
    </w:lvl>
    <w:lvl w:ilvl="4" w:tplc="D2B85842" w:tentative="1">
      <w:start w:val="1"/>
      <w:numFmt w:val="lowerLetter"/>
      <w:lvlText w:val="%5."/>
      <w:lvlJc w:val="left"/>
      <w:pPr>
        <w:ind w:left="7560" w:hanging="360"/>
      </w:pPr>
    </w:lvl>
    <w:lvl w:ilvl="5" w:tplc="6FDCD288" w:tentative="1">
      <w:start w:val="1"/>
      <w:numFmt w:val="lowerRoman"/>
      <w:lvlText w:val="%6."/>
      <w:lvlJc w:val="right"/>
      <w:pPr>
        <w:ind w:left="8280" w:hanging="180"/>
      </w:pPr>
    </w:lvl>
    <w:lvl w:ilvl="6" w:tplc="62803A34" w:tentative="1">
      <w:start w:val="1"/>
      <w:numFmt w:val="decimal"/>
      <w:lvlText w:val="%7."/>
      <w:lvlJc w:val="left"/>
      <w:pPr>
        <w:ind w:left="9000" w:hanging="360"/>
      </w:pPr>
    </w:lvl>
    <w:lvl w:ilvl="7" w:tplc="553AF876" w:tentative="1">
      <w:start w:val="1"/>
      <w:numFmt w:val="lowerLetter"/>
      <w:lvlText w:val="%8."/>
      <w:lvlJc w:val="left"/>
      <w:pPr>
        <w:ind w:left="9720" w:hanging="360"/>
      </w:pPr>
    </w:lvl>
    <w:lvl w:ilvl="8" w:tplc="8626E486" w:tentative="1">
      <w:start w:val="1"/>
      <w:numFmt w:val="lowerRoman"/>
      <w:lvlText w:val="%9."/>
      <w:lvlJc w:val="right"/>
      <w:pPr>
        <w:ind w:left="10440" w:hanging="180"/>
      </w:p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21"/>
    <w:docVar w:name="InternalQPulse_CurrentUserName" w:val="Document Management Process Owner,  "/>
    <w:docVar w:name="InternalQPulse_DatabaseAlias" w:val="Default"/>
    <w:docVar w:name="InternalQPulse_DocActiveDate" w:val="24/04/2019"/>
    <w:docVar w:name="InternalQPulse_DocAuthor" w:val="Document Management Process Owner,  "/>
    <w:docVar w:name="InternalQPulse_DocChangeDetails" w:val="Update to highlight that the approach of reporting direct to senior management is also acceptable"/>
    <w:docVar w:name="InternalQPulse_DocNumber" w:val="SOP-02-02"/>
    <w:docVar w:name="InternalQPulse_DocOwner" w:val="Event and Incident Management Process Owner,  "/>
    <w:docVar w:name="InternalQPulse_DocReviewDate" w:val="04/04/2020"/>
    <w:docVar w:name="InternalQPulse_DocRevisionNumber" w:val="2.3"/>
    <w:docVar w:name="InternalQPulse_DocStatus" w:val="Active"/>
    <w:docVar w:name="InternalQPulse_DocTitle" w:val="Reporting Security Events"/>
    <w:docVar w:name="InternalQPulse_DocType" w:val="ISMS\SOP\ISMS Management - SOP"/>
    <w:docVar w:name="InternalQPulse_LanguageID" w:val="0"/>
    <w:docVar w:name="QPulse_CurrentDateTime" w:val="19/03/2020 17:54:21"/>
    <w:docVar w:name="QPulse_CurrentUserName" w:val="Document Management Process Owner,  "/>
    <w:docVar w:name="QPulse_DatabaseAlias" w:val="Default"/>
    <w:docVar w:name="QPulse_DocActiveDate" w:val="24/04/2019"/>
    <w:docVar w:name="QPulse_DocAuthor" w:val="Document Management Process Owner,  "/>
    <w:docVar w:name="QPulse_DocChangeDetails" w:val="Update to highlight that the approach of reporting direct to senior management is also acceptable"/>
    <w:docVar w:name="QPulse_DocLastReviewDate" w:val="20/09/2017"/>
    <w:docVar w:name="QPulse_DocLastReviewDetails" w:val="No process change required. Requested CRs should be implemented."/>
    <w:docVar w:name="QPulse_DocLastReviewOwner" w:val="Event and Incident Management Process Owner,  "/>
    <w:docVar w:name="QPulse_DocNumber" w:val="SOP-02-02"/>
    <w:docVar w:name="QPulse_DocOwner" w:val="Event and Incident Management Process Owner,  "/>
    <w:docVar w:name="QPulse_DocReviewDate" w:val="04/04/2020"/>
    <w:docVar w:name="QPulse_DocRevisionNumber" w:val="2.3"/>
    <w:docVar w:name="QPulse_DocStatus" w:val="Active"/>
    <w:docVar w:name="QPulse_DocTitle" w:val="Reporting Security Events"/>
    <w:docVar w:name="QPulse_DocType" w:val="ISMS\SOP\ISMS Management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72639eaa-4649-4cb7-8b99-a7ab43dfbf09"/>
  </w:docVars>
  <w:rsids>
    <w:rsidRoot w:val="004F3B4F"/>
    <w:rsid w:val="000D442A"/>
    <w:rsid w:val="004F3B4F"/>
    <w:rsid w:val="0084128A"/>
    <w:rsid w:val="00DB43A5"/>
    <w:rsid w:val="00ED23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7C06D4"/>
    <w:pPr>
      <w:spacing w:after="200"/>
    </w:pPr>
    <w:rPr>
      <w:rFonts w:ascii="Arial" w:hAnsi="Arial" w:cstheme="minorBidi"/>
      <w:b/>
      <w:bCs/>
      <w:color w:val="4F81BD" w:themeColor="accent1"/>
      <w:sz w:val="18"/>
      <w:szCs w:val="18"/>
    </w:rPr>
  </w:style>
  <w:style w:type="table" w:styleId="TableGrid">
    <w:name w:val="Table Grid"/>
    <w:basedOn w:val="TableNormal"/>
    <w:uiPriority w:val="59"/>
    <w:rsid w:val="007C06D4"/>
    <w:pPr>
      <w:spacing w:after="0" w:line="240" w:lineRule="auto"/>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7C06D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chi-incidents@listserv.manchester.ac.uk"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mailto:chi-incidents@listserv.manchester.ac.uk"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mailto:infosec@listserv.manchester.ac.u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BB833-0145-0349-881A-2F73B3298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2020-04-19T10:14:00Z</dcterms:modified>
</cp:coreProperties>
</file>