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D73168"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F64866" w:rsidRPr="009D002B" w:rsidRDefault="00F05B5C" w:rsidP="00A35784"/>
    <w:p w:rsidR="00F64866" w:rsidRPr="005B6D5E" w:rsidRDefault="00D73168" w:rsidP="005B6D5E">
      <w:pPr>
        <w:pStyle w:val="ISMSNormal"/>
        <w:jc w:val="center"/>
        <w:rPr>
          <w:b/>
        </w:rPr>
      </w:pPr>
      <w:r w:rsidRPr="005B6D5E">
        <w:rPr>
          <w:b/>
        </w:rPr>
        <w:t>STANDARD OPERATING PROCEDURE</w:t>
      </w:r>
    </w:p>
    <w:p w:rsidR="00F64866" w:rsidRPr="005B6D5E" w:rsidRDefault="00D73168" w:rsidP="005B6D5E">
      <w:pPr>
        <w:pStyle w:val="ISMSNormal"/>
        <w:jc w:val="center"/>
        <w:rPr>
          <w:b/>
        </w:rPr>
      </w:pPr>
      <w:r w:rsidRPr="005B6D5E">
        <w:rPr>
          <w:b/>
        </w:rPr>
        <w:t>Do not Photocopy</w:t>
      </w:r>
    </w:p>
    <w:p w:rsidR="00F64866" w:rsidRPr="005B6D5E" w:rsidRDefault="00F05B5C" w:rsidP="005B6D5E">
      <w:pPr>
        <w:pStyle w:val="ISMSNormal"/>
        <w:jc w:val="center"/>
        <w:rPr>
          <w:b/>
        </w:rPr>
      </w:pPr>
    </w:p>
    <w:p w:rsidR="000154F2" w:rsidRPr="00F06990" w:rsidRDefault="00D73168" w:rsidP="000154F2">
      <w:pPr>
        <w:pStyle w:val="ISMSNormal"/>
        <w:jc w:val="center"/>
        <w:rPr>
          <w:b/>
        </w:rPr>
      </w:pPr>
      <w:r>
        <w:rPr>
          <w:b/>
        </w:rPr>
        <w:t xml:space="preserve">Document Information Classification: </w:t>
      </w:r>
      <w:r w:rsidRPr="00AE1A55">
        <w:rPr>
          <w:b/>
        </w:rPr>
        <w:t>Unrestricted</w:t>
      </w:r>
    </w:p>
    <w:p w:rsidR="00F64866" w:rsidRPr="00A214A6" w:rsidRDefault="00F05B5C"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EA67D5" w:rsidTr="00727201">
        <w:trPr>
          <w:jc w:val="center"/>
        </w:trPr>
        <w:tc>
          <w:tcPr>
            <w:tcW w:w="1912" w:type="pct"/>
            <w:tcBorders>
              <w:top w:val="single" w:sz="8" w:space="0" w:color="auto"/>
            </w:tcBorders>
          </w:tcPr>
          <w:p w:rsidR="00F64866" w:rsidRPr="005B6D5E" w:rsidRDefault="00D73168"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D7316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Managing Security Events and Weaknesses</w:t>
            </w:r>
            <w:r w:rsidRPr="005B6D5E">
              <w:rPr>
                <w:b/>
                <w:lang w:eastAsia="en-GB"/>
              </w:rPr>
              <w:fldChar w:fldCharType="end"/>
            </w:r>
          </w:p>
        </w:tc>
      </w:tr>
      <w:tr w:rsidR="00EA67D5" w:rsidTr="00727201">
        <w:trPr>
          <w:jc w:val="center"/>
        </w:trPr>
        <w:tc>
          <w:tcPr>
            <w:tcW w:w="1912" w:type="pct"/>
          </w:tcPr>
          <w:p w:rsidR="00F64866" w:rsidRPr="005B6D5E" w:rsidRDefault="00D73168"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D7316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24 Apr 2019</w:t>
            </w:r>
            <w:r w:rsidRPr="005B6D5E">
              <w:rPr>
                <w:b/>
                <w:lang w:eastAsia="en-GB"/>
              </w:rPr>
              <w:fldChar w:fldCharType="end"/>
            </w:r>
          </w:p>
        </w:tc>
      </w:tr>
      <w:tr w:rsidR="00EA67D5" w:rsidTr="00727201">
        <w:trPr>
          <w:jc w:val="center"/>
        </w:trPr>
        <w:tc>
          <w:tcPr>
            <w:tcW w:w="1912" w:type="pct"/>
          </w:tcPr>
          <w:p w:rsidR="00F64866" w:rsidRPr="005B6D5E" w:rsidRDefault="00D73168"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D7316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SOP-02-03</w:t>
            </w:r>
            <w:r w:rsidRPr="005B6D5E">
              <w:rPr>
                <w:b/>
                <w:lang w:eastAsia="en-GB"/>
              </w:rPr>
              <w:fldChar w:fldCharType="end"/>
            </w:r>
          </w:p>
        </w:tc>
      </w:tr>
      <w:tr w:rsidR="00EA67D5" w:rsidTr="00727201">
        <w:trPr>
          <w:jc w:val="center"/>
        </w:trPr>
        <w:tc>
          <w:tcPr>
            <w:tcW w:w="1912" w:type="pct"/>
          </w:tcPr>
          <w:p w:rsidR="00F64866" w:rsidRPr="005B6D5E" w:rsidRDefault="00D73168"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D7316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2.7</w:t>
            </w:r>
            <w:r w:rsidRPr="005B6D5E">
              <w:rPr>
                <w:b/>
                <w:lang w:eastAsia="en-GB"/>
              </w:rPr>
              <w:fldChar w:fldCharType="end"/>
            </w:r>
          </w:p>
        </w:tc>
      </w:tr>
      <w:tr w:rsidR="00EA67D5" w:rsidTr="00727201">
        <w:trPr>
          <w:jc w:val="center"/>
        </w:trPr>
        <w:tc>
          <w:tcPr>
            <w:tcW w:w="1912" w:type="pct"/>
          </w:tcPr>
          <w:p w:rsidR="00F64866" w:rsidRPr="005B6D5E" w:rsidRDefault="00D73168" w:rsidP="005B6D5E">
            <w:pPr>
              <w:pStyle w:val="ISMSNormal"/>
              <w:spacing w:before="120" w:after="120"/>
              <w:rPr>
                <w:b/>
                <w:lang w:eastAsia="en-GB"/>
              </w:rPr>
            </w:pPr>
            <w:r w:rsidRPr="005B6D5E">
              <w:rPr>
                <w:b/>
                <w:lang w:eastAsia="en-GB"/>
              </w:rPr>
              <w:t>Owner:</w:t>
            </w:r>
          </w:p>
        </w:tc>
        <w:tc>
          <w:tcPr>
            <w:tcW w:w="3088" w:type="pct"/>
          </w:tcPr>
          <w:p w:rsidR="00F64866" w:rsidRPr="005B6D5E" w:rsidRDefault="00D7316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Event and </w:t>
            </w:r>
            <w:r w:rsidRPr="005B6D5E">
              <w:rPr>
                <w:b/>
                <w:lang w:eastAsia="en-GB"/>
              </w:rPr>
              <w:t xml:space="preserve">Incident Management Process Owner,  </w:t>
            </w:r>
            <w:r w:rsidRPr="005B6D5E">
              <w:rPr>
                <w:b/>
                <w:lang w:eastAsia="en-GB"/>
              </w:rPr>
              <w:fldChar w:fldCharType="end"/>
            </w:r>
          </w:p>
        </w:tc>
      </w:tr>
      <w:tr w:rsidR="00EA67D5" w:rsidTr="00727201">
        <w:trPr>
          <w:jc w:val="center"/>
        </w:trPr>
        <w:tc>
          <w:tcPr>
            <w:tcW w:w="1912" w:type="pct"/>
            <w:tcBorders>
              <w:bottom w:val="single" w:sz="8" w:space="0" w:color="auto"/>
            </w:tcBorders>
          </w:tcPr>
          <w:p w:rsidR="00F64866" w:rsidRPr="005B6D5E" w:rsidRDefault="00D73168"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D73168"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15 Aug 2020</w:t>
            </w:r>
            <w:r w:rsidRPr="005B6D5E">
              <w:rPr>
                <w:b/>
                <w:lang w:eastAsia="en-GB"/>
              </w:rPr>
              <w:fldChar w:fldCharType="end"/>
            </w:r>
          </w:p>
        </w:tc>
      </w:tr>
    </w:tbl>
    <w:p w:rsidR="00F64866" w:rsidRPr="00A214A6" w:rsidRDefault="00F05B5C" w:rsidP="00A35784"/>
    <w:p w:rsidR="00F64866" w:rsidRPr="00A214A6" w:rsidRDefault="00D73168" w:rsidP="00A35784">
      <w:r w:rsidRPr="00A214A6">
        <w:br w:type="page"/>
      </w:r>
    </w:p>
    <w:p w:rsidR="00A04182" w:rsidRPr="009D002B" w:rsidRDefault="00F05B5C"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D73168" w:rsidP="00A35784">
          <w:pPr>
            <w:pStyle w:val="TOCHeading"/>
          </w:pPr>
          <w:r w:rsidRPr="00A35784">
            <w:t>Table of Contents</w:t>
          </w:r>
        </w:p>
        <w:p w:rsidR="006735AF" w:rsidRPr="006735AF" w:rsidRDefault="00F05B5C" w:rsidP="006735AF">
          <w:pPr>
            <w:rPr>
              <w:lang w:val="en-US" w:eastAsia="ja-JP"/>
            </w:rPr>
          </w:pPr>
        </w:p>
        <w:p w:rsidR="00EA67D5" w:rsidRDefault="00D73168">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sidRPr="0071730C">
              <w:rPr>
                <w:rStyle w:val="Hyperlink"/>
              </w:rPr>
              <w:t>Purpose</w:t>
            </w:r>
            <w:r>
              <w:tab/>
            </w:r>
            <w:r>
              <w:fldChar w:fldCharType="begin"/>
            </w:r>
            <w:r>
              <w:instrText xml:space="preserve"> PAGEREF _Toc256000006 \h </w:instrText>
            </w:r>
            <w:r>
              <w:fldChar w:fldCharType="separate"/>
            </w:r>
            <w:r>
              <w:t>3</w:t>
            </w:r>
            <w:r>
              <w:fldChar w:fldCharType="end"/>
            </w:r>
          </w:hyperlink>
        </w:p>
        <w:p w:rsidR="00EA67D5" w:rsidRDefault="00F05B5C">
          <w:pPr>
            <w:pStyle w:val="TOC1"/>
            <w:tabs>
              <w:tab w:val="left" w:pos="480"/>
              <w:tab w:val="right" w:leader="dot" w:pos="9016"/>
            </w:tabs>
            <w:rPr>
              <w:rFonts w:asciiTheme="minorHAnsi" w:hAnsiTheme="minorHAnsi"/>
              <w:noProof/>
            </w:rPr>
          </w:pPr>
          <w:hyperlink w:anchor="_Toc256000007" w:history="1">
            <w:r w:rsidR="00D73168">
              <w:rPr>
                <w:rStyle w:val="Hyperlink"/>
              </w:rPr>
              <w:t>2.</w:t>
            </w:r>
            <w:r w:rsidR="00D73168">
              <w:rPr>
                <w:rFonts w:asciiTheme="minorHAnsi" w:hAnsiTheme="minorHAnsi"/>
                <w:noProof/>
              </w:rPr>
              <w:tab/>
            </w:r>
            <w:r w:rsidR="00D73168" w:rsidRPr="0071730C">
              <w:rPr>
                <w:rStyle w:val="Hyperlink"/>
              </w:rPr>
              <w:t>Scope</w:t>
            </w:r>
            <w:r w:rsidR="00D73168">
              <w:tab/>
            </w:r>
            <w:r w:rsidR="00D73168">
              <w:fldChar w:fldCharType="begin"/>
            </w:r>
            <w:r w:rsidR="00D73168">
              <w:instrText xml:space="preserve"> PAGEREF _Toc256000007 \h </w:instrText>
            </w:r>
            <w:r w:rsidR="00D73168">
              <w:fldChar w:fldCharType="separate"/>
            </w:r>
            <w:r w:rsidR="00D73168">
              <w:t>3</w:t>
            </w:r>
            <w:r w:rsidR="00D73168">
              <w:fldChar w:fldCharType="end"/>
            </w:r>
          </w:hyperlink>
        </w:p>
        <w:p w:rsidR="00EA67D5" w:rsidRDefault="00F05B5C">
          <w:pPr>
            <w:pStyle w:val="TOC1"/>
            <w:tabs>
              <w:tab w:val="left" w:pos="480"/>
              <w:tab w:val="right" w:leader="dot" w:pos="9016"/>
            </w:tabs>
            <w:rPr>
              <w:rFonts w:asciiTheme="minorHAnsi" w:hAnsiTheme="minorHAnsi"/>
              <w:noProof/>
            </w:rPr>
          </w:pPr>
          <w:hyperlink w:anchor="_Toc256000008" w:history="1">
            <w:r w:rsidR="00D73168">
              <w:rPr>
                <w:rStyle w:val="Hyperlink"/>
              </w:rPr>
              <w:t>3.</w:t>
            </w:r>
            <w:r w:rsidR="00D73168">
              <w:rPr>
                <w:rFonts w:asciiTheme="minorHAnsi" w:hAnsiTheme="minorHAnsi"/>
                <w:noProof/>
              </w:rPr>
              <w:tab/>
            </w:r>
            <w:r w:rsidR="00D73168">
              <w:rPr>
                <w:rStyle w:val="Hyperlink"/>
              </w:rPr>
              <w:t>Responsibilities</w:t>
            </w:r>
            <w:r w:rsidR="00D73168">
              <w:tab/>
            </w:r>
            <w:r w:rsidR="00D73168">
              <w:fldChar w:fldCharType="begin"/>
            </w:r>
            <w:r w:rsidR="00D73168">
              <w:instrText xml:space="preserve"> PAGEREF _Toc256000008 \h </w:instrText>
            </w:r>
            <w:r w:rsidR="00D73168">
              <w:fldChar w:fldCharType="separate"/>
            </w:r>
            <w:r w:rsidR="00D73168">
              <w:t>3</w:t>
            </w:r>
            <w:r w:rsidR="00D73168">
              <w:fldChar w:fldCharType="end"/>
            </w:r>
          </w:hyperlink>
        </w:p>
        <w:p w:rsidR="00EA67D5" w:rsidRDefault="00F05B5C">
          <w:pPr>
            <w:pStyle w:val="TOC1"/>
            <w:tabs>
              <w:tab w:val="left" w:pos="480"/>
              <w:tab w:val="right" w:leader="dot" w:pos="9016"/>
            </w:tabs>
            <w:rPr>
              <w:rFonts w:asciiTheme="minorHAnsi" w:hAnsiTheme="minorHAnsi"/>
              <w:noProof/>
            </w:rPr>
          </w:pPr>
          <w:hyperlink w:anchor="_Toc256000009" w:history="1">
            <w:r w:rsidR="00D73168">
              <w:rPr>
                <w:rStyle w:val="Hyperlink"/>
              </w:rPr>
              <w:t>4.</w:t>
            </w:r>
            <w:r w:rsidR="00D73168">
              <w:rPr>
                <w:rFonts w:asciiTheme="minorHAnsi" w:hAnsiTheme="minorHAnsi"/>
                <w:noProof/>
              </w:rPr>
              <w:tab/>
            </w:r>
            <w:r w:rsidR="00D73168" w:rsidRPr="004B3E46">
              <w:rPr>
                <w:rStyle w:val="Hyperlink"/>
              </w:rPr>
              <w:t>Procedure</w:t>
            </w:r>
            <w:r w:rsidR="00D73168">
              <w:tab/>
            </w:r>
            <w:r w:rsidR="00D73168">
              <w:fldChar w:fldCharType="begin"/>
            </w:r>
            <w:r w:rsidR="00D73168">
              <w:instrText xml:space="preserve"> PAGEREF _Toc256000009 \h </w:instrText>
            </w:r>
            <w:r w:rsidR="00D73168">
              <w:fldChar w:fldCharType="separate"/>
            </w:r>
            <w:r w:rsidR="00D73168">
              <w:t>4</w:t>
            </w:r>
            <w:r w:rsidR="00D73168">
              <w:fldChar w:fldCharType="end"/>
            </w:r>
          </w:hyperlink>
        </w:p>
        <w:p w:rsidR="00EA67D5" w:rsidRDefault="00F05B5C">
          <w:pPr>
            <w:pStyle w:val="TOC2"/>
            <w:tabs>
              <w:tab w:val="left" w:pos="880"/>
              <w:tab w:val="right" w:leader="dot" w:pos="9016"/>
            </w:tabs>
            <w:rPr>
              <w:rFonts w:asciiTheme="minorHAnsi" w:hAnsiTheme="minorHAnsi"/>
              <w:noProof/>
            </w:rPr>
          </w:pPr>
          <w:hyperlink w:anchor="_Toc256000010" w:history="1">
            <w:r w:rsidR="00D73168">
              <w:rPr>
                <w:rStyle w:val="Hyperlink"/>
              </w:rPr>
              <w:t>4.1.</w:t>
            </w:r>
            <w:r w:rsidR="00D73168">
              <w:rPr>
                <w:rFonts w:asciiTheme="minorHAnsi" w:hAnsiTheme="minorHAnsi"/>
                <w:noProof/>
              </w:rPr>
              <w:tab/>
            </w:r>
            <w:r w:rsidR="00D73168" w:rsidRPr="004B3E46">
              <w:rPr>
                <w:rStyle w:val="Hyperlink"/>
              </w:rPr>
              <w:t xml:space="preserve">Reporting </w:t>
            </w:r>
            <w:r w:rsidR="00D73168">
              <w:rPr>
                <w:rStyle w:val="Hyperlink"/>
              </w:rPr>
              <w:t>Security Events, Weaknesses and Opportunities</w:t>
            </w:r>
            <w:r w:rsidR="00D73168">
              <w:tab/>
            </w:r>
            <w:r w:rsidR="00D73168">
              <w:fldChar w:fldCharType="begin"/>
            </w:r>
            <w:r w:rsidR="00D73168">
              <w:instrText xml:space="preserve"> PAGEREF _Toc256000010 \h </w:instrText>
            </w:r>
            <w:r w:rsidR="00D73168">
              <w:fldChar w:fldCharType="separate"/>
            </w:r>
            <w:r w:rsidR="00D73168">
              <w:t>4</w:t>
            </w:r>
            <w:r w:rsidR="00D73168">
              <w:fldChar w:fldCharType="end"/>
            </w:r>
          </w:hyperlink>
        </w:p>
        <w:p w:rsidR="00EA67D5" w:rsidRDefault="00F05B5C">
          <w:pPr>
            <w:pStyle w:val="TOC2"/>
            <w:tabs>
              <w:tab w:val="left" w:pos="880"/>
              <w:tab w:val="right" w:leader="dot" w:pos="9016"/>
            </w:tabs>
            <w:rPr>
              <w:rFonts w:asciiTheme="minorHAnsi" w:hAnsiTheme="minorHAnsi"/>
              <w:noProof/>
            </w:rPr>
          </w:pPr>
          <w:hyperlink w:anchor="_Toc256000011" w:history="1">
            <w:r w:rsidR="00D73168">
              <w:rPr>
                <w:rStyle w:val="Hyperlink"/>
                <w:lang w:val="en-US"/>
              </w:rPr>
              <w:t>4.2.</w:t>
            </w:r>
            <w:r w:rsidR="00D73168">
              <w:rPr>
                <w:rFonts w:asciiTheme="minorHAnsi" w:hAnsiTheme="minorHAnsi"/>
                <w:noProof/>
                <w:lang w:val="en-US"/>
              </w:rPr>
              <w:tab/>
            </w:r>
            <w:r w:rsidR="00D73168" w:rsidRPr="00561E39">
              <w:rPr>
                <w:rStyle w:val="Hyperlink"/>
                <w:lang w:val="en-US"/>
              </w:rPr>
              <w:t>Serious Security Events</w:t>
            </w:r>
            <w:r w:rsidR="00D73168">
              <w:tab/>
            </w:r>
            <w:r w:rsidR="00D73168">
              <w:fldChar w:fldCharType="begin"/>
            </w:r>
            <w:r w:rsidR="00D73168">
              <w:instrText xml:space="preserve"> PAGEREF _Toc256000011 \h </w:instrText>
            </w:r>
            <w:r w:rsidR="00D73168">
              <w:fldChar w:fldCharType="separate"/>
            </w:r>
            <w:r w:rsidR="00D73168">
              <w:t>4</w:t>
            </w:r>
            <w:r w:rsidR="00D73168">
              <w:fldChar w:fldCharType="end"/>
            </w:r>
          </w:hyperlink>
        </w:p>
        <w:p w:rsidR="00EA67D5" w:rsidRDefault="00F05B5C">
          <w:pPr>
            <w:pStyle w:val="TOC2"/>
            <w:tabs>
              <w:tab w:val="left" w:pos="880"/>
              <w:tab w:val="right" w:leader="dot" w:pos="9016"/>
            </w:tabs>
            <w:rPr>
              <w:rFonts w:asciiTheme="minorHAnsi" w:hAnsiTheme="minorHAnsi"/>
              <w:noProof/>
            </w:rPr>
          </w:pPr>
          <w:hyperlink w:anchor="_Toc256000133" w:history="1">
            <w:r w:rsidR="00D73168">
              <w:rPr>
                <w:rStyle w:val="Hyperlink"/>
                <w:lang w:val="en-US"/>
              </w:rPr>
              <w:t>4.3.</w:t>
            </w:r>
            <w:r w:rsidR="00D73168">
              <w:rPr>
                <w:rFonts w:asciiTheme="minorHAnsi" w:hAnsiTheme="minorHAnsi"/>
                <w:noProof/>
                <w:lang w:val="en-US"/>
              </w:rPr>
              <w:tab/>
            </w:r>
            <w:r w:rsidR="00D73168">
              <w:rPr>
                <w:rStyle w:val="Hyperlink"/>
              </w:rPr>
              <w:t>Assessment Stage</w:t>
            </w:r>
            <w:r w:rsidR="00D73168">
              <w:tab/>
            </w:r>
            <w:r w:rsidR="00D73168">
              <w:fldChar w:fldCharType="begin"/>
            </w:r>
            <w:r w:rsidR="00D73168">
              <w:instrText xml:space="preserve"> PAGEREF _Toc256000133 \h </w:instrText>
            </w:r>
            <w:r w:rsidR="00D73168">
              <w:fldChar w:fldCharType="separate"/>
            </w:r>
            <w:r w:rsidR="00D73168">
              <w:t>4</w:t>
            </w:r>
            <w:r w:rsidR="00D73168">
              <w:fldChar w:fldCharType="end"/>
            </w:r>
          </w:hyperlink>
        </w:p>
        <w:p w:rsidR="00EA67D5" w:rsidRDefault="00F05B5C">
          <w:pPr>
            <w:pStyle w:val="TOC3"/>
            <w:tabs>
              <w:tab w:val="left" w:pos="1320"/>
              <w:tab w:val="right" w:leader="dot" w:pos="9016"/>
            </w:tabs>
            <w:rPr>
              <w:rFonts w:asciiTheme="minorHAnsi" w:hAnsiTheme="minorHAnsi"/>
              <w:noProof/>
            </w:rPr>
          </w:pPr>
          <w:hyperlink w:anchor="_Toc256000134" w:history="1">
            <w:r w:rsidR="00D73168">
              <w:rPr>
                <w:rStyle w:val="Hyperlink"/>
              </w:rPr>
              <w:t>4.3.1.</w:t>
            </w:r>
            <w:r w:rsidR="00D73168">
              <w:rPr>
                <w:rFonts w:asciiTheme="minorHAnsi" w:hAnsiTheme="minorHAnsi"/>
                <w:noProof/>
              </w:rPr>
              <w:tab/>
            </w:r>
            <w:r w:rsidR="00D73168">
              <w:rPr>
                <w:rStyle w:val="Hyperlink"/>
              </w:rPr>
              <w:t>Triage rota for Incident Management</w:t>
            </w:r>
            <w:r w:rsidR="00D73168">
              <w:tab/>
            </w:r>
            <w:r w:rsidR="00D73168">
              <w:fldChar w:fldCharType="begin"/>
            </w:r>
            <w:r w:rsidR="00D73168">
              <w:instrText xml:space="preserve"> PAGEREF _Toc256000134 \h </w:instrText>
            </w:r>
            <w:r w:rsidR="00D73168">
              <w:fldChar w:fldCharType="separate"/>
            </w:r>
            <w:r w:rsidR="00D73168">
              <w:t>5</w:t>
            </w:r>
            <w:r w:rsidR="00D73168">
              <w:fldChar w:fldCharType="end"/>
            </w:r>
          </w:hyperlink>
        </w:p>
        <w:p w:rsidR="00EA67D5" w:rsidRDefault="00F05B5C">
          <w:pPr>
            <w:pStyle w:val="TOC3"/>
            <w:tabs>
              <w:tab w:val="left" w:pos="1320"/>
              <w:tab w:val="right" w:leader="dot" w:pos="9016"/>
            </w:tabs>
            <w:rPr>
              <w:rFonts w:asciiTheme="minorHAnsi" w:hAnsiTheme="minorHAnsi"/>
              <w:noProof/>
            </w:rPr>
          </w:pPr>
          <w:hyperlink w:anchor="_Toc256000135" w:history="1">
            <w:r w:rsidR="00D73168">
              <w:rPr>
                <w:rStyle w:val="Hyperlink"/>
              </w:rPr>
              <w:t>4.3.2.</w:t>
            </w:r>
            <w:r w:rsidR="00D73168">
              <w:rPr>
                <w:rFonts w:asciiTheme="minorHAnsi" w:hAnsiTheme="minorHAnsi"/>
                <w:noProof/>
              </w:rPr>
              <w:tab/>
            </w:r>
            <w:r w:rsidR="00D73168">
              <w:rPr>
                <w:rStyle w:val="Hyperlink"/>
              </w:rPr>
              <w:t>Triage process for Assessing Security Events</w:t>
            </w:r>
            <w:r w:rsidR="00D73168">
              <w:tab/>
            </w:r>
            <w:r w:rsidR="00D73168">
              <w:fldChar w:fldCharType="begin"/>
            </w:r>
            <w:r w:rsidR="00D73168">
              <w:instrText xml:space="preserve"> PAGEREF _Toc256000135 \h </w:instrText>
            </w:r>
            <w:r w:rsidR="00D73168">
              <w:fldChar w:fldCharType="separate"/>
            </w:r>
            <w:r w:rsidR="00D73168">
              <w:t>5</w:t>
            </w:r>
            <w:r w:rsidR="00D73168">
              <w:fldChar w:fldCharType="end"/>
            </w:r>
          </w:hyperlink>
        </w:p>
        <w:p w:rsidR="00EA67D5" w:rsidRDefault="00F05B5C">
          <w:pPr>
            <w:pStyle w:val="TOC3"/>
            <w:tabs>
              <w:tab w:val="left" w:pos="1320"/>
              <w:tab w:val="right" w:leader="dot" w:pos="9016"/>
            </w:tabs>
            <w:rPr>
              <w:rFonts w:asciiTheme="minorHAnsi" w:hAnsiTheme="minorHAnsi"/>
              <w:noProof/>
            </w:rPr>
          </w:pPr>
          <w:hyperlink w:anchor="_Toc256000136" w:history="1">
            <w:r w:rsidR="00D73168">
              <w:rPr>
                <w:rStyle w:val="Hyperlink"/>
              </w:rPr>
              <w:t>4.3.3.</w:t>
            </w:r>
            <w:r w:rsidR="00D73168">
              <w:rPr>
                <w:rFonts w:asciiTheme="minorHAnsi" w:hAnsiTheme="minorHAnsi"/>
                <w:noProof/>
              </w:rPr>
              <w:tab/>
            </w:r>
            <w:r w:rsidR="00D73168">
              <w:rPr>
                <w:rStyle w:val="Hyperlink"/>
              </w:rPr>
              <w:t>Triage process for Assessing Weaknesses and Opportunities</w:t>
            </w:r>
            <w:r w:rsidR="00D73168">
              <w:tab/>
            </w:r>
            <w:r w:rsidR="00D73168">
              <w:fldChar w:fldCharType="begin"/>
            </w:r>
            <w:r w:rsidR="00D73168">
              <w:instrText xml:space="preserve"> PAGEREF _Toc256000136 \h </w:instrText>
            </w:r>
            <w:r w:rsidR="00D73168">
              <w:fldChar w:fldCharType="separate"/>
            </w:r>
            <w:r w:rsidR="00D73168">
              <w:t>5</w:t>
            </w:r>
            <w:r w:rsidR="00D73168">
              <w:fldChar w:fldCharType="end"/>
            </w:r>
          </w:hyperlink>
        </w:p>
        <w:p w:rsidR="00EA67D5" w:rsidRDefault="00F05B5C">
          <w:pPr>
            <w:pStyle w:val="TOC2"/>
            <w:tabs>
              <w:tab w:val="left" w:pos="880"/>
              <w:tab w:val="right" w:leader="dot" w:pos="9016"/>
            </w:tabs>
            <w:rPr>
              <w:rFonts w:asciiTheme="minorHAnsi" w:hAnsiTheme="minorHAnsi"/>
              <w:noProof/>
            </w:rPr>
          </w:pPr>
          <w:hyperlink w:anchor="_Toc256000137" w:history="1">
            <w:r w:rsidR="00D73168">
              <w:rPr>
                <w:rStyle w:val="Hyperlink"/>
              </w:rPr>
              <w:t>4.4.</w:t>
            </w:r>
            <w:r w:rsidR="00D73168">
              <w:rPr>
                <w:rFonts w:asciiTheme="minorHAnsi" w:hAnsiTheme="minorHAnsi"/>
                <w:noProof/>
              </w:rPr>
              <w:tab/>
            </w:r>
            <w:r w:rsidR="00D73168">
              <w:rPr>
                <w:rStyle w:val="Hyperlink"/>
              </w:rPr>
              <w:t>Managing Data Protection Incidents</w:t>
            </w:r>
            <w:r w:rsidR="00D73168">
              <w:tab/>
            </w:r>
            <w:r w:rsidR="00D73168">
              <w:fldChar w:fldCharType="begin"/>
            </w:r>
            <w:r w:rsidR="00D73168">
              <w:instrText xml:space="preserve"> PAGEREF _Toc256000137 \h </w:instrText>
            </w:r>
            <w:r w:rsidR="00D73168">
              <w:fldChar w:fldCharType="separate"/>
            </w:r>
            <w:r w:rsidR="00D73168">
              <w:t>5</w:t>
            </w:r>
            <w:r w:rsidR="00D73168">
              <w:fldChar w:fldCharType="end"/>
            </w:r>
          </w:hyperlink>
        </w:p>
        <w:p w:rsidR="00EA67D5" w:rsidRDefault="00F05B5C">
          <w:pPr>
            <w:pStyle w:val="TOC3"/>
            <w:tabs>
              <w:tab w:val="left" w:pos="1320"/>
              <w:tab w:val="right" w:leader="dot" w:pos="9016"/>
            </w:tabs>
            <w:rPr>
              <w:rFonts w:asciiTheme="minorHAnsi" w:hAnsiTheme="minorHAnsi"/>
              <w:noProof/>
            </w:rPr>
          </w:pPr>
          <w:hyperlink w:anchor="_Toc256000138" w:history="1">
            <w:r w:rsidR="00D73168">
              <w:rPr>
                <w:rStyle w:val="Hyperlink"/>
              </w:rPr>
              <w:t>4.4.1.</w:t>
            </w:r>
            <w:r w:rsidR="00D73168">
              <w:rPr>
                <w:rFonts w:asciiTheme="minorHAnsi" w:hAnsiTheme="minorHAnsi"/>
                <w:noProof/>
              </w:rPr>
              <w:tab/>
            </w:r>
            <w:r w:rsidR="00D73168">
              <w:rPr>
                <w:rStyle w:val="Hyperlink"/>
              </w:rPr>
              <w:t xml:space="preserve">Data Protection </w:t>
            </w:r>
            <w:r w:rsidR="00D73168" w:rsidRPr="000603AC">
              <w:rPr>
                <w:rStyle w:val="Hyperlink"/>
              </w:rPr>
              <w:t>Incident</w:t>
            </w:r>
            <w:r w:rsidR="00D73168">
              <w:rPr>
                <w:rStyle w:val="Hyperlink"/>
              </w:rPr>
              <w:t xml:space="preserve"> Process</w:t>
            </w:r>
            <w:r w:rsidR="00D73168">
              <w:tab/>
            </w:r>
            <w:r w:rsidR="00D73168">
              <w:fldChar w:fldCharType="begin"/>
            </w:r>
            <w:r w:rsidR="00D73168">
              <w:instrText xml:space="preserve"> PAGEREF _Toc256000138 \h </w:instrText>
            </w:r>
            <w:r w:rsidR="00D73168">
              <w:fldChar w:fldCharType="separate"/>
            </w:r>
            <w:r w:rsidR="00D73168">
              <w:t>6</w:t>
            </w:r>
            <w:r w:rsidR="00D73168">
              <w:fldChar w:fldCharType="end"/>
            </w:r>
          </w:hyperlink>
        </w:p>
        <w:p w:rsidR="00EA67D5" w:rsidRDefault="00F05B5C">
          <w:pPr>
            <w:pStyle w:val="TOC4"/>
            <w:tabs>
              <w:tab w:val="left" w:pos="1920"/>
              <w:tab w:val="right" w:leader="dot" w:pos="9016"/>
            </w:tabs>
            <w:rPr>
              <w:rFonts w:asciiTheme="minorHAnsi" w:hAnsiTheme="minorHAnsi"/>
              <w:noProof/>
            </w:rPr>
          </w:pPr>
          <w:hyperlink w:anchor="_Toc256000139" w:history="1">
            <w:r w:rsidR="00D73168">
              <w:rPr>
                <w:rStyle w:val="Hyperlink"/>
              </w:rPr>
              <w:t>4.4.1.1.</w:t>
            </w:r>
            <w:r w:rsidR="00D73168">
              <w:rPr>
                <w:rFonts w:asciiTheme="minorHAnsi" w:hAnsiTheme="minorHAnsi"/>
                <w:noProof/>
              </w:rPr>
              <w:tab/>
            </w:r>
            <w:r w:rsidR="00D73168">
              <w:rPr>
                <w:rStyle w:val="Hyperlink"/>
              </w:rPr>
              <w:t>Timeframes for Incident Communications</w:t>
            </w:r>
            <w:r w:rsidR="00D73168">
              <w:tab/>
            </w:r>
            <w:r w:rsidR="00D73168">
              <w:fldChar w:fldCharType="begin"/>
            </w:r>
            <w:r w:rsidR="00D73168">
              <w:instrText xml:space="preserve"> PAGEREF _Toc256000139 \h </w:instrText>
            </w:r>
            <w:r w:rsidR="00D73168">
              <w:fldChar w:fldCharType="separate"/>
            </w:r>
            <w:r w:rsidR="00D73168">
              <w:t>7</w:t>
            </w:r>
            <w:r w:rsidR="00D73168">
              <w:fldChar w:fldCharType="end"/>
            </w:r>
          </w:hyperlink>
        </w:p>
        <w:p w:rsidR="00EA67D5" w:rsidRDefault="00F05B5C">
          <w:pPr>
            <w:pStyle w:val="TOC4"/>
            <w:tabs>
              <w:tab w:val="left" w:pos="1920"/>
              <w:tab w:val="right" w:leader="dot" w:pos="9016"/>
            </w:tabs>
            <w:rPr>
              <w:rFonts w:asciiTheme="minorHAnsi" w:hAnsiTheme="minorHAnsi"/>
              <w:noProof/>
            </w:rPr>
          </w:pPr>
          <w:hyperlink w:anchor="_Toc256000140" w:history="1">
            <w:r w:rsidR="00D73168">
              <w:rPr>
                <w:rStyle w:val="Hyperlink"/>
              </w:rPr>
              <w:t>4.4.1.2.</w:t>
            </w:r>
            <w:r w:rsidR="00D73168">
              <w:rPr>
                <w:rFonts w:asciiTheme="minorHAnsi" w:hAnsiTheme="minorHAnsi"/>
                <w:noProof/>
              </w:rPr>
              <w:tab/>
            </w:r>
            <w:r w:rsidR="00D73168" w:rsidRPr="00323259">
              <w:rPr>
                <w:rStyle w:val="Hyperlink"/>
              </w:rPr>
              <w:t>Penalties</w:t>
            </w:r>
            <w:r w:rsidR="00D73168">
              <w:rPr>
                <w:rStyle w:val="Hyperlink"/>
              </w:rPr>
              <w:t>, appeals, and accidents</w:t>
            </w:r>
            <w:r w:rsidR="00D73168">
              <w:tab/>
            </w:r>
            <w:r w:rsidR="00D73168">
              <w:fldChar w:fldCharType="begin"/>
            </w:r>
            <w:r w:rsidR="00D73168">
              <w:instrText xml:space="preserve"> PAGEREF _Toc256000140 \h </w:instrText>
            </w:r>
            <w:r w:rsidR="00D73168">
              <w:fldChar w:fldCharType="separate"/>
            </w:r>
            <w:r w:rsidR="00D73168">
              <w:t>7</w:t>
            </w:r>
            <w:r w:rsidR="00D73168">
              <w:fldChar w:fldCharType="end"/>
            </w:r>
          </w:hyperlink>
        </w:p>
        <w:p w:rsidR="00EA67D5" w:rsidRDefault="00F05B5C">
          <w:pPr>
            <w:pStyle w:val="TOC2"/>
            <w:tabs>
              <w:tab w:val="left" w:pos="880"/>
              <w:tab w:val="right" w:leader="dot" w:pos="9016"/>
            </w:tabs>
            <w:rPr>
              <w:rFonts w:asciiTheme="minorHAnsi" w:hAnsiTheme="minorHAnsi"/>
              <w:noProof/>
            </w:rPr>
          </w:pPr>
          <w:hyperlink w:anchor="_Toc256000141" w:history="1">
            <w:r w:rsidR="00D73168">
              <w:rPr>
                <w:rStyle w:val="Hyperlink"/>
              </w:rPr>
              <w:t>4.5.</w:t>
            </w:r>
            <w:r w:rsidR="00D73168">
              <w:rPr>
                <w:rFonts w:asciiTheme="minorHAnsi" w:hAnsiTheme="minorHAnsi"/>
                <w:noProof/>
              </w:rPr>
              <w:tab/>
            </w:r>
            <w:r w:rsidR="00D73168">
              <w:rPr>
                <w:rStyle w:val="Hyperlink"/>
              </w:rPr>
              <w:t>Ongoing Management of Security Events, Weaknesses and Opportunities</w:t>
            </w:r>
            <w:r w:rsidR="00D73168">
              <w:tab/>
            </w:r>
            <w:r w:rsidR="00D73168">
              <w:fldChar w:fldCharType="begin"/>
            </w:r>
            <w:r w:rsidR="00D73168">
              <w:instrText xml:space="preserve"> PAGEREF _Toc256000141 \h </w:instrText>
            </w:r>
            <w:r w:rsidR="00D73168">
              <w:fldChar w:fldCharType="separate"/>
            </w:r>
            <w:r w:rsidR="00D73168">
              <w:t>7</w:t>
            </w:r>
            <w:r w:rsidR="00D73168">
              <w:fldChar w:fldCharType="end"/>
            </w:r>
          </w:hyperlink>
        </w:p>
        <w:p w:rsidR="00EA67D5" w:rsidRDefault="00F05B5C">
          <w:pPr>
            <w:pStyle w:val="TOC3"/>
            <w:tabs>
              <w:tab w:val="left" w:pos="1320"/>
              <w:tab w:val="right" w:leader="dot" w:pos="9016"/>
            </w:tabs>
            <w:rPr>
              <w:rFonts w:asciiTheme="minorHAnsi" w:hAnsiTheme="minorHAnsi"/>
              <w:noProof/>
            </w:rPr>
          </w:pPr>
          <w:hyperlink w:anchor="_Toc256000142" w:history="1">
            <w:r w:rsidR="00D73168">
              <w:rPr>
                <w:rStyle w:val="Hyperlink"/>
              </w:rPr>
              <w:t>4.5.1.</w:t>
            </w:r>
            <w:r w:rsidR="00D73168">
              <w:rPr>
                <w:rFonts w:asciiTheme="minorHAnsi" w:hAnsiTheme="minorHAnsi"/>
                <w:noProof/>
              </w:rPr>
              <w:tab/>
            </w:r>
            <w:r w:rsidR="00D73168">
              <w:rPr>
                <w:rStyle w:val="Hyperlink"/>
              </w:rPr>
              <w:t>Escalation of Outstanding Action Stages</w:t>
            </w:r>
            <w:r w:rsidR="00D73168">
              <w:tab/>
            </w:r>
            <w:r w:rsidR="00D73168">
              <w:fldChar w:fldCharType="begin"/>
            </w:r>
            <w:r w:rsidR="00D73168">
              <w:instrText xml:space="preserve"> PAGEREF _Toc256000142 \h </w:instrText>
            </w:r>
            <w:r w:rsidR="00D73168">
              <w:fldChar w:fldCharType="separate"/>
            </w:r>
            <w:r w:rsidR="00D73168">
              <w:t>8</w:t>
            </w:r>
            <w:r w:rsidR="00D73168">
              <w:fldChar w:fldCharType="end"/>
            </w:r>
          </w:hyperlink>
        </w:p>
        <w:p w:rsidR="00EA67D5" w:rsidRDefault="00F05B5C">
          <w:pPr>
            <w:pStyle w:val="TOC2"/>
            <w:tabs>
              <w:tab w:val="left" w:pos="880"/>
              <w:tab w:val="right" w:leader="dot" w:pos="9016"/>
            </w:tabs>
            <w:rPr>
              <w:rFonts w:asciiTheme="minorHAnsi" w:hAnsiTheme="minorHAnsi"/>
              <w:noProof/>
            </w:rPr>
          </w:pPr>
          <w:hyperlink w:anchor="_Toc256000143" w:history="1">
            <w:r w:rsidR="00D73168">
              <w:rPr>
                <w:rStyle w:val="Hyperlink"/>
              </w:rPr>
              <w:t>4.6.</w:t>
            </w:r>
            <w:r w:rsidR="00D73168">
              <w:rPr>
                <w:rFonts w:asciiTheme="minorHAnsi" w:hAnsiTheme="minorHAnsi"/>
                <w:noProof/>
              </w:rPr>
              <w:tab/>
            </w:r>
            <w:r w:rsidR="00D73168">
              <w:rPr>
                <w:rStyle w:val="Hyperlink"/>
              </w:rPr>
              <w:t xml:space="preserve">Follow-up and </w:t>
            </w:r>
            <w:r w:rsidR="00D73168" w:rsidRPr="00C05D64">
              <w:rPr>
                <w:rStyle w:val="Hyperlink"/>
              </w:rPr>
              <w:t>Reviewing Efficiency of Corrective Action</w:t>
            </w:r>
            <w:r w:rsidR="00D73168">
              <w:rPr>
                <w:rStyle w:val="Hyperlink"/>
              </w:rPr>
              <w:t>s</w:t>
            </w:r>
            <w:r w:rsidR="00D73168">
              <w:tab/>
            </w:r>
            <w:r w:rsidR="00D73168">
              <w:fldChar w:fldCharType="begin"/>
            </w:r>
            <w:r w:rsidR="00D73168">
              <w:instrText xml:space="preserve"> PAGEREF _Toc256000143 \h </w:instrText>
            </w:r>
            <w:r w:rsidR="00D73168">
              <w:fldChar w:fldCharType="separate"/>
            </w:r>
            <w:r w:rsidR="00D73168">
              <w:t>8</w:t>
            </w:r>
            <w:r w:rsidR="00D73168">
              <w:fldChar w:fldCharType="end"/>
            </w:r>
          </w:hyperlink>
        </w:p>
        <w:p w:rsidR="00EA67D5" w:rsidRDefault="00F05B5C">
          <w:pPr>
            <w:pStyle w:val="TOC1"/>
            <w:tabs>
              <w:tab w:val="left" w:pos="480"/>
              <w:tab w:val="right" w:leader="dot" w:pos="9016"/>
            </w:tabs>
            <w:rPr>
              <w:rFonts w:asciiTheme="minorHAnsi" w:hAnsiTheme="minorHAnsi"/>
              <w:noProof/>
            </w:rPr>
          </w:pPr>
          <w:hyperlink w:anchor="_Toc256000144" w:history="1">
            <w:r w:rsidR="00D73168">
              <w:rPr>
                <w:rStyle w:val="Hyperlink"/>
              </w:rPr>
              <w:t>5.</w:t>
            </w:r>
            <w:r w:rsidR="00D73168">
              <w:rPr>
                <w:rFonts w:asciiTheme="minorHAnsi" w:hAnsiTheme="minorHAnsi"/>
                <w:noProof/>
              </w:rPr>
              <w:tab/>
            </w:r>
            <w:r w:rsidR="00D73168">
              <w:rPr>
                <w:rStyle w:val="Hyperlink"/>
              </w:rPr>
              <w:t>Cross-referenced ISMS Documents</w:t>
            </w:r>
            <w:r w:rsidR="00D73168">
              <w:tab/>
            </w:r>
            <w:r w:rsidR="00D73168">
              <w:fldChar w:fldCharType="begin"/>
            </w:r>
            <w:r w:rsidR="00D73168">
              <w:instrText xml:space="preserve"> PAGEREF _Toc256000144 \h </w:instrText>
            </w:r>
            <w:r w:rsidR="00D73168">
              <w:fldChar w:fldCharType="separate"/>
            </w:r>
            <w:r w:rsidR="00D73168">
              <w:t>8</w:t>
            </w:r>
            <w:r w:rsidR="00D73168">
              <w:fldChar w:fldCharType="end"/>
            </w:r>
          </w:hyperlink>
        </w:p>
        <w:p w:rsidR="00EA67D5" w:rsidRDefault="00F05B5C">
          <w:pPr>
            <w:pStyle w:val="TOC1"/>
            <w:tabs>
              <w:tab w:val="left" w:pos="480"/>
              <w:tab w:val="right" w:leader="dot" w:pos="9016"/>
            </w:tabs>
            <w:rPr>
              <w:rFonts w:asciiTheme="minorHAnsi" w:hAnsiTheme="minorHAnsi"/>
              <w:noProof/>
            </w:rPr>
          </w:pPr>
          <w:hyperlink w:anchor="_Toc256000145" w:history="1">
            <w:r w:rsidR="00D73168">
              <w:rPr>
                <w:rStyle w:val="Hyperlink"/>
              </w:rPr>
              <w:t>6.</w:t>
            </w:r>
            <w:r w:rsidR="00D73168">
              <w:rPr>
                <w:rFonts w:asciiTheme="minorHAnsi" w:hAnsiTheme="minorHAnsi"/>
                <w:noProof/>
              </w:rPr>
              <w:tab/>
            </w:r>
            <w:r w:rsidR="00D73168">
              <w:rPr>
                <w:rStyle w:val="Hyperlink"/>
              </w:rPr>
              <w:t>Appendices</w:t>
            </w:r>
            <w:r w:rsidR="00D73168">
              <w:tab/>
            </w:r>
            <w:r w:rsidR="00D73168">
              <w:fldChar w:fldCharType="begin"/>
            </w:r>
            <w:r w:rsidR="00D73168">
              <w:instrText xml:space="preserve"> PAGEREF _Toc256000145 \h </w:instrText>
            </w:r>
            <w:r w:rsidR="00D73168">
              <w:fldChar w:fldCharType="separate"/>
            </w:r>
            <w:r w:rsidR="00D73168">
              <w:t>8</w:t>
            </w:r>
            <w:r w:rsidR="00D73168">
              <w:fldChar w:fldCharType="end"/>
            </w:r>
          </w:hyperlink>
        </w:p>
        <w:p w:rsidR="00EA67D5" w:rsidRDefault="00F05B5C">
          <w:pPr>
            <w:pStyle w:val="TOC2"/>
            <w:tabs>
              <w:tab w:val="left" w:pos="880"/>
              <w:tab w:val="right" w:leader="dot" w:pos="9016"/>
            </w:tabs>
            <w:rPr>
              <w:rFonts w:asciiTheme="minorHAnsi" w:hAnsiTheme="minorHAnsi"/>
              <w:noProof/>
            </w:rPr>
          </w:pPr>
          <w:hyperlink w:anchor="_Toc256000146" w:history="1">
            <w:r w:rsidR="00D73168">
              <w:rPr>
                <w:rStyle w:val="Hyperlink"/>
              </w:rPr>
              <w:t>6.1.</w:t>
            </w:r>
            <w:r w:rsidR="00D73168">
              <w:rPr>
                <w:rFonts w:asciiTheme="minorHAnsi" w:hAnsiTheme="minorHAnsi"/>
                <w:noProof/>
              </w:rPr>
              <w:tab/>
            </w:r>
            <w:r w:rsidR="00D73168">
              <w:rPr>
                <w:rStyle w:val="Hyperlink"/>
              </w:rPr>
              <w:t>Assessment Criteria for Escalation of Security Events</w:t>
            </w:r>
            <w:r w:rsidR="00D73168">
              <w:tab/>
            </w:r>
            <w:r w:rsidR="00D73168">
              <w:fldChar w:fldCharType="begin"/>
            </w:r>
            <w:r w:rsidR="00D73168">
              <w:instrText xml:space="preserve"> PAGEREF _Toc256000146 \h </w:instrText>
            </w:r>
            <w:r w:rsidR="00D73168">
              <w:fldChar w:fldCharType="separate"/>
            </w:r>
            <w:r w:rsidR="00D73168">
              <w:t>8</w:t>
            </w:r>
            <w:r w:rsidR="00D73168">
              <w:fldChar w:fldCharType="end"/>
            </w:r>
          </w:hyperlink>
        </w:p>
        <w:p w:rsidR="00EA67D5" w:rsidRDefault="00F05B5C">
          <w:pPr>
            <w:pStyle w:val="TOC3"/>
            <w:tabs>
              <w:tab w:val="left" w:pos="1320"/>
              <w:tab w:val="right" w:leader="dot" w:pos="9016"/>
            </w:tabs>
            <w:rPr>
              <w:rFonts w:asciiTheme="minorHAnsi" w:hAnsiTheme="minorHAnsi"/>
              <w:noProof/>
            </w:rPr>
          </w:pPr>
          <w:hyperlink w:anchor="_Toc256000147" w:history="1">
            <w:r w:rsidR="00D73168">
              <w:rPr>
                <w:rStyle w:val="Hyperlink"/>
              </w:rPr>
              <w:t>6.1.1.</w:t>
            </w:r>
            <w:r w:rsidR="00D73168">
              <w:rPr>
                <w:rFonts w:asciiTheme="minorHAnsi" w:hAnsiTheme="minorHAnsi"/>
                <w:noProof/>
              </w:rPr>
              <w:tab/>
            </w:r>
            <w:r w:rsidR="00D73168">
              <w:rPr>
                <w:rStyle w:val="Hyperlink"/>
              </w:rPr>
              <w:t>Definition of a Data Protection Incident</w:t>
            </w:r>
            <w:r w:rsidR="00D73168">
              <w:tab/>
            </w:r>
            <w:r w:rsidR="00D73168">
              <w:fldChar w:fldCharType="begin"/>
            </w:r>
            <w:r w:rsidR="00D73168">
              <w:instrText xml:space="preserve"> PAGEREF _Toc256000147 \h </w:instrText>
            </w:r>
            <w:r w:rsidR="00D73168">
              <w:fldChar w:fldCharType="separate"/>
            </w:r>
            <w:r w:rsidR="00D73168">
              <w:t>8</w:t>
            </w:r>
            <w:r w:rsidR="00D73168">
              <w:fldChar w:fldCharType="end"/>
            </w:r>
          </w:hyperlink>
        </w:p>
        <w:p w:rsidR="00EA67D5" w:rsidRDefault="00F05B5C">
          <w:pPr>
            <w:pStyle w:val="TOC3"/>
            <w:tabs>
              <w:tab w:val="left" w:pos="1320"/>
              <w:tab w:val="right" w:leader="dot" w:pos="9016"/>
            </w:tabs>
            <w:rPr>
              <w:rFonts w:asciiTheme="minorHAnsi" w:hAnsiTheme="minorHAnsi"/>
              <w:noProof/>
            </w:rPr>
          </w:pPr>
          <w:hyperlink w:anchor="_Toc256000148" w:history="1">
            <w:r w:rsidR="00D73168">
              <w:rPr>
                <w:rStyle w:val="Hyperlink"/>
              </w:rPr>
              <w:t>6.1.2.</w:t>
            </w:r>
            <w:r w:rsidR="00D73168">
              <w:rPr>
                <w:rFonts w:asciiTheme="minorHAnsi" w:hAnsiTheme="minorHAnsi"/>
                <w:noProof/>
              </w:rPr>
              <w:tab/>
            </w:r>
            <w:r w:rsidR="00D73168" w:rsidRPr="003A7426">
              <w:rPr>
                <w:rStyle w:val="Hyperlink"/>
              </w:rPr>
              <w:t>Definition of an IG SIRI</w:t>
            </w:r>
            <w:r w:rsidR="00D73168">
              <w:tab/>
            </w:r>
            <w:r w:rsidR="00D73168">
              <w:fldChar w:fldCharType="begin"/>
            </w:r>
            <w:r w:rsidR="00D73168">
              <w:instrText xml:space="preserve"> PAGEREF _Toc256000148 \h </w:instrText>
            </w:r>
            <w:r w:rsidR="00D73168">
              <w:fldChar w:fldCharType="separate"/>
            </w:r>
            <w:r w:rsidR="00D73168">
              <w:t>9</w:t>
            </w:r>
            <w:r w:rsidR="00D73168">
              <w:fldChar w:fldCharType="end"/>
            </w:r>
          </w:hyperlink>
        </w:p>
        <w:p w:rsidR="00EA67D5" w:rsidRDefault="00F05B5C">
          <w:pPr>
            <w:pStyle w:val="TOC3"/>
            <w:tabs>
              <w:tab w:val="left" w:pos="1320"/>
              <w:tab w:val="right" w:leader="dot" w:pos="9016"/>
            </w:tabs>
            <w:rPr>
              <w:rFonts w:asciiTheme="minorHAnsi" w:hAnsiTheme="minorHAnsi"/>
              <w:noProof/>
            </w:rPr>
          </w:pPr>
          <w:hyperlink w:anchor="_Toc256000149" w:history="1">
            <w:r w:rsidR="00D73168">
              <w:rPr>
                <w:rStyle w:val="Hyperlink"/>
              </w:rPr>
              <w:t>6.1.3.</w:t>
            </w:r>
            <w:r w:rsidR="00D73168">
              <w:rPr>
                <w:rFonts w:asciiTheme="minorHAnsi" w:hAnsiTheme="minorHAnsi"/>
                <w:noProof/>
              </w:rPr>
              <w:tab/>
            </w:r>
            <w:r w:rsidR="00D73168">
              <w:rPr>
                <w:rStyle w:val="Hyperlink"/>
              </w:rPr>
              <w:t>Definition of Other Security Incidents</w:t>
            </w:r>
            <w:r w:rsidR="00D73168">
              <w:tab/>
            </w:r>
            <w:r w:rsidR="00D73168">
              <w:fldChar w:fldCharType="begin"/>
            </w:r>
            <w:r w:rsidR="00D73168">
              <w:instrText xml:space="preserve"> PAGEREF _Toc256000149 \h </w:instrText>
            </w:r>
            <w:r w:rsidR="00D73168">
              <w:fldChar w:fldCharType="separate"/>
            </w:r>
            <w:r w:rsidR="00D73168">
              <w:t>10</w:t>
            </w:r>
            <w:r w:rsidR="00D73168">
              <w:fldChar w:fldCharType="end"/>
            </w:r>
          </w:hyperlink>
        </w:p>
        <w:p w:rsidR="00EA67D5" w:rsidRDefault="00D73168" w:rsidP="006735AF">
          <w:pPr>
            <w:pStyle w:val="TOCHeading"/>
            <w:jc w:val="left"/>
          </w:pPr>
          <w:r>
            <w:fldChar w:fldCharType="end"/>
          </w:r>
        </w:p>
      </w:sdtContent>
    </w:sdt>
    <w:p w:rsidR="000773C2" w:rsidRPr="0071730C" w:rsidRDefault="00D73168" w:rsidP="000773C2">
      <w:pPr>
        <w:pStyle w:val="ISMSHeading1"/>
      </w:pPr>
      <w:r>
        <w:br w:type="page"/>
      </w:r>
      <w:bookmarkStart w:id="0" w:name="_Toc256000006"/>
      <w:bookmarkStart w:id="1" w:name="_Toc256000112"/>
      <w:bookmarkStart w:id="2" w:name="_Toc256000091"/>
      <w:bookmarkStart w:id="3" w:name="_Toc256000070"/>
      <w:bookmarkStart w:id="4" w:name="_Toc256000049"/>
      <w:bookmarkStart w:id="5" w:name="_Toc256000026"/>
      <w:bookmarkStart w:id="6" w:name="_Toc256000012"/>
      <w:bookmarkStart w:id="7" w:name="_Toc256000000"/>
      <w:bookmarkStart w:id="8" w:name="_Toc481580445"/>
      <w:bookmarkStart w:id="9" w:name="_Toc490641858"/>
      <w:bookmarkStart w:id="10" w:name="_Toc493665175"/>
      <w:bookmarkStart w:id="11" w:name="_Toc499639045"/>
      <w:bookmarkStart w:id="12" w:name="_Toc508019311"/>
      <w:bookmarkStart w:id="13" w:name="_Toc509820693"/>
      <w:bookmarkStart w:id="14" w:name="_Toc513023809"/>
      <w:bookmarkStart w:id="15" w:name="_Toc518372480"/>
      <w:bookmarkStart w:id="16" w:name="_Toc524514909"/>
      <w:bookmarkStart w:id="17" w:name="_Toc961518"/>
      <w:bookmarkStart w:id="18" w:name="_Toc1044703"/>
      <w:bookmarkStart w:id="19" w:name="_Toc6297853"/>
      <w:r w:rsidRPr="0071730C">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0773C2" w:rsidRDefault="00D73168" w:rsidP="000773C2">
      <w:pPr>
        <w:pStyle w:val="ISMSNormal"/>
      </w:pPr>
      <w:r w:rsidRPr="00FB4D26">
        <w:t>Information security events should be assessed and it should be decided if they are to be classified as information security incidents</w:t>
      </w:r>
      <w:r>
        <w:t xml:space="preserve"> and these </w:t>
      </w:r>
      <w:r w:rsidRPr="00FB4D26">
        <w:t>should be responded to in accordance with the documented procedures.</w:t>
      </w:r>
      <w:r>
        <w:t xml:space="preserve"> R</w:t>
      </w:r>
      <w:r w:rsidRPr="00FB4D26">
        <w:t xml:space="preserve">esponsibilities and procedures should be established to ensure a quick, effective and orderly response to </w:t>
      </w:r>
      <w:r>
        <w:t xml:space="preserve">any </w:t>
      </w:r>
      <w:r w:rsidRPr="00FB4D26">
        <w:t>information security incidents.</w:t>
      </w:r>
    </w:p>
    <w:p w:rsidR="000773C2" w:rsidRDefault="00F05B5C" w:rsidP="000773C2">
      <w:pPr>
        <w:pStyle w:val="ISMSNormal"/>
      </w:pPr>
    </w:p>
    <w:p w:rsidR="000773C2" w:rsidRDefault="00D73168" w:rsidP="000773C2">
      <w:pPr>
        <w:pStyle w:val="ISMSNormal"/>
      </w:pPr>
      <w:r w:rsidRPr="00CE7ACC">
        <w:t>The purpose of this document is to describe the procedure to be followed whe</w:t>
      </w:r>
      <w:r>
        <w:t>n dealing with any identified security events, weaknesses and opportunities. It includes the process for classifying security events as incidents and the actions necessary to respond to these security incidents.</w:t>
      </w:r>
    </w:p>
    <w:p w:rsidR="000773C2" w:rsidRPr="003A3288" w:rsidRDefault="00F05B5C" w:rsidP="000773C2">
      <w:pPr>
        <w:pStyle w:val="ISMSNormal"/>
        <w:rPr>
          <w:b/>
        </w:rPr>
      </w:pPr>
    </w:p>
    <w:p w:rsidR="000773C2" w:rsidRPr="0071730C" w:rsidRDefault="00D73168" w:rsidP="000773C2">
      <w:pPr>
        <w:pStyle w:val="ISMSHeading1"/>
      </w:pPr>
      <w:bookmarkStart w:id="20" w:name="_Toc256000007"/>
      <w:bookmarkStart w:id="21" w:name="_Toc256000113"/>
      <w:bookmarkStart w:id="22" w:name="_Toc256000092"/>
      <w:bookmarkStart w:id="23" w:name="_Toc256000071"/>
      <w:bookmarkStart w:id="24" w:name="_Toc256000050"/>
      <w:bookmarkStart w:id="25" w:name="_Toc256000027"/>
      <w:bookmarkStart w:id="26" w:name="_Toc256000013"/>
      <w:bookmarkStart w:id="27" w:name="_Toc256000001"/>
      <w:bookmarkStart w:id="28" w:name="_Toc481580446"/>
      <w:bookmarkStart w:id="29" w:name="_Toc490641859"/>
      <w:bookmarkStart w:id="30" w:name="_Toc493665176"/>
      <w:bookmarkStart w:id="31" w:name="_Toc499639046"/>
      <w:bookmarkStart w:id="32" w:name="_Toc508019312"/>
      <w:bookmarkStart w:id="33" w:name="_Toc509820694"/>
      <w:bookmarkStart w:id="34" w:name="_Toc513023810"/>
      <w:bookmarkStart w:id="35" w:name="_Toc518372481"/>
      <w:bookmarkStart w:id="36" w:name="_Toc524514910"/>
      <w:bookmarkStart w:id="37" w:name="_Toc961519"/>
      <w:bookmarkStart w:id="38" w:name="_Toc1044704"/>
      <w:bookmarkStart w:id="39" w:name="_Toc6297854"/>
      <w:r w:rsidRPr="0071730C">
        <w:t>Scope</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0773C2" w:rsidRDefault="00D73168" w:rsidP="000773C2">
      <w:pPr>
        <w:pStyle w:val="ISMSNormal"/>
      </w:pPr>
      <w:r>
        <w:t>All security events, weaknesses and opportunities identified for the ISMS are in scope of this procedure.</w:t>
      </w:r>
    </w:p>
    <w:p w:rsidR="000773C2" w:rsidRDefault="00F05B5C" w:rsidP="000773C2">
      <w:pPr>
        <w:pStyle w:val="ISMSNormal"/>
      </w:pPr>
    </w:p>
    <w:p w:rsidR="000773C2" w:rsidRPr="0071730C" w:rsidRDefault="00D73168" w:rsidP="000773C2">
      <w:pPr>
        <w:pStyle w:val="ISMSHeading1"/>
      </w:pPr>
      <w:bookmarkStart w:id="40" w:name="_Toc256000008"/>
      <w:bookmarkStart w:id="41" w:name="_Toc256000114"/>
      <w:bookmarkStart w:id="42" w:name="_Toc256000093"/>
      <w:bookmarkStart w:id="43" w:name="_Toc256000072"/>
      <w:bookmarkStart w:id="44" w:name="_Toc256000051"/>
      <w:bookmarkStart w:id="45" w:name="_Toc256000028"/>
      <w:bookmarkStart w:id="46" w:name="_Toc256000014"/>
      <w:bookmarkStart w:id="47" w:name="_Toc256000002"/>
      <w:bookmarkStart w:id="48" w:name="_Toc481580447"/>
      <w:bookmarkStart w:id="49" w:name="_Toc490641860"/>
      <w:bookmarkStart w:id="50" w:name="_Toc493665177"/>
      <w:bookmarkStart w:id="51" w:name="_Toc499639047"/>
      <w:bookmarkStart w:id="52" w:name="_Toc508019313"/>
      <w:bookmarkStart w:id="53" w:name="_Toc509820695"/>
      <w:bookmarkStart w:id="54" w:name="_Toc513023811"/>
      <w:bookmarkStart w:id="55" w:name="_Toc518372482"/>
      <w:bookmarkStart w:id="56" w:name="_Toc524514911"/>
      <w:bookmarkStart w:id="57" w:name="_Toc961520"/>
      <w:bookmarkStart w:id="58" w:name="_Toc1044705"/>
      <w:bookmarkStart w:id="59" w:name="_Toc6297855"/>
      <w:r>
        <w:t>Responsibilities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0773C2" w:rsidRPr="0049751F" w:rsidRDefault="00D73168" w:rsidP="000773C2">
      <w:pPr>
        <w:pStyle w:val="ISMSNormal"/>
      </w:pPr>
      <w:r w:rsidRPr="00F71DB5">
        <w:t xml:space="preserve">The </w:t>
      </w:r>
      <w:r>
        <w:t>Incident Management</w:t>
      </w:r>
      <w:r w:rsidRPr="00F71DB5">
        <w:t xml:space="preserve"> Team is responsible</w:t>
      </w:r>
      <w:r>
        <w:t xml:space="preserve"> for:</w:t>
      </w:r>
    </w:p>
    <w:p w:rsidR="000773C2" w:rsidRDefault="00D73168" w:rsidP="000773C2">
      <w:pPr>
        <w:pStyle w:val="ListParagraph"/>
      </w:pPr>
      <w:r>
        <w:t>D</w:t>
      </w:r>
      <w:r w:rsidRPr="0049751F">
        <w:t xml:space="preserve">ealing with </w:t>
      </w:r>
      <w:r>
        <w:t>security events including</w:t>
      </w:r>
      <w:r w:rsidRPr="0049751F">
        <w:t>:</w:t>
      </w:r>
    </w:p>
    <w:p w:rsidR="000773C2" w:rsidRDefault="00D73168" w:rsidP="000773C2">
      <w:pPr>
        <w:pStyle w:val="ListParagraph"/>
        <w:numPr>
          <w:ilvl w:val="1"/>
          <w:numId w:val="7"/>
        </w:numPr>
      </w:pPr>
      <w:r>
        <w:t>Completing the assessment stage for all reported items.</w:t>
      </w:r>
    </w:p>
    <w:p w:rsidR="000773C2" w:rsidRDefault="00D73168" w:rsidP="000773C2">
      <w:pPr>
        <w:pStyle w:val="ListParagraph"/>
        <w:numPr>
          <w:ilvl w:val="1"/>
          <w:numId w:val="7"/>
        </w:numPr>
      </w:pPr>
      <w:r>
        <w:t>Notifying any managers assigned a stage action and advising on the management process</w:t>
      </w:r>
    </w:p>
    <w:p w:rsidR="000773C2" w:rsidRDefault="00D73168" w:rsidP="000773C2">
      <w:pPr>
        <w:pStyle w:val="ListParagraph"/>
        <w:numPr>
          <w:ilvl w:val="1"/>
          <w:numId w:val="7"/>
        </w:numPr>
      </w:pPr>
      <w:r>
        <w:t>Managing data protection incidents</w:t>
      </w:r>
    </w:p>
    <w:p w:rsidR="000773C2" w:rsidRDefault="00D73168" w:rsidP="000773C2">
      <w:pPr>
        <w:pStyle w:val="ListParagraph"/>
        <w:numPr>
          <w:ilvl w:val="1"/>
          <w:numId w:val="7"/>
        </w:numPr>
      </w:pPr>
      <w:r>
        <w:t>Reviewing if action stages have been completed and closing the record</w:t>
      </w:r>
    </w:p>
    <w:p w:rsidR="000773C2" w:rsidRDefault="00F05B5C" w:rsidP="000773C2">
      <w:pPr>
        <w:pStyle w:val="ISMSNormal"/>
        <w:rPr>
          <w:b/>
        </w:rPr>
      </w:pPr>
    </w:p>
    <w:p w:rsidR="00C265A3" w:rsidRPr="0049751F" w:rsidRDefault="00D73168" w:rsidP="00C265A3">
      <w:pPr>
        <w:pStyle w:val="ISMSNormal"/>
      </w:pPr>
      <w:r w:rsidRPr="00F71DB5">
        <w:t xml:space="preserve">The </w:t>
      </w:r>
      <w:r>
        <w:t xml:space="preserve">ISMS Improvement Team </w:t>
      </w:r>
      <w:r w:rsidRPr="00F71DB5">
        <w:t>is responsible</w:t>
      </w:r>
      <w:r>
        <w:t xml:space="preserve"> for:</w:t>
      </w:r>
    </w:p>
    <w:p w:rsidR="00C265A3" w:rsidRDefault="00D73168" w:rsidP="00C265A3">
      <w:pPr>
        <w:pStyle w:val="ListParagraph"/>
      </w:pPr>
      <w:r>
        <w:t>D</w:t>
      </w:r>
      <w:r w:rsidRPr="0049751F">
        <w:t xml:space="preserve">ealing with </w:t>
      </w:r>
      <w:r>
        <w:t>weaknesses and opportunities including</w:t>
      </w:r>
      <w:r w:rsidRPr="0049751F">
        <w:t>:</w:t>
      </w:r>
    </w:p>
    <w:p w:rsidR="00C265A3" w:rsidRDefault="00D73168" w:rsidP="00C265A3">
      <w:pPr>
        <w:pStyle w:val="ListParagraph"/>
        <w:numPr>
          <w:ilvl w:val="1"/>
          <w:numId w:val="7"/>
        </w:numPr>
      </w:pPr>
      <w:r>
        <w:t>Completing the assessment stage for all reported items.</w:t>
      </w:r>
    </w:p>
    <w:p w:rsidR="00C265A3" w:rsidRDefault="00D73168" w:rsidP="00C265A3">
      <w:pPr>
        <w:pStyle w:val="ListParagraph"/>
        <w:numPr>
          <w:ilvl w:val="1"/>
          <w:numId w:val="7"/>
        </w:numPr>
      </w:pPr>
      <w:r>
        <w:t>Notifying any managers assigned a stage action and advising on the management process</w:t>
      </w:r>
    </w:p>
    <w:p w:rsidR="00C265A3" w:rsidRDefault="00D73168" w:rsidP="00C265A3">
      <w:pPr>
        <w:pStyle w:val="ListParagraph"/>
        <w:numPr>
          <w:ilvl w:val="1"/>
          <w:numId w:val="7"/>
        </w:numPr>
      </w:pPr>
      <w:r>
        <w:t>Reviewing if action stages have been completed and closing the record</w:t>
      </w:r>
    </w:p>
    <w:p w:rsidR="00C265A3" w:rsidRDefault="00F05B5C" w:rsidP="000773C2">
      <w:pPr>
        <w:pStyle w:val="ISMSNormal"/>
        <w:rPr>
          <w:b/>
        </w:rPr>
      </w:pPr>
    </w:p>
    <w:p w:rsidR="000773C2" w:rsidRPr="00E026B3" w:rsidRDefault="00D73168" w:rsidP="000773C2">
      <w:pPr>
        <w:pStyle w:val="ISMSNormal"/>
      </w:pPr>
      <w:r>
        <w:t>The Information Security Manage</w:t>
      </w:r>
      <w:r w:rsidRPr="00E026B3">
        <w:t>r</w:t>
      </w:r>
      <w:r>
        <w:t xml:space="preserve"> </w:t>
      </w:r>
      <w:r w:rsidRPr="00E026B3">
        <w:t>is responsible for</w:t>
      </w:r>
      <w:r>
        <w:t>:</w:t>
      </w:r>
    </w:p>
    <w:p w:rsidR="000773C2" w:rsidRPr="003D700B" w:rsidRDefault="00D73168" w:rsidP="003D700B">
      <w:pPr>
        <w:pStyle w:val="ListParagraph"/>
      </w:pPr>
      <w:r w:rsidRPr="003D700B">
        <w:t>Reporting corrective actions to the ISSG</w:t>
      </w:r>
    </w:p>
    <w:p w:rsidR="000773C2" w:rsidRPr="003A3288" w:rsidRDefault="00F05B5C" w:rsidP="000773C2">
      <w:pPr>
        <w:pStyle w:val="ISMSNormal"/>
        <w:rPr>
          <w:b/>
        </w:rPr>
      </w:pPr>
    </w:p>
    <w:p w:rsidR="000773C2" w:rsidRPr="0049751F" w:rsidRDefault="00D73168" w:rsidP="000773C2">
      <w:pPr>
        <w:pStyle w:val="ISMSNormal"/>
      </w:pPr>
      <w:r>
        <w:t xml:space="preserve">The </w:t>
      </w:r>
      <w:r w:rsidRPr="00FF23CB">
        <w:t xml:space="preserve">Information Security Steering Group </w:t>
      </w:r>
      <w:r w:rsidRPr="0049751F">
        <w:t>(ISSG)</w:t>
      </w:r>
      <w:r>
        <w:t xml:space="preserve"> is responsible for:</w:t>
      </w:r>
    </w:p>
    <w:p w:rsidR="000773C2" w:rsidRPr="0039438B" w:rsidRDefault="00D73168" w:rsidP="000773C2">
      <w:pPr>
        <w:pStyle w:val="ListParagraph"/>
        <w:numPr>
          <w:ilvl w:val="0"/>
          <w:numId w:val="8"/>
        </w:numPr>
      </w:pPr>
      <w:r>
        <w:t>R</w:t>
      </w:r>
      <w:r w:rsidRPr="0049751F">
        <w:t>eviewing if corrective action</w:t>
      </w:r>
      <w:r>
        <w:t>s</w:t>
      </w:r>
      <w:r w:rsidRPr="0049751F">
        <w:t xml:space="preserve"> ha</w:t>
      </w:r>
      <w:r>
        <w:t>ve</w:t>
      </w:r>
      <w:r w:rsidRPr="0049751F">
        <w:t xml:space="preserve"> been successful.</w:t>
      </w:r>
    </w:p>
    <w:p w:rsidR="000773C2" w:rsidRDefault="00D73168" w:rsidP="000773C2">
      <w:pPr>
        <w:pStyle w:val="ListParagraph"/>
        <w:numPr>
          <w:ilvl w:val="0"/>
          <w:numId w:val="8"/>
        </w:numPr>
      </w:pPr>
      <w:r>
        <w:t>Requesting internal audits or additional ISMS training for staff.</w:t>
      </w:r>
    </w:p>
    <w:p w:rsidR="00561E39" w:rsidRDefault="00D73168" w:rsidP="00561E39">
      <w:pPr>
        <w:pStyle w:val="ListParagraph"/>
        <w:numPr>
          <w:ilvl w:val="0"/>
          <w:numId w:val="8"/>
        </w:numPr>
      </w:pPr>
      <w:r w:rsidRPr="00561E39">
        <w:t>Handling serious security events raised directly to them rather than through Q-Pulse</w:t>
      </w:r>
    </w:p>
    <w:p w:rsidR="00561E39" w:rsidRDefault="00F05B5C" w:rsidP="00561E39"/>
    <w:p w:rsidR="00561E39" w:rsidRDefault="00D73168" w:rsidP="00561E39">
      <w:r>
        <w:t xml:space="preserve">The Senior Information Risk Owner (SIRO) is responsible for: </w:t>
      </w:r>
    </w:p>
    <w:p w:rsidR="00561E39" w:rsidRDefault="00D73168">
      <w:pPr>
        <w:pStyle w:val="ListParagraph"/>
        <w:numPr>
          <w:ilvl w:val="0"/>
          <w:numId w:val="8"/>
        </w:numPr>
      </w:pPr>
      <w:r>
        <w:t>Handling serious security events raised directly to them rather than through Q-Pulse</w:t>
      </w:r>
    </w:p>
    <w:p w:rsidR="000773C2" w:rsidRDefault="00F05B5C" w:rsidP="000773C2"/>
    <w:p w:rsidR="000773C2" w:rsidRDefault="00D73168" w:rsidP="000773C2">
      <w:r>
        <w:t xml:space="preserve">The ISMS </w:t>
      </w:r>
      <w:r w:rsidRPr="00847101">
        <w:t>Management Sponsor</w:t>
      </w:r>
      <w:r>
        <w:t xml:space="preserve"> and Head of Operations ISMS are responsible for:</w:t>
      </w:r>
    </w:p>
    <w:p w:rsidR="000773C2" w:rsidRPr="00EF3A04" w:rsidRDefault="00D73168" w:rsidP="000773C2">
      <w:pPr>
        <w:pStyle w:val="ListParagraph"/>
        <w:numPr>
          <w:ilvl w:val="0"/>
          <w:numId w:val="8"/>
        </w:numPr>
      </w:pPr>
      <w:r>
        <w:t>Performing the initial assessment when all members of the Incident Management Team are unavailable</w:t>
      </w:r>
    </w:p>
    <w:p w:rsidR="000773C2" w:rsidRPr="0049751F" w:rsidRDefault="00F05B5C" w:rsidP="000773C2">
      <w:pPr>
        <w:pStyle w:val="ListParagraph"/>
        <w:numPr>
          <w:ilvl w:val="0"/>
          <w:numId w:val="0"/>
        </w:numPr>
        <w:ind w:left="720"/>
      </w:pPr>
    </w:p>
    <w:p w:rsidR="000773C2" w:rsidRPr="004B3E46" w:rsidRDefault="00D73168" w:rsidP="000773C2">
      <w:pPr>
        <w:pStyle w:val="ISMSHeading1"/>
      </w:pPr>
      <w:bookmarkStart w:id="60" w:name="_Toc256000009"/>
      <w:bookmarkStart w:id="61" w:name="_Toc256000115"/>
      <w:bookmarkStart w:id="62" w:name="_Toc256000094"/>
      <w:bookmarkStart w:id="63" w:name="_Toc256000073"/>
      <w:bookmarkStart w:id="64" w:name="_Toc256000052"/>
      <w:bookmarkStart w:id="65" w:name="_Toc256000018"/>
      <w:bookmarkStart w:id="66" w:name="_Toc256000029"/>
      <w:bookmarkStart w:id="67" w:name="_Toc256000015"/>
      <w:bookmarkStart w:id="68" w:name="_Toc256000003"/>
      <w:bookmarkStart w:id="69" w:name="_Toc481580448"/>
      <w:bookmarkStart w:id="70" w:name="_Toc490641861"/>
      <w:bookmarkStart w:id="71" w:name="_Toc493665178"/>
      <w:bookmarkStart w:id="72" w:name="_Toc499639048"/>
      <w:bookmarkStart w:id="73" w:name="_Toc508019314"/>
      <w:bookmarkStart w:id="74" w:name="_Toc509820696"/>
      <w:bookmarkStart w:id="75" w:name="_Toc513023812"/>
      <w:bookmarkStart w:id="76" w:name="_Toc518372483"/>
      <w:bookmarkStart w:id="77" w:name="_Toc524514912"/>
      <w:bookmarkStart w:id="78" w:name="_Toc961521"/>
      <w:bookmarkStart w:id="79" w:name="_Toc1044706"/>
      <w:bookmarkStart w:id="80" w:name="_Toc6297856"/>
      <w:r w:rsidRPr="004B3E46">
        <w:lastRenderedPageBreak/>
        <w:t>Procedure</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0773C2" w:rsidRPr="004B3E46" w:rsidRDefault="00D73168" w:rsidP="000773C2">
      <w:pPr>
        <w:pStyle w:val="ISMSHeading2"/>
      </w:pPr>
      <w:bookmarkStart w:id="81" w:name="_Toc256000030"/>
      <w:bookmarkStart w:id="82" w:name="_Toc256000016"/>
      <w:bookmarkStart w:id="83" w:name="_Toc256000004"/>
      <w:bookmarkStart w:id="84" w:name="_Toc481580449"/>
      <w:bookmarkStart w:id="85" w:name="_Toc490641862"/>
      <w:bookmarkStart w:id="86" w:name="_Toc493665179"/>
      <w:bookmarkStart w:id="87" w:name="_Toc499639049"/>
      <w:bookmarkStart w:id="88" w:name="_Toc508019315"/>
      <w:bookmarkStart w:id="89" w:name="_Toc256000010"/>
      <w:bookmarkStart w:id="90" w:name="_Toc256000116"/>
      <w:bookmarkStart w:id="91" w:name="_Toc256000095"/>
      <w:bookmarkStart w:id="92" w:name="_Toc256000074"/>
      <w:bookmarkStart w:id="93" w:name="_Toc256000053"/>
      <w:bookmarkStart w:id="94" w:name="_Toc256000019"/>
      <w:bookmarkStart w:id="95" w:name="_Toc509820697"/>
      <w:bookmarkStart w:id="96" w:name="_Toc513023813"/>
      <w:bookmarkStart w:id="97" w:name="_Toc518372484"/>
      <w:bookmarkStart w:id="98" w:name="_Toc524514913"/>
      <w:bookmarkStart w:id="99" w:name="_Toc961522"/>
      <w:bookmarkStart w:id="100" w:name="_Toc1044707"/>
      <w:bookmarkStart w:id="101" w:name="_Toc6297857"/>
      <w:r w:rsidRPr="004B3E46">
        <w:t xml:space="preserve">Reporting </w:t>
      </w:r>
      <w:bookmarkEnd w:id="81"/>
      <w:bookmarkEnd w:id="82"/>
      <w:bookmarkEnd w:id="83"/>
      <w:bookmarkEnd w:id="84"/>
      <w:bookmarkEnd w:id="85"/>
      <w:bookmarkEnd w:id="86"/>
      <w:bookmarkEnd w:id="87"/>
      <w:bookmarkEnd w:id="88"/>
      <w:r>
        <w:t>Security Events, Weaknesses and Opportunities</w:t>
      </w:r>
      <w:bookmarkEnd w:id="89"/>
      <w:bookmarkEnd w:id="90"/>
      <w:bookmarkEnd w:id="91"/>
      <w:bookmarkEnd w:id="92"/>
      <w:bookmarkEnd w:id="93"/>
      <w:bookmarkEnd w:id="94"/>
      <w:bookmarkEnd w:id="95"/>
      <w:bookmarkEnd w:id="96"/>
      <w:bookmarkEnd w:id="97"/>
      <w:bookmarkEnd w:id="98"/>
      <w:bookmarkEnd w:id="99"/>
      <w:bookmarkEnd w:id="100"/>
      <w:bookmarkEnd w:id="101"/>
    </w:p>
    <w:p w:rsidR="000773C2" w:rsidRDefault="00D73168" w:rsidP="000773C2">
      <w:pPr>
        <w:pStyle w:val="ISMSNormal"/>
      </w:pPr>
      <w:r>
        <w:t>Security events, weaknesses and opportunities may</w:t>
      </w:r>
      <w:r w:rsidRPr="004B3E46">
        <w:t xml:space="preserve"> be reported by any member of staff, contractor, visitor or user of the </w:t>
      </w:r>
      <w:r>
        <w:t xml:space="preserve">TRE </w:t>
      </w:r>
      <w:r w:rsidRPr="004B3E46">
        <w:t>and associated services</w:t>
      </w:r>
      <w:r>
        <w:t>. These will be created directly in Q-Pulse or added to Q-Pulse by the ISM (see SOP-02-02) and will first generate an assessment stage.</w:t>
      </w:r>
    </w:p>
    <w:p w:rsidR="003D700B" w:rsidRDefault="00F05B5C" w:rsidP="000773C2">
      <w:pPr>
        <w:pStyle w:val="ISMSNormal"/>
      </w:pPr>
    </w:p>
    <w:p w:rsidR="00561E39" w:rsidRDefault="00D73168" w:rsidP="00561E39">
      <w:pPr>
        <w:pStyle w:val="ISMSHeading2"/>
        <w:rPr>
          <w:lang w:val="en-US"/>
        </w:rPr>
      </w:pPr>
      <w:bookmarkStart w:id="102" w:name="_Toc256000011"/>
      <w:bookmarkStart w:id="103" w:name="_Toc6297858"/>
      <w:bookmarkStart w:id="104" w:name="_Toc256000117"/>
      <w:bookmarkStart w:id="105" w:name="_Toc256000096"/>
      <w:bookmarkStart w:id="106" w:name="_Toc256000075"/>
      <w:bookmarkStart w:id="107" w:name="_Toc256000054"/>
      <w:bookmarkStart w:id="108" w:name="_Toc256000021"/>
      <w:bookmarkStart w:id="109" w:name="_Toc509820698"/>
      <w:bookmarkStart w:id="110" w:name="_Toc513023814"/>
      <w:bookmarkStart w:id="111" w:name="_Ref517874777"/>
      <w:bookmarkStart w:id="112" w:name="_Toc518372485"/>
      <w:bookmarkStart w:id="113" w:name="_Toc524514914"/>
      <w:bookmarkStart w:id="114" w:name="_Toc961523"/>
      <w:bookmarkStart w:id="115" w:name="_Toc1044708"/>
      <w:r w:rsidRPr="00561E39">
        <w:rPr>
          <w:lang w:val="en-US"/>
        </w:rPr>
        <w:t>Serious Security Events</w:t>
      </w:r>
      <w:bookmarkEnd w:id="102"/>
      <w:bookmarkEnd w:id="103"/>
    </w:p>
    <w:p w:rsidR="00561E39" w:rsidRDefault="00D73168" w:rsidP="00BB61C2">
      <w:pPr>
        <w:pStyle w:val="ISMSNormal"/>
      </w:pPr>
      <w:r w:rsidRPr="00561E39">
        <w:t>SOP-02-02 allows for serious security events to be raised directly with a member of the ISSG or the SIRO. In this situation the member of the ISSG or the SIRO to who the event was reported is responsible for the handling of the incident and the triage process described below does not apply.</w:t>
      </w:r>
    </w:p>
    <w:p w:rsidR="00BB61C2" w:rsidRPr="00BB61C2" w:rsidRDefault="00F05B5C" w:rsidP="00BB61C2">
      <w:pPr>
        <w:pStyle w:val="ISMSNormal"/>
      </w:pPr>
    </w:p>
    <w:p w:rsidR="000773C2" w:rsidRPr="0080302C" w:rsidRDefault="00D73168" w:rsidP="000773C2">
      <w:pPr>
        <w:pStyle w:val="ISMSHeading2"/>
        <w:rPr>
          <w:lang w:val="en-US"/>
        </w:rPr>
      </w:pPr>
      <w:bookmarkStart w:id="116" w:name="_Toc256000133"/>
      <w:bookmarkStart w:id="117" w:name="_Toc6297859"/>
      <w:r>
        <w:t>Assessment Stage</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t xml:space="preserve"> </w:t>
      </w:r>
    </w:p>
    <w:p w:rsidR="004677FC" w:rsidRDefault="00D73168" w:rsidP="000773C2">
      <w:pPr>
        <w:pStyle w:val="ISMSNormal"/>
      </w:pPr>
      <w:r>
        <w:t>Security events will be directed to the Incident Management team for assessment. Weaknesses and Opportunities will be directed to the ISMS Improvement Team for assessment.</w:t>
      </w:r>
    </w:p>
    <w:p w:rsidR="004677FC" w:rsidRDefault="00F05B5C" w:rsidP="000773C2">
      <w:pPr>
        <w:pStyle w:val="ISMSNormal"/>
      </w:pPr>
    </w:p>
    <w:p w:rsidR="004677FC" w:rsidRDefault="00D73168" w:rsidP="000773C2">
      <w:pPr>
        <w:pStyle w:val="ISMSNormal"/>
      </w:pPr>
      <w:r>
        <w:t xml:space="preserve">During the assessment </w:t>
      </w:r>
      <w:r w:rsidRPr="00F71DB5">
        <w:t xml:space="preserve">stage the </w:t>
      </w:r>
      <w:r>
        <w:t xml:space="preserve">responsible team will review the details of the item raised and perform an initial evaluation to confirm that the details have been recorded clearly and that the item has been correctly classified (e.g. as a security event).  This will also determine whether an event should be classified as a security </w:t>
      </w:r>
      <w:r w:rsidRPr="009A0F35">
        <w:t>incident (see appendix for assessment criteria)</w:t>
      </w:r>
      <w:r>
        <w:t xml:space="preserve">. </w:t>
      </w:r>
    </w:p>
    <w:p w:rsidR="004677FC" w:rsidRDefault="00F05B5C" w:rsidP="000773C2">
      <w:pPr>
        <w:pStyle w:val="ISMSNormal"/>
      </w:pPr>
    </w:p>
    <w:p w:rsidR="000773C2" w:rsidRDefault="00D73168" w:rsidP="000773C2">
      <w:pPr>
        <w:pStyle w:val="ISMSNormal"/>
      </w:pPr>
      <w:r>
        <w:t>The responsible team</w:t>
      </w:r>
      <w:r w:rsidRPr="009A0F35">
        <w:t xml:space="preserve"> </w:t>
      </w:r>
      <w:r>
        <w:t>(following any re-classification) will assign the remaining action stages for the management of the item to a responsible manager. This will usually be the process owner of the associated process. The responsible team will also review the target dates for completion of the action stages.</w:t>
      </w:r>
    </w:p>
    <w:p w:rsidR="000773C2" w:rsidRDefault="00D73168" w:rsidP="000773C2">
      <w:pPr>
        <w:pStyle w:val="ISMSNormal"/>
      </w:pPr>
      <w:r>
        <w:t>As part of the assessment stage additional action management stages may be added or removed from the item.</w:t>
      </w:r>
    </w:p>
    <w:p w:rsidR="000773C2" w:rsidRDefault="00D73168" w:rsidP="000773C2">
      <w:pPr>
        <w:pStyle w:val="ISMSNormal"/>
      </w:pPr>
      <w:r>
        <w:t>The stages available include:</w:t>
      </w:r>
    </w:p>
    <w:p w:rsidR="000773C2" w:rsidRDefault="00D73168" w:rsidP="000773C2">
      <w:pPr>
        <w:pStyle w:val="ListParagraph"/>
      </w:pPr>
      <w:r>
        <w:t>Assessment (already present in record)</w:t>
      </w:r>
    </w:p>
    <w:p w:rsidR="000773C2" w:rsidRDefault="00D73168" w:rsidP="000773C2">
      <w:pPr>
        <w:pStyle w:val="ListParagraph"/>
      </w:pPr>
      <w:r>
        <w:t>Containment</w:t>
      </w:r>
    </w:p>
    <w:p w:rsidR="000773C2" w:rsidRDefault="00D73168" w:rsidP="000773C2">
      <w:pPr>
        <w:pStyle w:val="ListParagraph"/>
      </w:pPr>
      <w:r>
        <w:t>Corrective action (already present for security event record)</w:t>
      </w:r>
    </w:p>
    <w:p w:rsidR="000773C2" w:rsidRDefault="00D73168" w:rsidP="000773C2">
      <w:pPr>
        <w:pStyle w:val="ListParagraph"/>
      </w:pPr>
      <w:r>
        <w:t>Dataset ethics consulted</w:t>
      </w:r>
    </w:p>
    <w:p w:rsidR="000773C2" w:rsidRDefault="00D73168" w:rsidP="000773C2">
      <w:pPr>
        <w:pStyle w:val="ListParagraph"/>
      </w:pPr>
      <w:r>
        <w:t>Effectiveness Check</w:t>
      </w:r>
    </w:p>
    <w:p w:rsidR="000773C2" w:rsidRDefault="00D73168" w:rsidP="000773C2">
      <w:pPr>
        <w:pStyle w:val="ListParagraph"/>
      </w:pPr>
      <w:r>
        <w:t>Investigation (already present for security event record)</w:t>
      </w:r>
    </w:p>
    <w:p w:rsidR="000773C2" w:rsidRDefault="00D73168" w:rsidP="000773C2">
      <w:pPr>
        <w:pStyle w:val="ListParagraph"/>
      </w:pPr>
      <w:r>
        <w:t>Report to IG SIRI?</w:t>
      </w:r>
    </w:p>
    <w:p w:rsidR="000773C2" w:rsidRDefault="00D73168" w:rsidP="000773C2">
      <w:pPr>
        <w:pStyle w:val="ListParagraph"/>
      </w:pPr>
      <w:r>
        <w:t>Review (already present for weakness and opportunity record)</w:t>
      </w:r>
    </w:p>
    <w:p w:rsidR="000773C2" w:rsidRDefault="00D73168" w:rsidP="000773C2">
      <w:pPr>
        <w:pStyle w:val="ListParagraph"/>
      </w:pPr>
      <w:r>
        <w:t>Root cause</w:t>
      </w:r>
    </w:p>
    <w:p w:rsidR="000773C2" w:rsidRDefault="00D73168" w:rsidP="000773C2">
      <w:pPr>
        <w:pStyle w:val="ISMSNormal"/>
      </w:pPr>
      <w:r>
        <w:t>Any fields relevant to the classification of the item e.g. Process, Event Category, Document, etc. will also be reviewed and updated as appropriate.</w:t>
      </w:r>
    </w:p>
    <w:p w:rsidR="000773C2" w:rsidRDefault="00F05B5C" w:rsidP="000773C2">
      <w:pPr>
        <w:pStyle w:val="ISMSNormal"/>
      </w:pPr>
    </w:p>
    <w:p w:rsidR="000773C2" w:rsidRDefault="00D73168" w:rsidP="000773C2">
      <w:pPr>
        <w:pStyle w:val="ISMSNormal"/>
      </w:pPr>
      <w:r>
        <w:t xml:space="preserve">The following working days (after raised date) for completion of the default stages will be applied. Data protection security incidents are subject to external reporting controls (see section 4.3) and are not included in this table. </w:t>
      </w:r>
    </w:p>
    <w:p w:rsidR="000773C2" w:rsidRDefault="00F05B5C" w:rsidP="000773C2">
      <w:pPr>
        <w:pStyle w:val="ISMSNormal"/>
      </w:pPr>
    </w:p>
    <w:tbl>
      <w:tblPr>
        <w:tblStyle w:val="TableGrid"/>
        <w:tblW w:w="0" w:type="auto"/>
        <w:tblLook w:val="04A0" w:firstRow="1" w:lastRow="0" w:firstColumn="1" w:lastColumn="0" w:noHBand="0" w:noVBand="1"/>
      </w:tblPr>
      <w:tblGrid>
        <w:gridCol w:w="3238"/>
        <w:gridCol w:w="1531"/>
        <w:gridCol w:w="1546"/>
        <w:gridCol w:w="1381"/>
        <w:gridCol w:w="1320"/>
      </w:tblGrid>
      <w:tr w:rsidR="00EA67D5" w:rsidTr="00203D50">
        <w:tc>
          <w:tcPr>
            <w:tcW w:w="3369" w:type="dxa"/>
          </w:tcPr>
          <w:p w:rsidR="000773C2" w:rsidRDefault="00D73168" w:rsidP="00203D50">
            <w:pPr>
              <w:pStyle w:val="ISMSNormal"/>
            </w:pPr>
            <w:r>
              <w:lastRenderedPageBreak/>
              <w:t>Item</w:t>
            </w:r>
          </w:p>
        </w:tc>
        <w:tc>
          <w:tcPr>
            <w:tcW w:w="1554" w:type="dxa"/>
          </w:tcPr>
          <w:p w:rsidR="000773C2" w:rsidRDefault="00D73168" w:rsidP="00203D50">
            <w:pPr>
              <w:pStyle w:val="ISMSNormal"/>
              <w:jc w:val="center"/>
            </w:pPr>
            <w:r>
              <w:t>Assessment</w:t>
            </w:r>
          </w:p>
        </w:tc>
        <w:tc>
          <w:tcPr>
            <w:tcW w:w="1564" w:type="dxa"/>
          </w:tcPr>
          <w:p w:rsidR="000773C2" w:rsidRDefault="00D73168" w:rsidP="00203D50">
            <w:pPr>
              <w:pStyle w:val="ISMSNormal"/>
              <w:jc w:val="center"/>
            </w:pPr>
            <w:r>
              <w:t>Investigation</w:t>
            </w:r>
          </w:p>
        </w:tc>
        <w:tc>
          <w:tcPr>
            <w:tcW w:w="1418" w:type="dxa"/>
          </w:tcPr>
          <w:p w:rsidR="000773C2" w:rsidRDefault="00D73168" w:rsidP="00203D50">
            <w:pPr>
              <w:pStyle w:val="ISMSNormal"/>
              <w:jc w:val="center"/>
            </w:pPr>
            <w:r>
              <w:t>Review</w:t>
            </w:r>
          </w:p>
        </w:tc>
        <w:tc>
          <w:tcPr>
            <w:tcW w:w="1337" w:type="dxa"/>
          </w:tcPr>
          <w:p w:rsidR="000773C2" w:rsidRDefault="00D73168" w:rsidP="00203D50">
            <w:pPr>
              <w:pStyle w:val="ISMSNormal"/>
              <w:jc w:val="center"/>
            </w:pPr>
            <w:r>
              <w:t>Corrective Actions</w:t>
            </w:r>
          </w:p>
        </w:tc>
      </w:tr>
      <w:tr w:rsidR="00EA67D5" w:rsidTr="00203D50">
        <w:tc>
          <w:tcPr>
            <w:tcW w:w="3369" w:type="dxa"/>
          </w:tcPr>
          <w:p w:rsidR="000773C2" w:rsidRDefault="00D73168" w:rsidP="00203D50">
            <w:pPr>
              <w:pStyle w:val="ISMSNormal"/>
            </w:pPr>
            <w:r>
              <w:t>Security Incident (</w:t>
            </w:r>
            <w:proofErr w:type="spellStart"/>
            <w:r>
              <w:t>non data</w:t>
            </w:r>
            <w:proofErr w:type="spellEnd"/>
            <w:r>
              <w:t>)</w:t>
            </w:r>
          </w:p>
        </w:tc>
        <w:tc>
          <w:tcPr>
            <w:tcW w:w="1554" w:type="dxa"/>
          </w:tcPr>
          <w:p w:rsidR="000773C2" w:rsidRDefault="00D73168" w:rsidP="00150874">
            <w:pPr>
              <w:pStyle w:val="ISMSNormal"/>
              <w:jc w:val="center"/>
            </w:pPr>
            <w:r>
              <w:t>1</w:t>
            </w:r>
          </w:p>
        </w:tc>
        <w:tc>
          <w:tcPr>
            <w:tcW w:w="1564" w:type="dxa"/>
          </w:tcPr>
          <w:p w:rsidR="000773C2" w:rsidRDefault="00D73168" w:rsidP="00203D50">
            <w:pPr>
              <w:pStyle w:val="ISMSNormal"/>
              <w:jc w:val="center"/>
            </w:pPr>
            <w:r>
              <w:t>2</w:t>
            </w:r>
          </w:p>
        </w:tc>
        <w:tc>
          <w:tcPr>
            <w:tcW w:w="1418" w:type="dxa"/>
          </w:tcPr>
          <w:p w:rsidR="000773C2" w:rsidRDefault="00D73168" w:rsidP="00203D50">
            <w:pPr>
              <w:pStyle w:val="ISMSNormal"/>
              <w:jc w:val="center"/>
            </w:pPr>
            <w:r>
              <w:t>N/A</w:t>
            </w:r>
          </w:p>
        </w:tc>
        <w:tc>
          <w:tcPr>
            <w:tcW w:w="1337" w:type="dxa"/>
          </w:tcPr>
          <w:p w:rsidR="000773C2" w:rsidRDefault="00D73168" w:rsidP="00203D50">
            <w:pPr>
              <w:pStyle w:val="ISMSNormal"/>
              <w:jc w:val="center"/>
            </w:pPr>
            <w:r>
              <w:t>20</w:t>
            </w:r>
          </w:p>
        </w:tc>
      </w:tr>
      <w:tr w:rsidR="00EA67D5" w:rsidTr="00203D50">
        <w:tc>
          <w:tcPr>
            <w:tcW w:w="3369" w:type="dxa"/>
          </w:tcPr>
          <w:p w:rsidR="000773C2" w:rsidRDefault="00D73168" w:rsidP="00203D50">
            <w:pPr>
              <w:pStyle w:val="ISMSNormal"/>
            </w:pPr>
            <w:r>
              <w:t>Security Event</w:t>
            </w:r>
          </w:p>
        </w:tc>
        <w:tc>
          <w:tcPr>
            <w:tcW w:w="1554" w:type="dxa"/>
          </w:tcPr>
          <w:p w:rsidR="000773C2" w:rsidRDefault="00D73168" w:rsidP="00150874">
            <w:pPr>
              <w:pStyle w:val="ISMSNormal"/>
              <w:jc w:val="center"/>
            </w:pPr>
            <w:r>
              <w:t>1</w:t>
            </w:r>
          </w:p>
        </w:tc>
        <w:tc>
          <w:tcPr>
            <w:tcW w:w="1564" w:type="dxa"/>
          </w:tcPr>
          <w:p w:rsidR="000773C2" w:rsidRDefault="00D73168" w:rsidP="00203D50">
            <w:pPr>
              <w:pStyle w:val="ISMSNormal"/>
              <w:jc w:val="center"/>
            </w:pPr>
            <w:r>
              <w:t>7</w:t>
            </w:r>
          </w:p>
        </w:tc>
        <w:tc>
          <w:tcPr>
            <w:tcW w:w="1418" w:type="dxa"/>
          </w:tcPr>
          <w:p w:rsidR="000773C2" w:rsidRDefault="00D73168" w:rsidP="00203D50">
            <w:pPr>
              <w:pStyle w:val="ISMSNormal"/>
              <w:jc w:val="center"/>
            </w:pPr>
            <w:r>
              <w:t>N/A</w:t>
            </w:r>
          </w:p>
        </w:tc>
        <w:tc>
          <w:tcPr>
            <w:tcW w:w="1337" w:type="dxa"/>
          </w:tcPr>
          <w:p w:rsidR="000773C2" w:rsidRDefault="00D73168" w:rsidP="00203D50">
            <w:pPr>
              <w:pStyle w:val="ISMSNormal"/>
              <w:jc w:val="center"/>
            </w:pPr>
            <w:r>
              <w:t>30</w:t>
            </w:r>
          </w:p>
        </w:tc>
      </w:tr>
      <w:tr w:rsidR="00EA67D5" w:rsidTr="00203D50">
        <w:tc>
          <w:tcPr>
            <w:tcW w:w="3369" w:type="dxa"/>
          </w:tcPr>
          <w:p w:rsidR="000773C2" w:rsidRDefault="00D73168" w:rsidP="00203D50">
            <w:pPr>
              <w:pStyle w:val="ISMSNormal"/>
            </w:pPr>
            <w:r>
              <w:t xml:space="preserve">Weakness or Opportunity </w:t>
            </w:r>
          </w:p>
        </w:tc>
        <w:tc>
          <w:tcPr>
            <w:tcW w:w="1554" w:type="dxa"/>
          </w:tcPr>
          <w:p w:rsidR="000773C2" w:rsidRDefault="00D73168" w:rsidP="00203D50">
            <w:pPr>
              <w:pStyle w:val="ISMSNormal"/>
              <w:jc w:val="center"/>
            </w:pPr>
            <w:r>
              <w:t>7</w:t>
            </w:r>
          </w:p>
        </w:tc>
        <w:tc>
          <w:tcPr>
            <w:tcW w:w="1564" w:type="dxa"/>
          </w:tcPr>
          <w:p w:rsidR="000773C2" w:rsidRDefault="00D73168" w:rsidP="00203D50">
            <w:pPr>
              <w:pStyle w:val="ISMSNormal"/>
              <w:jc w:val="center"/>
            </w:pPr>
            <w:r>
              <w:t>N/A</w:t>
            </w:r>
          </w:p>
        </w:tc>
        <w:tc>
          <w:tcPr>
            <w:tcW w:w="1418" w:type="dxa"/>
          </w:tcPr>
          <w:p w:rsidR="000773C2" w:rsidRDefault="00D73168" w:rsidP="00203D50">
            <w:pPr>
              <w:pStyle w:val="ISMSNormal"/>
              <w:jc w:val="center"/>
            </w:pPr>
            <w:r>
              <w:t>20</w:t>
            </w:r>
          </w:p>
        </w:tc>
        <w:tc>
          <w:tcPr>
            <w:tcW w:w="1337" w:type="dxa"/>
          </w:tcPr>
          <w:p w:rsidR="000773C2" w:rsidRDefault="00D73168" w:rsidP="00203D50">
            <w:pPr>
              <w:pStyle w:val="ISMSNormal"/>
              <w:jc w:val="center"/>
            </w:pPr>
            <w:r>
              <w:t>N/A</w:t>
            </w:r>
          </w:p>
        </w:tc>
      </w:tr>
    </w:tbl>
    <w:p w:rsidR="000773C2" w:rsidRDefault="00F05B5C" w:rsidP="00203D50">
      <w:pPr>
        <w:pStyle w:val="ISMSNormal"/>
      </w:pPr>
    </w:p>
    <w:p w:rsidR="000773C2" w:rsidRDefault="00D73168" w:rsidP="000773C2">
      <w:pPr>
        <w:pStyle w:val="ISMSHeading3"/>
      </w:pPr>
      <w:bookmarkStart w:id="118" w:name="_Toc256000118"/>
      <w:bookmarkStart w:id="119" w:name="_Toc256000097"/>
      <w:bookmarkStart w:id="120" w:name="_Toc256000076"/>
      <w:bookmarkStart w:id="121" w:name="_Toc256000055"/>
      <w:bookmarkStart w:id="122" w:name="_Toc518372486"/>
      <w:bookmarkStart w:id="123" w:name="_Toc524514915"/>
      <w:bookmarkStart w:id="124" w:name="_Toc961524"/>
      <w:bookmarkStart w:id="125" w:name="_Toc256000134"/>
      <w:bookmarkStart w:id="126" w:name="_Toc1044709"/>
      <w:bookmarkStart w:id="127" w:name="_Toc6297860"/>
      <w:bookmarkStart w:id="128" w:name="_Toc256000031"/>
      <w:bookmarkStart w:id="129" w:name="_Toc256000017"/>
      <w:bookmarkStart w:id="130" w:name="_Toc256000005"/>
      <w:bookmarkStart w:id="131" w:name="_Toc481580450"/>
      <w:bookmarkStart w:id="132" w:name="_Toc490641863"/>
      <w:bookmarkStart w:id="133" w:name="_Toc493665180"/>
      <w:bookmarkStart w:id="134" w:name="_Toc499639050"/>
      <w:bookmarkStart w:id="135" w:name="_Toc508019316"/>
      <w:bookmarkStart w:id="136" w:name="_Toc256000025"/>
      <w:bookmarkStart w:id="137" w:name="_Toc509820699"/>
      <w:bookmarkStart w:id="138" w:name="_Toc513023815"/>
      <w:r>
        <w:t>Triage rota</w:t>
      </w:r>
      <w:bookmarkEnd w:id="118"/>
      <w:bookmarkEnd w:id="119"/>
      <w:bookmarkEnd w:id="120"/>
      <w:bookmarkEnd w:id="121"/>
      <w:bookmarkEnd w:id="122"/>
      <w:bookmarkEnd w:id="123"/>
      <w:bookmarkEnd w:id="124"/>
      <w:r>
        <w:t xml:space="preserve"> for Incident Management</w:t>
      </w:r>
      <w:bookmarkEnd w:id="125"/>
      <w:bookmarkEnd w:id="126"/>
      <w:bookmarkEnd w:id="127"/>
    </w:p>
    <w:p w:rsidR="000773C2" w:rsidRDefault="00D73168" w:rsidP="00203D50">
      <w:pPr>
        <w:pStyle w:val="ISMSNormal"/>
        <w:rPr>
          <w:lang w:val="en-GB"/>
        </w:rPr>
      </w:pPr>
      <w:r>
        <w:rPr>
          <w:lang w:val="en-GB"/>
        </w:rPr>
        <w:t>There is a rota which determines which member of the Incident Management Team is on-call and responsible for performing the initial assessment for each day of the week Monday-Friday. It is expected that the on-call person will be able to respond to email alerts within 4 hours. If the on-call person is unable to do this (holiday, sickness, all day meetings) then it is their responsibility to arrange for another member of the Incident Management Team to provide cover. To provide suitable redundancy there will be a minimum of 3 members of the Incident Management Team.</w:t>
      </w:r>
    </w:p>
    <w:p w:rsidR="003D700B" w:rsidRPr="00736500" w:rsidRDefault="00F05B5C" w:rsidP="00203D50">
      <w:pPr>
        <w:pStyle w:val="ISMSNormal"/>
      </w:pPr>
    </w:p>
    <w:p w:rsidR="000773C2" w:rsidRDefault="00D73168" w:rsidP="000773C2">
      <w:pPr>
        <w:pStyle w:val="ISMSHeading3"/>
      </w:pPr>
      <w:bookmarkStart w:id="139" w:name="_Toc256000119"/>
      <w:bookmarkStart w:id="140" w:name="_Toc256000098"/>
      <w:bookmarkStart w:id="141" w:name="_Toc256000077"/>
      <w:bookmarkStart w:id="142" w:name="_Toc256000056"/>
      <w:bookmarkStart w:id="143" w:name="_Toc518372487"/>
      <w:bookmarkStart w:id="144" w:name="_Toc524514916"/>
      <w:bookmarkStart w:id="145" w:name="_Toc961525"/>
      <w:bookmarkStart w:id="146" w:name="_Toc256000135"/>
      <w:bookmarkStart w:id="147" w:name="_Toc1044710"/>
      <w:bookmarkStart w:id="148" w:name="_Toc6297861"/>
      <w:r>
        <w:t>Triage process</w:t>
      </w:r>
      <w:bookmarkEnd w:id="139"/>
      <w:bookmarkEnd w:id="140"/>
      <w:bookmarkEnd w:id="141"/>
      <w:bookmarkEnd w:id="142"/>
      <w:bookmarkEnd w:id="143"/>
      <w:bookmarkEnd w:id="144"/>
      <w:bookmarkEnd w:id="145"/>
      <w:r>
        <w:t xml:space="preserve"> for Assessing Security Events</w:t>
      </w:r>
      <w:bookmarkEnd w:id="146"/>
      <w:bookmarkEnd w:id="147"/>
      <w:bookmarkEnd w:id="148"/>
    </w:p>
    <w:p w:rsidR="000773C2" w:rsidRDefault="00D73168" w:rsidP="00203D50">
      <w:pPr>
        <w:pStyle w:val="ISMSNormal"/>
      </w:pPr>
      <w:r>
        <w:rPr>
          <w:lang w:val="en-GB"/>
        </w:rPr>
        <w:t>The triage process for assessing security events is as follows:</w:t>
      </w:r>
    </w:p>
    <w:p w:rsidR="000773C2" w:rsidRDefault="00D73168" w:rsidP="000773C2">
      <w:pPr>
        <w:pStyle w:val="ISMSNormal"/>
        <w:numPr>
          <w:ilvl w:val="0"/>
          <w:numId w:val="12"/>
        </w:numPr>
        <w:spacing w:line="240" w:lineRule="auto"/>
      </w:pPr>
      <w:r>
        <w:rPr>
          <w:lang w:val="en-GB"/>
        </w:rPr>
        <w:t xml:space="preserve">When a security event is created in Q-Pulse, an automated email is sent to the Incident Management Team via </w:t>
      </w:r>
      <w:hyperlink r:id="rId10" w:history="1">
        <w:r w:rsidRPr="00FC5247">
          <w:rPr>
            <w:rStyle w:val="Hyperlink"/>
            <w:lang w:val="en-GB"/>
          </w:rPr>
          <w:t>chi-incidents@listserv.manchester.ac.uk</w:t>
        </w:r>
      </w:hyperlink>
      <w:r>
        <w:rPr>
          <w:lang w:val="en-GB"/>
        </w:rPr>
        <w:t>.</w:t>
      </w:r>
    </w:p>
    <w:p w:rsidR="000773C2" w:rsidRDefault="00D73168" w:rsidP="000773C2">
      <w:pPr>
        <w:pStyle w:val="ISMSNormal"/>
        <w:numPr>
          <w:ilvl w:val="0"/>
          <w:numId w:val="12"/>
        </w:numPr>
        <w:spacing w:line="240" w:lineRule="auto"/>
      </w:pPr>
      <w:r>
        <w:rPr>
          <w:lang w:val="en-GB"/>
        </w:rPr>
        <w:t xml:space="preserve">The on-call person is responsible to perform the initial assessment as laid out in section </w:t>
      </w:r>
      <w:r>
        <w:rPr>
          <w:lang w:val="en-GB"/>
        </w:rPr>
        <w:fldChar w:fldCharType="begin"/>
      </w:r>
      <w:r>
        <w:rPr>
          <w:lang w:val="en-GB"/>
        </w:rPr>
        <w:instrText xml:space="preserve"> REF _Ref517874777 \r \h </w:instrText>
      </w:r>
      <w:r>
        <w:rPr>
          <w:lang w:val="en-GB"/>
        </w:rPr>
      </w:r>
      <w:r>
        <w:rPr>
          <w:lang w:val="en-GB"/>
        </w:rPr>
        <w:fldChar w:fldCharType="separate"/>
      </w:r>
      <w:r>
        <w:rPr>
          <w:lang w:val="en-GB"/>
        </w:rPr>
        <w:t>4.2</w:t>
      </w:r>
      <w:r>
        <w:rPr>
          <w:lang w:val="en-GB"/>
        </w:rPr>
        <w:fldChar w:fldCharType="end"/>
      </w:r>
      <w:r>
        <w:rPr>
          <w:lang w:val="en-GB"/>
        </w:rPr>
        <w:t xml:space="preserve"> within 4 hours of the email being sent.</w:t>
      </w:r>
    </w:p>
    <w:p w:rsidR="000773C2" w:rsidRDefault="00D73168" w:rsidP="000773C2">
      <w:pPr>
        <w:pStyle w:val="ISMSNormal"/>
        <w:numPr>
          <w:ilvl w:val="0"/>
          <w:numId w:val="12"/>
        </w:numPr>
        <w:spacing w:line="240" w:lineRule="auto"/>
      </w:pPr>
      <w:r>
        <w:rPr>
          <w:lang w:val="en-GB"/>
        </w:rPr>
        <w:t>After completing the assessment stage the on-call person will “Reply to all” on the initial email alert, to inform the rest of the team that the event has been triaged.</w:t>
      </w:r>
    </w:p>
    <w:p w:rsidR="000773C2" w:rsidRPr="00915787" w:rsidRDefault="00D73168" w:rsidP="000773C2">
      <w:pPr>
        <w:pStyle w:val="ISMSNormal"/>
        <w:numPr>
          <w:ilvl w:val="0"/>
          <w:numId w:val="12"/>
        </w:numPr>
        <w:spacing w:line="240" w:lineRule="auto"/>
      </w:pPr>
      <w:r>
        <w:rPr>
          <w:lang w:val="en-GB"/>
        </w:rPr>
        <w:t>If the event has not been assessed within 4 hours then the remaining members of the Incident Management Team,</w:t>
      </w:r>
      <w:r w:rsidRPr="001B5342">
        <w:t xml:space="preserve"> </w:t>
      </w:r>
      <w:r>
        <w:t xml:space="preserve">the ISMS </w:t>
      </w:r>
      <w:r w:rsidRPr="00847101">
        <w:t>Management Sponsor</w:t>
      </w:r>
      <w:r>
        <w:t xml:space="preserve"> and the Head of Operations ISMS</w:t>
      </w:r>
      <w:r>
        <w:rPr>
          <w:lang w:val="en-GB"/>
        </w:rPr>
        <w:t xml:space="preserve"> are responsible for performing the assessment.</w:t>
      </w:r>
    </w:p>
    <w:p w:rsidR="00915787" w:rsidRDefault="00F05B5C" w:rsidP="00915787">
      <w:pPr>
        <w:pStyle w:val="ISMSNormal"/>
        <w:spacing w:line="240" w:lineRule="auto"/>
        <w:rPr>
          <w:lang w:val="en-GB"/>
        </w:rPr>
      </w:pPr>
    </w:p>
    <w:p w:rsidR="00915787" w:rsidRDefault="00D73168" w:rsidP="00915787">
      <w:pPr>
        <w:pStyle w:val="ISMSHeading3"/>
      </w:pPr>
      <w:bookmarkStart w:id="149" w:name="_Toc256000136"/>
      <w:bookmarkStart w:id="150" w:name="_Toc1044711"/>
      <w:bookmarkStart w:id="151" w:name="_Toc6297862"/>
      <w:r>
        <w:t>Triage process for Assessing Weaknesses and Opportunities</w:t>
      </w:r>
      <w:bookmarkEnd w:id="149"/>
      <w:bookmarkEnd w:id="150"/>
      <w:bookmarkEnd w:id="151"/>
    </w:p>
    <w:p w:rsidR="00915787" w:rsidRDefault="00D73168" w:rsidP="00915787">
      <w:pPr>
        <w:pStyle w:val="ISMSNormal"/>
        <w:rPr>
          <w:lang w:val="en-GB"/>
        </w:rPr>
      </w:pPr>
      <w:r>
        <w:rPr>
          <w:lang w:val="en-GB"/>
        </w:rPr>
        <w:t>There is no formal triage process for assessing weaknesses and opportunities. When a weakness or opportunity is created in Q-Pulse, an automated email is sent to the individual members of the ISMS Improvement Team who will aim to complete the assessment by the due date.</w:t>
      </w:r>
    </w:p>
    <w:p w:rsidR="00915787" w:rsidRPr="00736500" w:rsidRDefault="00F05B5C" w:rsidP="00915787">
      <w:pPr>
        <w:pStyle w:val="ISMSNormal"/>
        <w:spacing w:line="240" w:lineRule="auto"/>
      </w:pPr>
    </w:p>
    <w:p w:rsidR="000773C2" w:rsidRDefault="00D73168" w:rsidP="000773C2">
      <w:pPr>
        <w:pStyle w:val="ISMSHeading2"/>
      </w:pPr>
      <w:bookmarkStart w:id="152" w:name="_Toc256000137"/>
      <w:bookmarkStart w:id="153" w:name="_Toc256000120"/>
      <w:bookmarkStart w:id="154" w:name="_Toc256000099"/>
      <w:bookmarkStart w:id="155" w:name="_Toc256000078"/>
      <w:bookmarkStart w:id="156" w:name="_Toc256000057"/>
      <w:bookmarkStart w:id="157" w:name="_Toc518372488"/>
      <w:bookmarkStart w:id="158" w:name="_Toc524514917"/>
      <w:bookmarkStart w:id="159" w:name="_Toc961526"/>
      <w:bookmarkStart w:id="160" w:name="_Toc1044712"/>
      <w:bookmarkStart w:id="161" w:name="_Toc6297863"/>
      <w:r>
        <w:t xml:space="preserve">Managing </w:t>
      </w:r>
      <w:bookmarkEnd w:id="128"/>
      <w:bookmarkEnd w:id="129"/>
      <w:bookmarkEnd w:id="130"/>
      <w:bookmarkEnd w:id="131"/>
      <w:bookmarkEnd w:id="132"/>
      <w:bookmarkEnd w:id="133"/>
      <w:bookmarkEnd w:id="134"/>
      <w:bookmarkEnd w:id="135"/>
      <w:r>
        <w:t>Data Protection Incidents</w:t>
      </w:r>
      <w:bookmarkEnd w:id="136"/>
      <w:bookmarkEnd w:id="137"/>
      <w:bookmarkEnd w:id="138"/>
      <w:bookmarkEnd w:id="152"/>
      <w:bookmarkEnd w:id="153"/>
      <w:bookmarkEnd w:id="154"/>
      <w:bookmarkEnd w:id="155"/>
      <w:bookmarkEnd w:id="156"/>
      <w:bookmarkEnd w:id="157"/>
      <w:bookmarkEnd w:id="158"/>
      <w:bookmarkEnd w:id="159"/>
      <w:bookmarkEnd w:id="160"/>
      <w:bookmarkEnd w:id="161"/>
    </w:p>
    <w:p w:rsidR="000773C2" w:rsidRDefault="00D73168" w:rsidP="00203D50">
      <w:pPr>
        <w:pStyle w:val="ISMSNormal"/>
        <w:rPr>
          <w:lang w:val="en-GB"/>
        </w:rPr>
      </w:pPr>
      <w:r>
        <w:rPr>
          <w:lang w:val="en-GB"/>
        </w:rPr>
        <w:t>For security events that are classified as data protection incidents there are a series of specific process steps that must be followed for managing the incident.</w:t>
      </w:r>
    </w:p>
    <w:p w:rsidR="000773C2" w:rsidRDefault="00F05B5C" w:rsidP="00203D50">
      <w:pPr>
        <w:pStyle w:val="ISMSNormal"/>
        <w:rPr>
          <w:lang w:val="en-GB"/>
        </w:rPr>
      </w:pPr>
    </w:p>
    <w:p w:rsidR="000773C2" w:rsidRPr="00323259" w:rsidRDefault="00D73168" w:rsidP="000773C2">
      <w:pPr>
        <w:pStyle w:val="ISMSHeading3"/>
      </w:pPr>
      <w:bookmarkStart w:id="162" w:name="_Toc256000138"/>
      <w:bookmarkStart w:id="163" w:name="_Toc256000121"/>
      <w:bookmarkStart w:id="164" w:name="_Toc256000100"/>
      <w:bookmarkStart w:id="165" w:name="_Toc256000079"/>
      <w:bookmarkStart w:id="166" w:name="_Toc256000058"/>
      <w:bookmarkStart w:id="167" w:name="_Toc256000032"/>
      <w:bookmarkStart w:id="168" w:name="_Ref495412804"/>
      <w:bookmarkStart w:id="169" w:name="_Toc496267791"/>
      <w:bookmarkStart w:id="170" w:name="_Toc497306947"/>
      <w:bookmarkStart w:id="171" w:name="_Toc509820700"/>
      <w:bookmarkStart w:id="172" w:name="_Toc513023816"/>
      <w:bookmarkStart w:id="173" w:name="_Toc518372489"/>
      <w:bookmarkStart w:id="174" w:name="_Toc524514918"/>
      <w:bookmarkStart w:id="175" w:name="_Toc961527"/>
      <w:bookmarkStart w:id="176" w:name="_Toc1044713"/>
      <w:bookmarkStart w:id="177" w:name="_Toc6297864"/>
      <w:r>
        <w:lastRenderedPageBreak/>
        <w:t xml:space="preserve">Data Protection </w:t>
      </w:r>
      <w:r w:rsidRPr="000603AC">
        <w:t>Incident</w:t>
      </w:r>
      <w:r>
        <w:t xml:space="preserve"> Process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0773C2" w:rsidRDefault="00D73168" w:rsidP="00203D50">
      <w:r>
        <w:rPr>
          <w:noProof/>
          <w:lang w:eastAsia="en-GB"/>
        </w:rPr>
        <w:drawing>
          <wp:inline distT="0" distB="0" distL="0" distR="0">
            <wp:extent cx="5886450" cy="4095750"/>
            <wp:effectExtent l="12700" t="12700" r="19050" b="63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773C2" w:rsidRDefault="00D73168" w:rsidP="00203D50">
      <w:r>
        <w:t>Figure 1: Flow diagram of the data protection incident process</w:t>
      </w:r>
    </w:p>
    <w:p w:rsidR="000773C2" w:rsidRDefault="00F05B5C" w:rsidP="00203D50"/>
    <w:p w:rsidR="000773C2" w:rsidRPr="00882462" w:rsidRDefault="00D73168" w:rsidP="00203D50">
      <w:r w:rsidRPr="00882462">
        <w:t>F</w:t>
      </w:r>
      <w:r>
        <w:t xml:space="preserve">ollowing the report of a data incident the Incident Management Team </w:t>
      </w:r>
      <w:r w:rsidRPr="00882462">
        <w:t>should:</w:t>
      </w:r>
    </w:p>
    <w:p w:rsidR="000773C2" w:rsidRDefault="00D73168" w:rsidP="000773C2">
      <w:pPr>
        <w:pStyle w:val="ListParagraph"/>
        <w:numPr>
          <w:ilvl w:val="0"/>
          <w:numId w:val="9"/>
        </w:numPr>
      </w:pPr>
      <w:r>
        <w:t xml:space="preserve">Gather preliminary information to determine the origin and nature of the incident in FORM-006 from the person who reported the incident and, if immediately available, colleagues involved or TRE system logs. </w:t>
      </w:r>
    </w:p>
    <w:p w:rsidR="000773C2" w:rsidRDefault="00D73168" w:rsidP="000773C2">
      <w:pPr>
        <w:pStyle w:val="ListParagraph"/>
        <w:numPr>
          <w:ilvl w:val="0"/>
          <w:numId w:val="9"/>
        </w:numPr>
      </w:pPr>
      <w:r>
        <w:t xml:space="preserve">Supply this gathered information immediately to the university Information Governance Office (IGO). They can instruct on how to proceed and advise on whether an IG SIRI has occurred. </w:t>
      </w:r>
      <w:r w:rsidRPr="00B32C7C">
        <w:t xml:space="preserve">No-one should attempt to modify, limit or contain the extent of the incident unless explicitly instructed to do so by the IGO. </w:t>
      </w:r>
      <w:r>
        <w:t xml:space="preserve">Contact information is in the university’s </w:t>
      </w:r>
      <w:r w:rsidRPr="00720145">
        <w:t xml:space="preserve">Information Security and Data Protection Incident Reporting </w:t>
      </w:r>
      <w:r>
        <w:t xml:space="preserve">SOP. The IG Office’s level of involvement will depend on the nature of the incident, but expect initial containment within 4 hours, initial communications within 24 hours, further investigations within 72 hours, and further local advice on remedial actions within 5 days. </w:t>
      </w:r>
      <w:r w:rsidRPr="007C2F25">
        <w:rPr>
          <w:i/>
        </w:rPr>
        <w:t xml:space="preserve">The IGO needs to be consulted for approval before the rest of this SOP is followed. </w:t>
      </w:r>
    </w:p>
    <w:p w:rsidR="000773C2" w:rsidRDefault="00D73168" w:rsidP="000773C2">
      <w:pPr>
        <w:pStyle w:val="ListParagraph"/>
        <w:numPr>
          <w:ilvl w:val="0"/>
          <w:numId w:val="9"/>
        </w:numPr>
      </w:pPr>
      <w:r>
        <w:t>Swiftly stop access to any affected data and suspend any affected TRE accounts. If the incident could affect other TRE assets then all access to the TRE should be disabled.</w:t>
      </w:r>
    </w:p>
    <w:p w:rsidR="000773C2" w:rsidRDefault="00D73168" w:rsidP="000773C2">
      <w:pPr>
        <w:pStyle w:val="ListParagraph"/>
        <w:numPr>
          <w:ilvl w:val="0"/>
          <w:numId w:val="9"/>
        </w:numPr>
      </w:pPr>
      <w:r>
        <w:t>Gather further information about the suspected incident to complete an Incident Investigation Report (FORM-006).</w:t>
      </w:r>
    </w:p>
    <w:p w:rsidR="000773C2" w:rsidRDefault="00D73168" w:rsidP="000773C2">
      <w:pPr>
        <w:pStyle w:val="ListParagraph"/>
        <w:numPr>
          <w:ilvl w:val="0"/>
          <w:numId w:val="9"/>
        </w:numPr>
      </w:pPr>
      <w:r>
        <w:t>Take interim action as information about the incident becomes apparent, including contacting directly affected individuals (e.g. announcing that TRE access is suspended), notifying organisations contractually involved with the affected dataset, and imposing sanctions on anyone who broke rules.</w:t>
      </w:r>
    </w:p>
    <w:p w:rsidR="000773C2" w:rsidRDefault="00D73168" w:rsidP="000773C2">
      <w:pPr>
        <w:pStyle w:val="ListParagraph"/>
        <w:numPr>
          <w:ilvl w:val="0"/>
          <w:numId w:val="9"/>
        </w:numPr>
      </w:pPr>
      <w:r>
        <w:t>Circulate a Report (FORM-006) completed as far as possible to the next TRE ISMS Board detailing the nature of the incident, outcomes, and recommendations.</w:t>
      </w:r>
    </w:p>
    <w:p w:rsidR="000773C2" w:rsidRDefault="00D73168" w:rsidP="000773C2">
      <w:pPr>
        <w:pStyle w:val="ListParagraph"/>
        <w:numPr>
          <w:ilvl w:val="1"/>
          <w:numId w:val="9"/>
        </w:numPr>
      </w:pPr>
      <w:r>
        <w:lastRenderedPageBreak/>
        <w:t>Share a redacted version of the report to other TRE users who request it. The redaction is to ensure anonymity of individuals involved and confidentiality of certain details about the TRE.</w:t>
      </w:r>
    </w:p>
    <w:p w:rsidR="000773C2" w:rsidRDefault="00D73168" w:rsidP="000773C2">
      <w:pPr>
        <w:pStyle w:val="ListParagraph"/>
        <w:numPr>
          <w:ilvl w:val="0"/>
          <w:numId w:val="9"/>
        </w:numPr>
      </w:pPr>
      <w:r>
        <w:t>Escalate and report via DSP</w:t>
      </w:r>
      <w:r w:rsidRPr="004A77D1">
        <w:t xml:space="preserve"> Toolkit</w:t>
      </w:r>
      <w:r>
        <w:t xml:space="preserve"> or other logging system as required.</w:t>
      </w:r>
    </w:p>
    <w:p w:rsidR="000773C2" w:rsidRDefault="00D73168" w:rsidP="000773C2">
      <w:pPr>
        <w:pStyle w:val="ListParagraph"/>
        <w:numPr>
          <w:ilvl w:val="0"/>
          <w:numId w:val="9"/>
        </w:numPr>
      </w:pPr>
      <w:r>
        <w:t>Ensure the incident and outcomes are correctly recorded in Q-Pulse</w:t>
      </w:r>
    </w:p>
    <w:p w:rsidR="000773C2" w:rsidRDefault="00D73168" w:rsidP="000773C2">
      <w:pPr>
        <w:pStyle w:val="ListParagraph"/>
        <w:numPr>
          <w:ilvl w:val="0"/>
          <w:numId w:val="9"/>
        </w:numPr>
      </w:pPr>
      <w:r>
        <w:t xml:space="preserve">Evaluate the incident response and update SOPs as appropriate once the incident is contained and the above actions have been completed. </w:t>
      </w:r>
    </w:p>
    <w:p w:rsidR="000773C2" w:rsidRDefault="00F05B5C" w:rsidP="00203D50">
      <w:pPr>
        <w:ind w:left="1080"/>
      </w:pPr>
    </w:p>
    <w:p w:rsidR="000773C2" w:rsidRDefault="00D73168" w:rsidP="000773C2">
      <w:pPr>
        <w:pStyle w:val="ISMSHeading4"/>
      </w:pPr>
      <w:bookmarkStart w:id="178" w:name="_Toc256000139"/>
      <w:bookmarkStart w:id="179" w:name="_Toc256000122"/>
      <w:bookmarkStart w:id="180" w:name="_Toc256000101"/>
      <w:bookmarkStart w:id="181" w:name="_Toc256000080"/>
      <w:bookmarkStart w:id="182" w:name="_Toc256000059"/>
      <w:bookmarkStart w:id="183" w:name="_Toc256000033"/>
      <w:bookmarkStart w:id="184" w:name="_Toc496267792"/>
      <w:bookmarkStart w:id="185" w:name="_Toc497306948"/>
      <w:bookmarkStart w:id="186" w:name="_Toc509820701"/>
      <w:bookmarkStart w:id="187" w:name="_Toc513023817"/>
      <w:bookmarkStart w:id="188" w:name="_Toc518372490"/>
      <w:bookmarkStart w:id="189" w:name="_Toc524514919"/>
      <w:bookmarkStart w:id="190" w:name="_Toc961528"/>
      <w:bookmarkStart w:id="191" w:name="_Toc1044714"/>
      <w:bookmarkStart w:id="192" w:name="_Toc6297865"/>
      <w:r>
        <w:t>Timeframes for Incident Communications</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0773C2" w:rsidRDefault="00D73168" w:rsidP="00203D50">
      <w:r>
        <w:t>Notify key people about the incident in the following time frames:</w:t>
      </w:r>
    </w:p>
    <w:p w:rsidR="000773C2" w:rsidRDefault="00D73168" w:rsidP="000773C2">
      <w:pPr>
        <w:pStyle w:val="ListParagraph"/>
        <w:numPr>
          <w:ilvl w:val="0"/>
          <w:numId w:val="9"/>
        </w:numPr>
      </w:pPr>
      <w:r>
        <w:t>Initial findings and immediate actions by email to university IG Office and IG Manager (and to the wider management committee if the whole TRE is affected)&lt;1 day</w:t>
      </w:r>
    </w:p>
    <w:p w:rsidR="000773C2" w:rsidRDefault="00D73168" w:rsidP="000773C2">
      <w:pPr>
        <w:pStyle w:val="ListParagraph"/>
        <w:numPr>
          <w:ilvl w:val="0"/>
          <w:numId w:val="9"/>
        </w:numPr>
      </w:pPr>
      <w:r>
        <w:t>In conjunction with the IG Office, notify the Information Commissioner’s Office and the data controller if a statutory offence has occurred &lt;3 days</w:t>
      </w:r>
    </w:p>
    <w:p w:rsidR="000773C2" w:rsidRDefault="00D73168" w:rsidP="000773C2">
      <w:pPr>
        <w:pStyle w:val="ListParagraph"/>
        <w:numPr>
          <w:ilvl w:val="0"/>
          <w:numId w:val="9"/>
        </w:numPr>
      </w:pPr>
      <w:r>
        <w:t>Thanks for reporting incident and advice (if appropriate) by email to person who reported incident &lt;5 days</w:t>
      </w:r>
    </w:p>
    <w:p w:rsidR="000773C2" w:rsidRDefault="00D73168" w:rsidP="000773C2">
      <w:pPr>
        <w:pStyle w:val="ListParagraph"/>
        <w:numPr>
          <w:ilvl w:val="0"/>
          <w:numId w:val="9"/>
        </w:numPr>
      </w:pPr>
      <w:r>
        <w:t>Discussion of incident report by ISMS Board &lt;2 weeks</w:t>
      </w:r>
    </w:p>
    <w:p w:rsidR="000773C2" w:rsidRDefault="00F05B5C" w:rsidP="00203D50"/>
    <w:p w:rsidR="000773C2" w:rsidRDefault="00D73168" w:rsidP="000773C2">
      <w:pPr>
        <w:pStyle w:val="ISMSHeading4"/>
      </w:pPr>
      <w:bookmarkStart w:id="193" w:name="_Toc256000140"/>
      <w:bookmarkStart w:id="194" w:name="_Toc256000123"/>
      <w:bookmarkStart w:id="195" w:name="_Toc256000102"/>
      <w:bookmarkStart w:id="196" w:name="_Toc256000081"/>
      <w:bookmarkStart w:id="197" w:name="_Toc256000060"/>
      <w:bookmarkStart w:id="198" w:name="_Toc256000035"/>
      <w:bookmarkStart w:id="199" w:name="_Toc496267793"/>
      <w:bookmarkStart w:id="200" w:name="_Toc497306949"/>
      <w:bookmarkStart w:id="201" w:name="_Toc509820702"/>
      <w:bookmarkStart w:id="202" w:name="_Toc513023818"/>
      <w:bookmarkStart w:id="203" w:name="_Toc518372491"/>
      <w:bookmarkStart w:id="204" w:name="_Toc524514920"/>
      <w:bookmarkStart w:id="205" w:name="_Toc961529"/>
      <w:bookmarkStart w:id="206" w:name="_Toc1044715"/>
      <w:bookmarkStart w:id="207" w:name="_Toc6297866"/>
      <w:r w:rsidRPr="00323259">
        <w:t>Penalties</w:t>
      </w:r>
      <w:r>
        <w:t>, appeals, and accidents</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0773C2" w:rsidRDefault="00D73168" w:rsidP="00203D50">
      <w:pPr>
        <w:pStyle w:val="ISMSNormal"/>
      </w:pPr>
      <w:r>
        <w:t>For incidents where actions were accidental, such as spontaneous recognition of someone in a dataset, the TRE managers will enter into a dialogue with the affected TRE user and their line manager (or equivalent) to determine the best way to proceed.</w:t>
      </w:r>
    </w:p>
    <w:p w:rsidR="000773C2" w:rsidRDefault="00F05B5C" w:rsidP="00203D50"/>
    <w:p w:rsidR="000773C2" w:rsidRDefault="00D73168" w:rsidP="00203D50">
      <w:r>
        <w:t>Any TRE user who is found to have intentionally caused the incident will face the following sanctions:</w:t>
      </w:r>
    </w:p>
    <w:p w:rsidR="000773C2" w:rsidRDefault="00D73168" w:rsidP="000773C2">
      <w:pPr>
        <w:pStyle w:val="ListParagraph"/>
        <w:numPr>
          <w:ilvl w:val="0"/>
          <w:numId w:val="10"/>
        </w:numPr>
      </w:pPr>
      <w:r>
        <w:t>Formal warning</w:t>
      </w:r>
    </w:p>
    <w:p w:rsidR="000773C2" w:rsidRDefault="00D73168" w:rsidP="000773C2">
      <w:pPr>
        <w:pStyle w:val="ListParagraph"/>
        <w:numPr>
          <w:ilvl w:val="0"/>
          <w:numId w:val="10"/>
        </w:numPr>
      </w:pPr>
      <w:r>
        <w:t>TRE user account frozen until refresher training is completed</w:t>
      </w:r>
    </w:p>
    <w:p w:rsidR="000773C2" w:rsidRDefault="00D73168" w:rsidP="000773C2">
      <w:pPr>
        <w:pStyle w:val="ListParagraph"/>
        <w:numPr>
          <w:ilvl w:val="0"/>
          <w:numId w:val="10"/>
        </w:numPr>
      </w:pPr>
      <w:r>
        <w:t>Other sanctions mentioned in contracts relating to the TRE project</w:t>
      </w:r>
    </w:p>
    <w:p w:rsidR="000773C2" w:rsidRDefault="00F05B5C" w:rsidP="00203D50">
      <w:pPr>
        <w:pStyle w:val="ListParagraph"/>
        <w:numPr>
          <w:ilvl w:val="0"/>
          <w:numId w:val="0"/>
        </w:numPr>
        <w:ind w:left="1440"/>
      </w:pPr>
    </w:p>
    <w:p w:rsidR="000773C2" w:rsidRDefault="00D73168" w:rsidP="00203D50">
      <w:r>
        <w:t>Where users acted maliciously or personal data is involved the following sanctions will be considered by TRE management:</w:t>
      </w:r>
    </w:p>
    <w:p w:rsidR="000773C2" w:rsidRDefault="00D73168" w:rsidP="000773C2">
      <w:pPr>
        <w:pStyle w:val="ListParagraph"/>
        <w:numPr>
          <w:ilvl w:val="0"/>
          <w:numId w:val="11"/>
        </w:numPr>
      </w:pPr>
      <w:r>
        <w:t>TRE user account frozen for a certain number of months and until refresher training is completed</w:t>
      </w:r>
    </w:p>
    <w:p w:rsidR="000773C2" w:rsidRDefault="00D73168" w:rsidP="000773C2">
      <w:pPr>
        <w:pStyle w:val="ListParagraph"/>
        <w:numPr>
          <w:ilvl w:val="0"/>
          <w:numId w:val="11"/>
        </w:numPr>
      </w:pPr>
      <w:r>
        <w:t>Refer to University (or notify user’s host institution) for a research misconduct investigation, which can result in dismissal</w:t>
      </w:r>
    </w:p>
    <w:p w:rsidR="000773C2" w:rsidRDefault="00D73168" w:rsidP="000773C2">
      <w:pPr>
        <w:pStyle w:val="ListParagraph"/>
        <w:numPr>
          <w:ilvl w:val="0"/>
          <w:numId w:val="11"/>
        </w:numPr>
      </w:pPr>
      <w:r>
        <w:t>Refer to the ICO, which can result in fines and a prison sentence</w:t>
      </w:r>
    </w:p>
    <w:p w:rsidR="000773C2" w:rsidRDefault="00D73168" w:rsidP="000773C2">
      <w:pPr>
        <w:pStyle w:val="ListParagraph"/>
        <w:numPr>
          <w:ilvl w:val="0"/>
          <w:numId w:val="11"/>
        </w:numPr>
      </w:pPr>
      <w:r>
        <w:t>Other sanctions mentioned in contracts relating to the TRE project</w:t>
      </w:r>
    </w:p>
    <w:p w:rsidR="000773C2" w:rsidRDefault="00F05B5C" w:rsidP="00203D50"/>
    <w:p w:rsidR="000773C2" w:rsidRDefault="00D73168" w:rsidP="00203D50">
      <w:r>
        <w:t>Users can appeal against any imposed penalty by writing to the TRE Board within 4 weeks of the final report.</w:t>
      </w:r>
    </w:p>
    <w:p w:rsidR="000773C2" w:rsidRPr="00234961" w:rsidRDefault="00F05B5C" w:rsidP="00203D50">
      <w:pPr>
        <w:pStyle w:val="ISMSNormal"/>
        <w:rPr>
          <w:lang w:val="en-GB"/>
        </w:rPr>
      </w:pPr>
    </w:p>
    <w:p w:rsidR="000773C2" w:rsidRDefault="00D73168" w:rsidP="000773C2">
      <w:pPr>
        <w:pStyle w:val="ISMSHeading2"/>
      </w:pPr>
      <w:bookmarkStart w:id="208" w:name="_Toc256000141"/>
      <w:bookmarkStart w:id="209" w:name="_Toc256000124"/>
      <w:bookmarkStart w:id="210" w:name="_Toc256000103"/>
      <w:bookmarkStart w:id="211" w:name="_Toc256000082"/>
      <w:bookmarkStart w:id="212" w:name="_Toc256000061"/>
      <w:bookmarkStart w:id="213" w:name="_Toc256000040"/>
      <w:bookmarkStart w:id="214" w:name="_Toc509820703"/>
      <w:bookmarkStart w:id="215" w:name="_Toc513023819"/>
      <w:bookmarkStart w:id="216" w:name="_Toc518372492"/>
      <w:bookmarkStart w:id="217" w:name="_Toc524514921"/>
      <w:bookmarkStart w:id="218" w:name="_Toc961530"/>
      <w:bookmarkStart w:id="219" w:name="_Toc1044716"/>
      <w:bookmarkStart w:id="220" w:name="_Toc6297867"/>
      <w:r>
        <w:t>Ongoing Management of Security Events, Weaknesses and Opportunities</w:t>
      </w:r>
      <w:bookmarkEnd w:id="208"/>
      <w:bookmarkEnd w:id="209"/>
      <w:bookmarkEnd w:id="210"/>
      <w:bookmarkEnd w:id="211"/>
      <w:bookmarkEnd w:id="212"/>
      <w:bookmarkEnd w:id="213"/>
      <w:bookmarkEnd w:id="214"/>
      <w:bookmarkEnd w:id="215"/>
      <w:bookmarkEnd w:id="216"/>
      <w:bookmarkEnd w:id="217"/>
      <w:bookmarkEnd w:id="218"/>
      <w:bookmarkEnd w:id="219"/>
      <w:bookmarkEnd w:id="220"/>
    </w:p>
    <w:p w:rsidR="000773C2" w:rsidRDefault="00D73168" w:rsidP="00203D50">
      <w:pPr>
        <w:pStyle w:val="ISMSNormal"/>
      </w:pPr>
      <w:r>
        <w:t xml:space="preserve">The process for the ongoing management of all items will be similar. </w:t>
      </w:r>
      <w:r w:rsidRPr="00390892">
        <w:t xml:space="preserve">The owner of </w:t>
      </w:r>
      <w:r>
        <w:t>each action stage is notified when the stage is assigned to them. They are then required to either: complete their actions by the target date; or reassign the stage to a more appropriate person. In the case of reassignment, the stage should be updated to explain why the change was made.</w:t>
      </w:r>
    </w:p>
    <w:p w:rsidR="000773C2" w:rsidRDefault="00D73168" w:rsidP="00203D50">
      <w:pPr>
        <w:pStyle w:val="ISMSNormal"/>
      </w:pPr>
      <w:r>
        <w:lastRenderedPageBreak/>
        <w:t>Each stage shall be completed with enough detail to allow an auditor to determine what happened and how it happened. If no action was taken, the stage owner shall record “no action taken” with a justification of why no action was taken.</w:t>
      </w:r>
    </w:p>
    <w:p w:rsidR="000773C2" w:rsidRDefault="00D73168" w:rsidP="00203D50">
      <w:pPr>
        <w:pStyle w:val="ISMSNormal"/>
      </w:pPr>
      <w:r w:rsidRPr="00B028B4">
        <w:t xml:space="preserve">Stages should be closed once all content is complete. Following the closure of all stages the owner of the final stage (normally ‘Corrective Action’ or ‘Review’) </w:t>
      </w:r>
      <w:r>
        <w:t xml:space="preserve">may </w:t>
      </w:r>
      <w:r w:rsidRPr="00B028B4">
        <w:t>also close the overall record.</w:t>
      </w:r>
      <w:r>
        <w:t xml:space="preserve"> This action may also be completed by the Q-Pulse Administrator, members of the Incident Management Team (for Security Event and Incidents) or ISMS Improvement Team (for Weaknesses and Opportunities).</w:t>
      </w:r>
    </w:p>
    <w:p w:rsidR="000773C2" w:rsidRDefault="00F05B5C" w:rsidP="00203D50">
      <w:pPr>
        <w:pStyle w:val="ISMSNormal"/>
      </w:pPr>
    </w:p>
    <w:p w:rsidR="000773C2" w:rsidRDefault="00D73168" w:rsidP="000773C2">
      <w:pPr>
        <w:pStyle w:val="ISMSHeading3"/>
      </w:pPr>
      <w:bookmarkStart w:id="221" w:name="_Toc256000142"/>
      <w:bookmarkStart w:id="222" w:name="_Toc256000125"/>
      <w:bookmarkStart w:id="223" w:name="_Toc256000104"/>
      <w:bookmarkStart w:id="224" w:name="_Toc256000083"/>
      <w:bookmarkStart w:id="225" w:name="_Toc256000062"/>
      <w:bookmarkStart w:id="226" w:name="_Toc256000041"/>
      <w:bookmarkStart w:id="227" w:name="_Toc513023820"/>
      <w:bookmarkStart w:id="228" w:name="_Toc518372493"/>
      <w:bookmarkStart w:id="229" w:name="_Toc524514922"/>
      <w:bookmarkStart w:id="230" w:name="_Toc961531"/>
      <w:bookmarkStart w:id="231" w:name="_Toc1044717"/>
      <w:bookmarkStart w:id="232" w:name="_Toc6297868"/>
      <w:r>
        <w:t>Escalation of Outstanding Action Stages</w:t>
      </w:r>
      <w:bookmarkEnd w:id="221"/>
      <w:bookmarkEnd w:id="222"/>
      <w:bookmarkEnd w:id="223"/>
      <w:bookmarkEnd w:id="224"/>
      <w:bookmarkEnd w:id="225"/>
      <w:bookmarkEnd w:id="226"/>
      <w:bookmarkEnd w:id="227"/>
      <w:bookmarkEnd w:id="228"/>
      <w:bookmarkEnd w:id="229"/>
      <w:bookmarkEnd w:id="230"/>
      <w:bookmarkEnd w:id="231"/>
      <w:bookmarkEnd w:id="232"/>
    </w:p>
    <w:p w:rsidR="000773C2" w:rsidRPr="007B7D69" w:rsidRDefault="00D73168" w:rsidP="00203D50">
      <w:pPr>
        <w:pStyle w:val="ISMSNormal"/>
        <w:rPr>
          <w:lang w:val="en-GB"/>
        </w:rPr>
      </w:pPr>
      <w:r>
        <w:rPr>
          <w:lang w:val="en-GB"/>
        </w:rPr>
        <w:t xml:space="preserve">Stage owners will be prompted to complete outstanding action stages from 7 days prior to the target dates. Action stages that are not completed within 30 days after the target dates will be escalated to the stage owner’s line manager. Any activities still not completed within a further 15 days will be escalated to the ISMS Management Sponsor. </w:t>
      </w:r>
    </w:p>
    <w:p w:rsidR="000773C2" w:rsidRPr="00EF3A04" w:rsidRDefault="00F05B5C" w:rsidP="00203D50">
      <w:pPr>
        <w:pStyle w:val="ISMSNormal"/>
      </w:pPr>
    </w:p>
    <w:p w:rsidR="000773C2" w:rsidRPr="00C06EF9" w:rsidRDefault="00D73168" w:rsidP="000773C2">
      <w:pPr>
        <w:pStyle w:val="ISMSHeading2"/>
      </w:pPr>
      <w:bookmarkStart w:id="233" w:name="_Toc256000034"/>
      <w:bookmarkStart w:id="234" w:name="_Toc256000020"/>
      <w:bookmarkStart w:id="235" w:name="_Toc481580453"/>
      <w:bookmarkStart w:id="236" w:name="_Toc490641866"/>
      <w:bookmarkStart w:id="237" w:name="_Toc493665183"/>
      <w:bookmarkStart w:id="238" w:name="_Toc499639053"/>
      <w:bookmarkStart w:id="239" w:name="_Toc508019319"/>
      <w:bookmarkStart w:id="240" w:name="_Toc256000143"/>
      <w:bookmarkStart w:id="241" w:name="_Toc256000126"/>
      <w:bookmarkStart w:id="242" w:name="_Toc256000105"/>
      <w:bookmarkStart w:id="243" w:name="_Toc256000084"/>
      <w:bookmarkStart w:id="244" w:name="_Toc256000063"/>
      <w:bookmarkStart w:id="245" w:name="_Toc256000042"/>
      <w:bookmarkStart w:id="246" w:name="_Toc509820704"/>
      <w:bookmarkStart w:id="247" w:name="_Toc513023821"/>
      <w:bookmarkStart w:id="248" w:name="_Toc518372494"/>
      <w:bookmarkStart w:id="249" w:name="_Toc524514923"/>
      <w:bookmarkStart w:id="250" w:name="_Toc961532"/>
      <w:bookmarkStart w:id="251" w:name="_Toc1044718"/>
      <w:bookmarkStart w:id="252" w:name="_Toc6297869"/>
      <w:r>
        <w:t xml:space="preserve">Follow-up and </w:t>
      </w:r>
      <w:r w:rsidRPr="00C05D64">
        <w:t>Reviewing Efficiency of Corrective Action</w:t>
      </w:r>
      <w:bookmarkEnd w:id="233"/>
      <w:bookmarkEnd w:id="234"/>
      <w:bookmarkEnd w:id="235"/>
      <w:bookmarkEnd w:id="236"/>
      <w:bookmarkEnd w:id="237"/>
      <w:bookmarkEnd w:id="238"/>
      <w:bookmarkEnd w:id="239"/>
      <w:r>
        <w:t>s</w:t>
      </w:r>
      <w:bookmarkEnd w:id="240"/>
      <w:bookmarkEnd w:id="241"/>
      <w:bookmarkEnd w:id="242"/>
      <w:bookmarkEnd w:id="243"/>
      <w:bookmarkEnd w:id="244"/>
      <w:bookmarkEnd w:id="245"/>
      <w:bookmarkEnd w:id="246"/>
      <w:bookmarkEnd w:id="247"/>
      <w:bookmarkEnd w:id="248"/>
      <w:bookmarkEnd w:id="249"/>
      <w:bookmarkEnd w:id="250"/>
      <w:bookmarkEnd w:id="251"/>
      <w:bookmarkEnd w:id="252"/>
    </w:p>
    <w:p w:rsidR="000773C2" w:rsidRDefault="00D73168" w:rsidP="00203D50">
      <w:pPr>
        <w:pStyle w:val="ISMSNormal"/>
      </w:pPr>
      <w:r>
        <w:t>When reviewing the efficiency of corrective actions, the Incident Management Team will liaise with the most relevant TRE staff members; this may include staff who reported the security event, staff who caused the security event, the line manager of the area where the security event was reported and customers that might have been affected by the security event. They may also look at the turnaround time and resources required for each stage and the security event as a whole.</w:t>
      </w:r>
    </w:p>
    <w:p w:rsidR="000773C2" w:rsidRDefault="00D73168" w:rsidP="00203D50">
      <w:pPr>
        <w:pStyle w:val="ISMSNormal"/>
      </w:pPr>
      <w:r>
        <w:t>The ISM will report the findings to the ISSG.</w:t>
      </w:r>
    </w:p>
    <w:p w:rsidR="000773C2" w:rsidRPr="00EF3A04" w:rsidRDefault="00D73168" w:rsidP="00203D50">
      <w:pPr>
        <w:pStyle w:val="ISMSNormal"/>
      </w:pPr>
      <w:r>
        <w:t>The ISSG will review the efficiency of the corrective action. Should this be found to be insufficient, the ISSG can make internal audit requests or may request additional training for associated staff.</w:t>
      </w:r>
    </w:p>
    <w:p w:rsidR="000773C2" w:rsidRDefault="00F05B5C" w:rsidP="00203D50">
      <w:pPr>
        <w:pStyle w:val="ISMSNormal"/>
      </w:pPr>
    </w:p>
    <w:p w:rsidR="000773C2" w:rsidRDefault="00D73168" w:rsidP="000773C2">
      <w:pPr>
        <w:pStyle w:val="ISMSHeading1"/>
      </w:pPr>
      <w:bookmarkStart w:id="253" w:name="_Toc256000144"/>
      <w:bookmarkStart w:id="254" w:name="_Toc256000127"/>
      <w:bookmarkStart w:id="255" w:name="_Toc256000106"/>
      <w:bookmarkStart w:id="256" w:name="_Toc256000085"/>
      <w:bookmarkStart w:id="257" w:name="_Toc256000064"/>
      <w:bookmarkStart w:id="258" w:name="_Toc256000043"/>
      <w:bookmarkStart w:id="259" w:name="_Toc256000036"/>
      <w:bookmarkStart w:id="260" w:name="_Toc256000022"/>
      <w:bookmarkStart w:id="261" w:name="_Toc481580455"/>
      <w:bookmarkStart w:id="262" w:name="_Toc490641868"/>
      <w:bookmarkStart w:id="263" w:name="_Toc493665185"/>
      <w:bookmarkStart w:id="264" w:name="_Toc499639055"/>
      <w:bookmarkStart w:id="265" w:name="_Toc508019321"/>
      <w:bookmarkStart w:id="266" w:name="_Toc509820705"/>
      <w:bookmarkStart w:id="267" w:name="_Toc513023822"/>
      <w:bookmarkStart w:id="268" w:name="_Toc518372495"/>
      <w:bookmarkStart w:id="269" w:name="_Toc524514924"/>
      <w:bookmarkStart w:id="270" w:name="_Toc961533"/>
      <w:bookmarkStart w:id="271" w:name="_Toc1044719"/>
      <w:bookmarkStart w:id="272" w:name="_Toc6297870"/>
      <w:r>
        <w:t>Cross-referenced ISMS Documents</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sdt>
      <w:sdtPr>
        <w:tag w:val="QPulse_DocRelatedDocuments"/>
        <w:id w:val="-1599318056"/>
        <w:lock w:val="contentLocked"/>
      </w:sdtPr>
      <w:sdtEndPr/>
      <w:sdtContent>
        <w:p w:rsidR="000773C2" w:rsidRDefault="00F05B5C" w:rsidP="00203D50"/>
        <w:tbl>
          <w:tblPr>
            <w:tblStyle w:val="TableProfessional"/>
            <w:tblW w:w="0" w:type="auto"/>
            <w:tblLayout w:type="fixed"/>
            <w:tblLook w:val="04A0" w:firstRow="1" w:lastRow="0" w:firstColumn="1" w:lastColumn="0" w:noHBand="0" w:noVBand="1"/>
          </w:tblPr>
          <w:tblGrid>
            <w:gridCol w:w="3080"/>
            <w:gridCol w:w="3081"/>
            <w:gridCol w:w="3081"/>
          </w:tblGrid>
          <w:tr w:rsidR="00EA67D5" w:rsidTr="00EA67D5">
            <w:trPr>
              <w:cnfStyle w:val="100000000000" w:firstRow="1" w:lastRow="0" w:firstColumn="0" w:lastColumn="0" w:oddVBand="0" w:evenVBand="0" w:oddHBand="0" w:evenHBand="0" w:firstRowFirstColumn="0" w:firstRowLastColumn="0" w:lastRowFirstColumn="0" w:lastRowLastColumn="0"/>
            </w:trPr>
            <w:tc>
              <w:tcPr>
                <w:tcW w:w="3080" w:type="dxa"/>
              </w:tcPr>
              <w:p w:rsidR="000773C2" w:rsidRPr="001418E6" w:rsidRDefault="00D73168" w:rsidP="00203D50">
                <w:r>
                  <w:t>Number</w:t>
                </w:r>
              </w:p>
            </w:tc>
            <w:tc>
              <w:tcPr>
                <w:tcW w:w="3081" w:type="dxa"/>
              </w:tcPr>
              <w:p w:rsidR="000773C2" w:rsidRPr="001418E6" w:rsidRDefault="00D73168" w:rsidP="00203D50">
                <w:r>
                  <w:t>Type</w:t>
                </w:r>
              </w:p>
            </w:tc>
            <w:tc>
              <w:tcPr>
                <w:tcW w:w="3081" w:type="dxa"/>
              </w:tcPr>
              <w:p w:rsidR="000773C2" w:rsidRPr="001418E6" w:rsidRDefault="00D73168" w:rsidP="00203D50">
                <w:r>
                  <w:t>Title</w:t>
                </w:r>
              </w:p>
            </w:tc>
          </w:tr>
          <w:tr w:rsidR="00EA67D5" w:rsidTr="00EA67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EA67D5" w:rsidRDefault="00D73168">
                <w:r>
                  <w:t>FORM-006</w:t>
                </w:r>
              </w:p>
            </w:tc>
            <w:tc>
              <w:tcPr>
                <w:tcW w:w="360" w:type="dxa"/>
              </w:tcPr>
              <w:p w:rsidR="00EA67D5" w:rsidRDefault="00D73168">
                <w:r>
                  <w:t>ISMS\Forms</w:t>
                </w:r>
              </w:p>
            </w:tc>
            <w:tc>
              <w:tcPr>
                <w:tcW w:w="360" w:type="dxa"/>
              </w:tcPr>
              <w:p w:rsidR="00EA67D5" w:rsidRDefault="00D73168">
                <w:r>
                  <w:t>TRE Incident Investigation Report</w:t>
                </w:r>
              </w:p>
            </w:tc>
          </w:tr>
          <w:tr w:rsidR="00EA67D5" w:rsidTr="00EA67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EA67D5" w:rsidRDefault="00D73168">
                <w:r>
                  <w:t>SOP-02-02</w:t>
                </w:r>
              </w:p>
            </w:tc>
            <w:tc>
              <w:tcPr>
                <w:tcW w:w="360" w:type="dxa"/>
              </w:tcPr>
              <w:p w:rsidR="00EA67D5" w:rsidRDefault="00D73168">
                <w:r>
                  <w:t>ISMS\SOP\ISMS Management - SOP</w:t>
                </w:r>
              </w:p>
            </w:tc>
            <w:tc>
              <w:tcPr>
                <w:tcW w:w="360" w:type="dxa"/>
              </w:tcPr>
              <w:p w:rsidR="00EA67D5" w:rsidRDefault="00D73168">
                <w:r>
                  <w:t>Reporting Security Events</w:t>
                </w:r>
              </w:p>
            </w:tc>
          </w:tr>
          <w:tr w:rsidR="00EA67D5" w:rsidTr="00EA67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EA67D5" w:rsidRDefault="00D73168">
                <w:r>
                  <w:t>ISMS-04-01</w:t>
                </w:r>
              </w:p>
            </w:tc>
            <w:tc>
              <w:tcPr>
                <w:tcW w:w="360" w:type="dxa"/>
              </w:tcPr>
              <w:p w:rsidR="00EA67D5" w:rsidRDefault="00D73168">
                <w:r>
                  <w:t>ISMS\Policy &amp; Guidance\ISMS Improvement - policy &amp; guidance</w:t>
                </w:r>
              </w:p>
            </w:tc>
            <w:tc>
              <w:tcPr>
                <w:tcW w:w="360" w:type="dxa"/>
              </w:tcPr>
              <w:p w:rsidR="00EA67D5" w:rsidRDefault="00D73168">
                <w:r>
                  <w:t>ISMS Management Review</w:t>
                </w:r>
              </w:p>
            </w:tc>
          </w:tr>
          <w:tr w:rsidR="00EA67D5" w:rsidTr="00EA67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EA67D5" w:rsidRDefault="00D73168">
                <w:r>
                  <w:t>SOP-04-05</w:t>
                </w:r>
              </w:p>
            </w:tc>
            <w:tc>
              <w:tcPr>
                <w:tcW w:w="360" w:type="dxa"/>
              </w:tcPr>
              <w:p w:rsidR="00EA67D5" w:rsidRDefault="00D73168">
                <w:r>
                  <w:t>ISMS\SOP\ISMS Improvement - SOP</w:t>
                </w:r>
              </w:p>
            </w:tc>
            <w:tc>
              <w:tcPr>
                <w:tcW w:w="360" w:type="dxa"/>
              </w:tcPr>
              <w:p w:rsidR="00EA67D5" w:rsidRDefault="00D73168">
                <w:r>
                  <w:t>ISMS Internal Auditing</w:t>
                </w:r>
              </w:p>
            </w:tc>
          </w:tr>
        </w:tbl>
        <w:p w:rsidR="000773C2" w:rsidRPr="003A3288" w:rsidRDefault="00F05B5C" w:rsidP="00203D50">
          <w:pPr>
            <w:rPr>
              <w:rFonts w:eastAsia="Times New Roman"/>
              <w:lang w:val="en-US"/>
            </w:rPr>
          </w:pPr>
        </w:p>
      </w:sdtContent>
    </w:sdt>
    <w:p w:rsidR="000773C2" w:rsidRDefault="00D73168" w:rsidP="000773C2">
      <w:pPr>
        <w:pStyle w:val="ISMSHeading1"/>
      </w:pPr>
      <w:bookmarkStart w:id="273" w:name="_Toc256000145"/>
      <w:bookmarkStart w:id="274" w:name="_Toc256000128"/>
      <w:bookmarkStart w:id="275" w:name="_Toc256000107"/>
      <w:bookmarkStart w:id="276" w:name="_Toc256000086"/>
      <w:bookmarkStart w:id="277" w:name="_Toc256000065"/>
      <w:bookmarkStart w:id="278" w:name="_Toc256000044"/>
      <w:bookmarkStart w:id="279" w:name="_Toc256000037"/>
      <w:bookmarkStart w:id="280" w:name="_Toc256000023"/>
      <w:bookmarkStart w:id="281" w:name="_Toc481580456"/>
      <w:bookmarkStart w:id="282" w:name="_Toc490641869"/>
      <w:bookmarkStart w:id="283" w:name="_Toc493665186"/>
      <w:bookmarkStart w:id="284" w:name="_Toc499639056"/>
      <w:bookmarkStart w:id="285" w:name="_Toc508019322"/>
      <w:bookmarkStart w:id="286" w:name="_Toc509820706"/>
      <w:bookmarkStart w:id="287" w:name="_Toc513023823"/>
      <w:bookmarkStart w:id="288" w:name="_Toc518372496"/>
      <w:bookmarkStart w:id="289" w:name="_Toc524514925"/>
      <w:bookmarkStart w:id="290" w:name="_Toc961534"/>
      <w:bookmarkStart w:id="291" w:name="_Toc1044720"/>
      <w:bookmarkStart w:id="292" w:name="_Toc6297871"/>
      <w:r>
        <w:t>Appendices</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0773C2" w:rsidRPr="006E4241" w:rsidRDefault="00D73168" w:rsidP="000773C2">
      <w:pPr>
        <w:pStyle w:val="ISMSHeading2"/>
      </w:pPr>
      <w:bookmarkStart w:id="293" w:name="_Toc256000146"/>
      <w:bookmarkStart w:id="294" w:name="_Toc256000129"/>
      <w:bookmarkStart w:id="295" w:name="_Toc256000108"/>
      <w:bookmarkStart w:id="296" w:name="_Toc256000087"/>
      <w:bookmarkStart w:id="297" w:name="_Toc256000066"/>
      <w:bookmarkStart w:id="298" w:name="_Toc256000045"/>
      <w:bookmarkStart w:id="299" w:name="_Toc509820707"/>
      <w:bookmarkStart w:id="300" w:name="_Toc513023824"/>
      <w:bookmarkStart w:id="301" w:name="_Toc518372497"/>
      <w:bookmarkStart w:id="302" w:name="_Toc524514926"/>
      <w:bookmarkStart w:id="303" w:name="_Toc961535"/>
      <w:bookmarkStart w:id="304" w:name="_Toc1044721"/>
      <w:bookmarkStart w:id="305" w:name="_Toc6297872"/>
      <w:bookmarkStart w:id="306" w:name="_Toc256000038"/>
      <w:bookmarkStart w:id="307" w:name="_Toc256000024"/>
      <w:bookmarkStart w:id="308" w:name="_Toc490641870"/>
      <w:bookmarkStart w:id="309" w:name="_Toc493665187"/>
      <w:bookmarkStart w:id="310" w:name="_Toc499639057"/>
      <w:bookmarkStart w:id="311" w:name="_Toc508019323"/>
      <w:r>
        <w:t>Assessment Criteria for Escalation of Security Events</w:t>
      </w:r>
      <w:bookmarkEnd w:id="293"/>
      <w:bookmarkEnd w:id="294"/>
      <w:bookmarkEnd w:id="295"/>
      <w:bookmarkEnd w:id="296"/>
      <w:bookmarkEnd w:id="297"/>
      <w:bookmarkEnd w:id="298"/>
      <w:bookmarkEnd w:id="299"/>
      <w:bookmarkEnd w:id="300"/>
      <w:bookmarkEnd w:id="301"/>
      <w:bookmarkEnd w:id="302"/>
      <w:bookmarkEnd w:id="303"/>
      <w:bookmarkEnd w:id="304"/>
      <w:bookmarkEnd w:id="305"/>
    </w:p>
    <w:p w:rsidR="000773C2" w:rsidRDefault="00D73168" w:rsidP="000773C2">
      <w:pPr>
        <w:pStyle w:val="ISMSHeading3"/>
      </w:pPr>
      <w:bookmarkStart w:id="312" w:name="_Toc256000147"/>
      <w:bookmarkStart w:id="313" w:name="_Toc256000130"/>
      <w:bookmarkStart w:id="314" w:name="_Toc256000109"/>
      <w:bookmarkStart w:id="315" w:name="_Toc256000088"/>
      <w:bookmarkStart w:id="316" w:name="_Toc256000067"/>
      <w:bookmarkStart w:id="317" w:name="_Toc256000046"/>
      <w:bookmarkStart w:id="318" w:name="_Toc496267789"/>
      <w:bookmarkStart w:id="319" w:name="_Toc497306945"/>
      <w:bookmarkStart w:id="320" w:name="_Toc509820708"/>
      <w:bookmarkStart w:id="321" w:name="_Toc513023825"/>
      <w:bookmarkStart w:id="322" w:name="_Toc518372498"/>
      <w:bookmarkStart w:id="323" w:name="_Toc524514927"/>
      <w:bookmarkStart w:id="324" w:name="_Toc961536"/>
      <w:bookmarkStart w:id="325" w:name="_Toc1044722"/>
      <w:bookmarkStart w:id="326" w:name="_Toc6297873"/>
      <w:bookmarkStart w:id="327" w:name="_Toc481580392"/>
      <w:bookmarkStart w:id="328" w:name="_Toc490646130"/>
      <w:bookmarkStart w:id="329" w:name="_Toc493672504"/>
      <w:r>
        <w:t>Definition of a Data Protection Incident</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0773C2" w:rsidRDefault="00D73168" w:rsidP="00203D50">
      <w:pPr>
        <w:pStyle w:val="ISMSNormal"/>
      </w:pPr>
      <w:r>
        <w:t>A data protection incident is an</w:t>
      </w:r>
      <w:r w:rsidRPr="007220AC">
        <w:t xml:space="preserve"> event or occurrence that has resulted or could have resulted in the disclosure of confidential information to an </w:t>
      </w:r>
      <w:proofErr w:type="spellStart"/>
      <w:r w:rsidRPr="007220AC">
        <w:t>unauthorised</w:t>
      </w:r>
      <w:proofErr w:type="spellEnd"/>
      <w:r w:rsidRPr="007220AC">
        <w:t xml:space="preserve"> individual, put at risk the inte</w:t>
      </w:r>
      <w:r>
        <w:t xml:space="preserve">grity of the system, </w:t>
      </w:r>
      <w:r w:rsidRPr="007220AC">
        <w:t>put at risk the availabili</w:t>
      </w:r>
      <w:r>
        <w:t xml:space="preserve">ty of the services, or </w:t>
      </w:r>
      <w:r w:rsidRPr="007220AC">
        <w:t>breach</w:t>
      </w:r>
      <w:r>
        <w:t>ed</w:t>
      </w:r>
      <w:r w:rsidRPr="007220AC">
        <w:t xml:space="preserve"> the Data Protection Act. </w:t>
      </w:r>
    </w:p>
    <w:p w:rsidR="000773C2" w:rsidRPr="007E17F6" w:rsidRDefault="00F05B5C" w:rsidP="00203D50">
      <w:pPr>
        <w:pStyle w:val="ISMSNormal"/>
      </w:pPr>
    </w:p>
    <w:p w:rsidR="000773C2" w:rsidRDefault="00D73168" w:rsidP="000773C2">
      <w:pPr>
        <w:pStyle w:val="ISMSHeading3"/>
      </w:pPr>
      <w:bookmarkStart w:id="330" w:name="_Toc256000148"/>
      <w:bookmarkStart w:id="331" w:name="_Toc256000131"/>
      <w:bookmarkStart w:id="332" w:name="_Toc256000110"/>
      <w:bookmarkStart w:id="333" w:name="_Toc256000089"/>
      <w:bookmarkStart w:id="334" w:name="_Toc256000068"/>
      <w:bookmarkStart w:id="335" w:name="_Toc256000047"/>
      <w:bookmarkStart w:id="336" w:name="_Toc256000039"/>
      <w:bookmarkStart w:id="337" w:name="_Toc496267790"/>
      <w:bookmarkStart w:id="338" w:name="_Toc497306946"/>
      <w:bookmarkStart w:id="339" w:name="_Toc509820709"/>
      <w:bookmarkStart w:id="340" w:name="_Toc513023826"/>
      <w:bookmarkStart w:id="341" w:name="_Toc518372499"/>
      <w:bookmarkStart w:id="342" w:name="_Toc524514928"/>
      <w:bookmarkStart w:id="343" w:name="_Toc961537"/>
      <w:bookmarkStart w:id="344" w:name="_Toc1044723"/>
      <w:bookmarkStart w:id="345" w:name="_Toc6297874"/>
      <w:r w:rsidRPr="003A7426">
        <w:t>Definition of an IG SIRI</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0773C2" w:rsidRPr="007E17F6" w:rsidRDefault="00D73168" w:rsidP="00203D50">
      <w:pPr>
        <w:pStyle w:val="ISMSNormal"/>
      </w:pPr>
      <w:r>
        <w:t>An IG Serious Incident</w:t>
      </w:r>
      <w:r w:rsidRPr="00600DAF">
        <w:t xml:space="preserve"> Requiring Investigation </w:t>
      </w:r>
      <w:r>
        <w:t>(</w:t>
      </w:r>
      <w:r w:rsidRPr="00600DAF">
        <w:t>SIRI</w:t>
      </w:r>
      <w:r>
        <w:t>)</w:t>
      </w:r>
      <w:r w:rsidRPr="00600DAF">
        <w:t xml:space="preserve"> is any incident which involves actual or potential failure to meet the requirements</w:t>
      </w:r>
      <w:r>
        <w:t xml:space="preserve"> of the Data Protection Act</w:t>
      </w:r>
      <w:r w:rsidRPr="00600DAF">
        <w:t xml:space="preserve"> and/or the Common Law Duty of Confidentiality. This includes unlawful disclosure or misuse of confidential data, recording or sharing of inaccurate data, information security breaches and inappropriate invasion of people’s privacy. </w:t>
      </w:r>
    </w:p>
    <w:p w:rsidR="000773C2" w:rsidRDefault="00F05B5C" w:rsidP="00203D50">
      <w:pPr>
        <w:pStyle w:val="ISMSNormal"/>
      </w:pPr>
    </w:p>
    <w:p w:rsidR="000773C2" w:rsidRDefault="00D73168" w:rsidP="00203D50">
      <w:pPr>
        <w:pStyle w:val="ISMSNormal"/>
      </w:pPr>
      <w:r w:rsidRPr="00600DAF">
        <w:t xml:space="preserve">Since June 2013 all </w:t>
      </w:r>
      <w:proofErr w:type="spellStart"/>
      <w:r>
        <w:t>o</w:t>
      </w:r>
      <w:r w:rsidRPr="00600DAF">
        <w:t>rganisations</w:t>
      </w:r>
      <w:proofErr w:type="spellEnd"/>
      <w:r w:rsidRPr="00600DAF">
        <w:t xml:space="preserve"> processing health and adult social care personal data should use the </w:t>
      </w:r>
      <w:r>
        <w:t>DSP</w:t>
      </w:r>
      <w:r w:rsidRPr="00600DAF">
        <w:t xml:space="preserve"> Toolkit Incident Reporting Tool to report level 2 IG Serious Incidents Requiring Investigation (SIRI) to the Department of Health (DH), NHS England and the Information Commissioner’s Office (ICO). </w:t>
      </w:r>
      <w:r>
        <w:t>Because the TRE falls under the University of Manchester’s ICO registration, decisions around whether an incident constitutes an IG SIRI must be made in conjunction with the University’s Information Governance Office.</w:t>
      </w:r>
    </w:p>
    <w:p w:rsidR="000773C2" w:rsidRDefault="00F05B5C" w:rsidP="00203D50">
      <w:pPr>
        <w:pStyle w:val="ISMSNormal"/>
      </w:pPr>
    </w:p>
    <w:p w:rsidR="000773C2" w:rsidRDefault="00D73168" w:rsidP="00203D50">
      <w:pPr>
        <w:pStyle w:val="ISMSNormal"/>
      </w:pPr>
      <w:r w:rsidRPr="0096468B">
        <w:t>There is no simple definition of a serious incident. What may at first appear to be of minor importance may, on further investigation, be found to be serious and vice versa.</w:t>
      </w:r>
      <w:r>
        <w:t xml:space="preserve"> As a guide, an IG SIRI includes:</w:t>
      </w:r>
    </w:p>
    <w:p w:rsidR="000773C2" w:rsidRPr="0096468B" w:rsidRDefault="00D73168" w:rsidP="00203D50">
      <w:pPr>
        <w:pStyle w:val="ISMSNormal"/>
        <w:ind w:left="720"/>
      </w:pPr>
      <w:r w:rsidRPr="0096468B">
        <w:t>• Any incident which involves actual or potential failure to meet the requirements of the Data Protectio</w:t>
      </w:r>
      <w:r>
        <w:t>n Act</w:t>
      </w:r>
    </w:p>
    <w:p w:rsidR="000773C2" w:rsidRPr="0096468B" w:rsidRDefault="00D73168" w:rsidP="00203D50">
      <w:pPr>
        <w:pStyle w:val="ISMSNormal"/>
        <w:ind w:left="720"/>
      </w:pPr>
      <w:r w:rsidRPr="0096468B">
        <w:t xml:space="preserve">• </w:t>
      </w:r>
      <w:r>
        <w:t>U</w:t>
      </w:r>
      <w:r w:rsidRPr="0096468B">
        <w:t>nlawful disclosure or misuse of confidential data, recording or sharing of inaccurate data, information security breaches and inappropria</w:t>
      </w:r>
      <w:r>
        <w:t>te invasion of people’s privacy</w:t>
      </w:r>
      <w:r w:rsidRPr="0096468B">
        <w:t xml:space="preserve"> and/or the Common Law of Confidentiality.</w:t>
      </w:r>
    </w:p>
    <w:p w:rsidR="000773C2" w:rsidRDefault="00D73168" w:rsidP="00203D50">
      <w:pPr>
        <w:pStyle w:val="ISMSNormal"/>
        <w:ind w:left="720"/>
      </w:pPr>
      <w:r w:rsidRPr="0096468B">
        <w:t xml:space="preserve">• </w:t>
      </w:r>
      <w:r>
        <w:t>P</w:t>
      </w:r>
      <w:r w:rsidRPr="0096468B">
        <w:t>ersonal data breaches which could lead to identity fraud or have other significant impact on individuals.</w:t>
      </w:r>
    </w:p>
    <w:p w:rsidR="000773C2" w:rsidRDefault="00F05B5C" w:rsidP="00203D50">
      <w:pPr>
        <w:pStyle w:val="ISMSNormal"/>
        <w:ind w:left="720"/>
      </w:pPr>
    </w:p>
    <w:p w:rsidR="000773C2" w:rsidRDefault="00F05B5C" w:rsidP="00203D50">
      <w:pPr>
        <w:pStyle w:val="ISMSNormal"/>
        <w:sectPr w:rsidR="000773C2" w:rsidSect="00E50F61">
          <w:headerReference w:type="even" r:id="rId16"/>
          <w:headerReference w:type="default" r:id="rId17"/>
          <w:footerReference w:type="default" r:id="rId18"/>
          <w:headerReference w:type="first" r:id="rId19"/>
          <w:pgSz w:w="11906" w:h="16838"/>
          <w:pgMar w:top="1440" w:right="1440" w:bottom="1440" w:left="1440" w:header="708" w:footer="708" w:gutter="0"/>
          <w:cols w:space="708"/>
          <w:titlePg/>
          <w:docGrid w:linePitch="360"/>
        </w:sectPr>
      </w:pPr>
    </w:p>
    <w:p w:rsidR="000773C2" w:rsidRDefault="00D73168" w:rsidP="000773C2">
      <w:pPr>
        <w:pStyle w:val="ISMSHeading3"/>
      </w:pPr>
      <w:bookmarkStart w:id="346" w:name="_Toc256000149"/>
      <w:bookmarkStart w:id="347" w:name="_Toc256000132"/>
      <w:bookmarkStart w:id="348" w:name="_Toc256000111"/>
      <w:bookmarkStart w:id="349" w:name="_Toc256000090"/>
      <w:bookmarkStart w:id="350" w:name="_Toc256000069"/>
      <w:bookmarkStart w:id="351" w:name="_Toc256000048"/>
      <w:bookmarkStart w:id="352" w:name="_Toc509820710"/>
      <w:bookmarkStart w:id="353" w:name="_Toc513023827"/>
      <w:bookmarkStart w:id="354" w:name="_Toc518372500"/>
      <w:bookmarkStart w:id="355" w:name="_Toc524514929"/>
      <w:bookmarkStart w:id="356" w:name="_Toc961538"/>
      <w:bookmarkStart w:id="357" w:name="_Toc1044724"/>
      <w:bookmarkStart w:id="358" w:name="_Toc6297875"/>
      <w:r>
        <w:lastRenderedPageBreak/>
        <w:t>Definition of Other Security Incidents</w:t>
      </w:r>
      <w:bookmarkEnd w:id="346"/>
      <w:bookmarkEnd w:id="347"/>
      <w:bookmarkEnd w:id="348"/>
      <w:bookmarkEnd w:id="349"/>
      <w:bookmarkEnd w:id="350"/>
      <w:bookmarkEnd w:id="351"/>
      <w:bookmarkEnd w:id="352"/>
      <w:bookmarkEnd w:id="353"/>
      <w:bookmarkEnd w:id="354"/>
      <w:bookmarkEnd w:id="355"/>
      <w:bookmarkEnd w:id="356"/>
      <w:bookmarkEnd w:id="357"/>
      <w:bookmarkEnd w:id="358"/>
    </w:p>
    <w:p w:rsidR="000773C2" w:rsidRPr="009D008E" w:rsidRDefault="00D73168" w:rsidP="00203D50">
      <w:pPr>
        <w:pStyle w:val="ISMSNormal"/>
        <w:rPr>
          <w:lang w:val="en-GB"/>
        </w:rPr>
      </w:pPr>
      <w:r>
        <w:rPr>
          <w:lang w:val="en-GB"/>
        </w:rPr>
        <w:t xml:space="preserve">If a security event is not immediately identified as a data protection incident the following criteria should be used to assess the event. Where an event </w:t>
      </w:r>
      <w:r w:rsidRPr="009D008E">
        <w:rPr>
          <w:lang w:val="en-GB"/>
        </w:rPr>
        <w:t xml:space="preserve">scores </w:t>
      </w:r>
      <w:r>
        <w:rPr>
          <w:lang w:val="en-GB"/>
        </w:rPr>
        <w:t xml:space="preserve">2 or more </w:t>
      </w:r>
      <w:r w:rsidRPr="009D008E">
        <w:rPr>
          <w:lang w:val="en-GB"/>
        </w:rPr>
        <w:t xml:space="preserve">for </w:t>
      </w:r>
      <w:r>
        <w:rPr>
          <w:lang w:val="en-GB"/>
        </w:rPr>
        <w:t>C</w:t>
      </w:r>
      <w:r w:rsidRPr="009D008E">
        <w:rPr>
          <w:lang w:val="en-GB"/>
        </w:rPr>
        <w:t xml:space="preserve">onfidentiality or </w:t>
      </w:r>
      <w:r>
        <w:rPr>
          <w:lang w:val="en-GB"/>
        </w:rPr>
        <w:t xml:space="preserve">3 or more for </w:t>
      </w:r>
      <w:r w:rsidRPr="009D008E">
        <w:rPr>
          <w:lang w:val="en-GB"/>
        </w:rPr>
        <w:t>Integrity</w:t>
      </w:r>
      <w:r>
        <w:rPr>
          <w:lang w:val="en-GB"/>
        </w:rPr>
        <w:t>,</w:t>
      </w:r>
      <w:r w:rsidRPr="009D008E">
        <w:rPr>
          <w:lang w:val="en-GB"/>
        </w:rPr>
        <w:t xml:space="preserve"> Availability</w:t>
      </w:r>
      <w:r>
        <w:rPr>
          <w:lang w:val="en-GB"/>
        </w:rPr>
        <w:t xml:space="preserve"> or Additional Measures it should be classified as a security incident.</w:t>
      </w:r>
    </w:p>
    <w:p w:rsidR="000773C2" w:rsidRDefault="00F05B5C" w:rsidP="00203D50">
      <w:pPr>
        <w:pStyle w:val="ISMSNormal"/>
        <w:rPr>
          <w:b/>
          <w:bCs/>
        </w:rPr>
      </w:pPr>
    </w:p>
    <w:tbl>
      <w:tblPr>
        <w:tblW w:w="5000" w:type="pct"/>
        <w:tblCellMar>
          <w:left w:w="0" w:type="dxa"/>
          <w:right w:w="0" w:type="dxa"/>
        </w:tblCellMar>
        <w:tblLook w:val="04A0" w:firstRow="1" w:lastRow="0" w:firstColumn="1" w:lastColumn="0" w:noHBand="0" w:noVBand="1"/>
      </w:tblPr>
      <w:tblGrid>
        <w:gridCol w:w="844"/>
        <w:gridCol w:w="2328"/>
        <w:gridCol w:w="2509"/>
        <w:gridCol w:w="2517"/>
        <w:gridCol w:w="5740"/>
      </w:tblGrid>
      <w:tr w:rsidR="00EA67D5" w:rsidTr="00203D50">
        <w:trPr>
          <w:tblHeader/>
        </w:trPr>
        <w:tc>
          <w:tcPr>
            <w:tcW w:w="303"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773C2" w:rsidRDefault="00D73168" w:rsidP="00203D50">
            <w:pPr>
              <w:rPr>
                <w:b/>
                <w:bCs/>
                <w:lang w:eastAsia="en-GB"/>
              </w:rPr>
            </w:pPr>
            <w:r>
              <w:rPr>
                <w:b/>
                <w:bCs/>
                <w:lang w:eastAsia="en-GB"/>
              </w:rPr>
              <w:t>Value</w:t>
            </w:r>
          </w:p>
        </w:tc>
        <w:tc>
          <w:tcPr>
            <w:tcW w:w="835"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773C2" w:rsidRDefault="00D73168" w:rsidP="00203D50">
            <w:pPr>
              <w:jc w:val="center"/>
              <w:rPr>
                <w:b/>
                <w:bCs/>
                <w:lang w:eastAsia="en-GB"/>
              </w:rPr>
            </w:pPr>
            <w:r>
              <w:rPr>
                <w:b/>
                <w:bCs/>
                <w:lang w:eastAsia="en-GB"/>
              </w:rPr>
              <w:t>Confidentiality</w:t>
            </w:r>
          </w:p>
        </w:tc>
        <w:tc>
          <w:tcPr>
            <w:tcW w:w="900"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tcPr>
          <w:p w:rsidR="000773C2" w:rsidRDefault="00D73168" w:rsidP="00203D50">
            <w:pPr>
              <w:jc w:val="center"/>
              <w:rPr>
                <w:b/>
                <w:bCs/>
                <w:lang w:eastAsia="en-GB"/>
              </w:rPr>
            </w:pPr>
            <w:r>
              <w:rPr>
                <w:b/>
                <w:bCs/>
                <w:lang w:eastAsia="en-GB"/>
              </w:rPr>
              <w:t>Integrity</w:t>
            </w:r>
          </w:p>
          <w:p w:rsidR="000773C2" w:rsidRDefault="00F05B5C" w:rsidP="00203D50">
            <w:pPr>
              <w:jc w:val="center"/>
              <w:rPr>
                <w:b/>
                <w:bCs/>
                <w:lang w:eastAsia="en-GB"/>
              </w:rPr>
            </w:pPr>
          </w:p>
        </w:tc>
        <w:tc>
          <w:tcPr>
            <w:tcW w:w="903"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773C2" w:rsidRDefault="00D73168" w:rsidP="00203D50">
            <w:pPr>
              <w:jc w:val="center"/>
              <w:rPr>
                <w:b/>
                <w:bCs/>
                <w:lang w:eastAsia="en-GB"/>
              </w:rPr>
            </w:pPr>
            <w:r>
              <w:rPr>
                <w:b/>
                <w:bCs/>
                <w:lang w:eastAsia="en-GB"/>
              </w:rPr>
              <w:t>Availability</w:t>
            </w:r>
          </w:p>
        </w:tc>
        <w:tc>
          <w:tcPr>
            <w:tcW w:w="2059"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0773C2" w:rsidRDefault="00D73168" w:rsidP="00203D50">
            <w:pPr>
              <w:jc w:val="center"/>
              <w:rPr>
                <w:b/>
                <w:bCs/>
                <w:lang w:eastAsia="en-GB"/>
              </w:rPr>
            </w:pPr>
            <w:r>
              <w:rPr>
                <w:b/>
                <w:bCs/>
                <w:lang w:eastAsia="en-GB"/>
              </w:rPr>
              <w:t>Additional Value Measures (can be applied across all of the criteria)</w:t>
            </w:r>
          </w:p>
        </w:tc>
      </w:tr>
      <w:tr w:rsidR="00EA67D5" w:rsidTr="00203D50">
        <w:trPr>
          <w:cantSplit/>
        </w:trPr>
        <w:tc>
          <w:tcPr>
            <w:tcW w:w="30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773C2" w:rsidRDefault="00D73168" w:rsidP="00203D50">
            <w:pPr>
              <w:jc w:val="center"/>
              <w:rPr>
                <w:b/>
                <w:bCs/>
                <w:lang w:eastAsia="en-GB"/>
              </w:rPr>
            </w:pPr>
            <w:r>
              <w:rPr>
                <w:b/>
                <w:bCs/>
                <w:lang w:eastAsia="en-GB"/>
              </w:rPr>
              <w:t>1</w:t>
            </w:r>
          </w:p>
        </w:tc>
        <w:tc>
          <w:tcPr>
            <w:tcW w:w="835"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lang w:eastAsia="en-GB"/>
              </w:rPr>
            </w:pPr>
            <w:r>
              <w:rPr>
                <w:lang w:eastAsia="en-GB"/>
              </w:rPr>
              <w:t>No impact on data confidentiality</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No impact on data accuracy or consistency</w:t>
            </w:r>
          </w:p>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Any corruption or loss of data would not impact operations</w:t>
            </w:r>
          </w:p>
          <w:p w:rsidR="000773C2" w:rsidRPr="00272DDD" w:rsidRDefault="00F05B5C" w:rsidP="00203D50">
            <w:pPr>
              <w:rPr>
                <w:lang w:eastAsia="en-GB"/>
              </w:rPr>
            </w:pPr>
          </w:p>
          <w:p w:rsidR="000773C2" w:rsidRPr="00272DDD" w:rsidRDefault="00F05B5C" w:rsidP="00203D50">
            <w:pPr>
              <w:rPr>
                <w:lang w:eastAsia="en-GB"/>
              </w:rPr>
            </w:pPr>
          </w:p>
          <w:p w:rsidR="000773C2" w:rsidRPr="00272DDD" w:rsidRDefault="00F05B5C" w:rsidP="00203D50">
            <w:pPr>
              <w:rPr>
                <w:lang w:eastAsia="en-GB"/>
              </w:rPr>
            </w:pPr>
          </w:p>
          <w:p w:rsidR="000773C2" w:rsidRPr="00272DDD" w:rsidRDefault="00F05B5C" w:rsidP="00203D50">
            <w:pPr>
              <w:rPr>
                <w:lang w:eastAsia="en-GB"/>
              </w:rPr>
            </w:pPr>
          </w:p>
          <w:p w:rsidR="000773C2" w:rsidRPr="00272DDD" w:rsidRDefault="00F05B5C" w:rsidP="00203D50">
            <w:pPr>
              <w:jc w:val="right"/>
              <w:rPr>
                <w:lang w:eastAsia="en-GB"/>
              </w:rPr>
            </w:pPr>
          </w:p>
        </w:tc>
        <w:tc>
          <w:tcPr>
            <w:tcW w:w="903"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Loss of availability of this asset would not impact normal operations</w:t>
            </w:r>
          </w:p>
          <w:p w:rsidR="000773C2" w:rsidRDefault="00D73168" w:rsidP="00203D50">
            <w:pPr>
              <w:pStyle w:val="ListParagraph"/>
              <w:ind w:left="170" w:hanging="170"/>
              <w:rPr>
                <w:color w:val="000000"/>
                <w:lang w:eastAsia="en-GB"/>
              </w:rPr>
            </w:pPr>
            <w:r>
              <w:rPr>
                <w:color w:val="000000"/>
                <w:lang w:eastAsia="en-GB"/>
              </w:rPr>
              <w:t>Asset can be quickly restored within 4 hours</w:t>
            </w:r>
          </w:p>
        </w:tc>
        <w:tc>
          <w:tcPr>
            <w:tcW w:w="2059"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 xml:space="preserve">Small number of individual correspondence/ representations </w:t>
            </w:r>
          </w:p>
          <w:p w:rsidR="000773C2" w:rsidRDefault="00D73168" w:rsidP="00203D50">
            <w:pPr>
              <w:pStyle w:val="ListParagraph"/>
              <w:ind w:left="170" w:hanging="170"/>
              <w:rPr>
                <w:rFonts w:cs="Times New Roman"/>
                <w:color w:val="000000"/>
                <w:lang w:eastAsia="en-GB"/>
              </w:rPr>
            </w:pPr>
            <w:r>
              <w:rPr>
                <w:color w:val="000000"/>
                <w:lang w:eastAsia="en-GB"/>
              </w:rPr>
              <w:t xml:space="preserve">No measurable impact on research activity within specific teams </w:t>
            </w:r>
          </w:p>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No impact on research income  </w:t>
            </w:r>
          </w:p>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Operating costs increase, revenue loss (excluding that deriving from damage to research reputation) or one time financial loss of less than £100K  </w:t>
            </w:r>
          </w:p>
          <w:p w:rsidR="000773C2" w:rsidRDefault="00D73168" w:rsidP="00203D50">
            <w:pPr>
              <w:pStyle w:val="ListParagraph"/>
              <w:ind w:left="170" w:hanging="170"/>
              <w:rPr>
                <w:color w:val="000000"/>
                <w:lang w:eastAsia="en-GB"/>
              </w:rPr>
            </w:pPr>
            <w:r>
              <w:rPr>
                <w:color w:val="000000"/>
                <w:lang w:eastAsia="en-GB"/>
              </w:rPr>
              <w:t xml:space="preserve">Technical breaches which may result in complaints to the University but complainant does not resort to legal action or regulatory referral </w:t>
            </w:r>
          </w:p>
          <w:p w:rsidR="000773C2" w:rsidRDefault="00D73168" w:rsidP="00203D50">
            <w:pPr>
              <w:pStyle w:val="ListParagraph"/>
              <w:ind w:left="170" w:hanging="170"/>
              <w:rPr>
                <w:color w:val="000000"/>
                <w:lang w:eastAsia="en-GB"/>
              </w:rPr>
            </w:pPr>
            <w:r>
              <w:rPr>
                <w:color w:val="000000"/>
                <w:lang w:eastAsia="en-GB"/>
              </w:rPr>
              <w:t xml:space="preserve">Breach results in minimal or no damage or loss </w:t>
            </w:r>
          </w:p>
        </w:tc>
      </w:tr>
      <w:tr w:rsidR="00EA67D5" w:rsidTr="00203D50">
        <w:trPr>
          <w:cantSplit/>
        </w:trPr>
        <w:tc>
          <w:tcPr>
            <w:tcW w:w="30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773C2" w:rsidRDefault="00D73168" w:rsidP="00203D50">
            <w:pPr>
              <w:jc w:val="center"/>
              <w:rPr>
                <w:b/>
                <w:bCs/>
                <w:lang w:eastAsia="en-GB"/>
              </w:rPr>
            </w:pPr>
            <w:r>
              <w:rPr>
                <w:b/>
                <w:bCs/>
                <w:lang w:eastAsia="en-GB"/>
              </w:rPr>
              <w:t>2</w:t>
            </w:r>
          </w:p>
        </w:tc>
        <w:tc>
          <w:tcPr>
            <w:tcW w:w="835"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Minor impact on data confidentiality (e.g. small subset of non-traceable data released)</w:t>
            </w:r>
          </w:p>
          <w:p w:rsidR="000773C2" w:rsidRDefault="00D73168" w:rsidP="00203D50">
            <w:pPr>
              <w:pStyle w:val="ListParagraph"/>
              <w:ind w:left="170" w:hanging="170"/>
              <w:rPr>
                <w:color w:val="000000"/>
                <w:lang w:eastAsia="en-GB"/>
              </w:rPr>
            </w:pPr>
            <w:r>
              <w:rPr>
                <w:color w:val="000000"/>
                <w:lang w:eastAsia="en-GB"/>
              </w:rPr>
              <w:t xml:space="preserve">Disclosure of the information would cause only minor embarrassment or minor operational inconvenience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Minor impact on data accuracy or consistency but does not affect collaborators</w:t>
            </w:r>
          </w:p>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Any corruption or loss of data is retrievable with minimal effort</w:t>
            </w:r>
          </w:p>
        </w:tc>
        <w:tc>
          <w:tcPr>
            <w:tcW w:w="903"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Temporary loss of availability would have a minor impact on normal operations</w:t>
            </w:r>
          </w:p>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Asset can be restored within 1 day</w:t>
            </w:r>
          </w:p>
        </w:tc>
        <w:tc>
          <w:tcPr>
            <w:tcW w:w="2059"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 xml:space="preserve">Reputation is minimally affected with little or no targeted effort or expense required to recover; </w:t>
            </w:r>
          </w:p>
          <w:p w:rsidR="000773C2" w:rsidRDefault="00D73168" w:rsidP="00203D50">
            <w:pPr>
              <w:pStyle w:val="ListParagraph"/>
              <w:ind w:left="170" w:hanging="170"/>
              <w:rPr>
                <w:rFonts w:cs="Times New Roman"/>
                <w:color w:val="000000"/>
                <w:lang w:eastAsia="en-GB"/>
              </w:rPr>
            </w:pPr>
            <w:r>
              <w:rPr>
                <w:color w:val="000000"/>
                <w:lang w:eastAsia="en-GB"/>
              </w:rPr>
              <w:t xml:space="preserve">Small impact on research activity within specific teams </w:t>
            </w:r>
          </w:p>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 xml:space="preserve">Mild stakeholder correspondence/ representations </w:t>
            </w:r>
          </w:p>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 xml:space="preserve">Minor impact on research income or productivity for wider group </w:t>
            </w:r>
          </w:p>
          <w:p w:rsidR="000773C2" w:rsidRDefault="00D73168" w:rsidP="00203D50">
            <w:pPr>
              <w:pStyle w:val="ListParagraph"/>
              <w:ind w:left="170" w:hanging="170"/>
              <w:rPr>
                <w:color w:val="000000"/>
                <w:lang w:eastAsia="en-GB"/>
              </w:rPr>
            </w:pPr>
            <w:r>
              <w:rPr>
                <w:color w:val="000000"/>
                <w:lang w:eastAsia="en-GB"/>
              </w:rPr>
              <w:t>Operating costs increase, revenue loss (excluding that deriving from damage to research reputation) or one time financial loss of between £100K- £500K  </w:t>
            </w:r>
          </w:p>
          <w:p w:rsidR="000773C2" w:rsidRDefault="00D73168" w:rsidP="00203D50">
            <w:pPr>
              <w:pStyle w:val="ListParagraph"/>
              <w:ind w:left="170" w:hanging="170"/>
              <w:rPr>
                <w:color w:val="000000"/>
                <w:lang w:eastAsia="en-GB"/>
              </w:rPr>
            </w:pPr>
            <w:r>
              <w:rPr>
                <w:color w:val="000000"/>
                <w:lang w:eastAsia="en-GB"/>
              </w:rPr>
              <w:t xml:space="preserve">Fines or claims brought of less than £50K </w:t>
            </w:r>
          </w:p>
          <w:p w:rsidR="000773C2" w:rsidRDefault="00D73168" w:rsidP="00203D50">
            <w:pPr>
              <w:pStyle w:val="ListParagraph"/>
              <w:ind w:left="170" w:hanging="170"/>
              <w:rPr>
                <w:color w:val="000000"/>
                <w:lang w:eastAsia="en-GB"/>
              </w:rPr>
            </w:pPr>
            <w:r>
              <w:rPr>
                <w:color w:val="000000"/>
                <w:lang w:eastAsia="en-GB"/>
              </w:rPr>
              <w:t xml:space="preserve">Regulatory action unlikely or of only localised effect. </w:t>
            </w:r>
          </w:p>
          <w:p w:rsidR="000773C2" w:rsidRDefault="00D73168" w:rsidP="00203D50">
            <w:pPr>
              <w:pStyle w:val="ListParagraph"/>
              <w:ind w:left="170" w:hanging="170"/>
              <w:rPr>
                <w:color w:val="000000"/>
                <w:lang w:eastAsia="en-GB"/>
              </w:rPr>
            </w:pPr>
            <w:r>
              <w:rPr>
                <w:color w:val="000000"/>
                <w:lang w:eastAsia="en-GB"/>
              </w:rPr>
              <w:t>Advisory/improvement notices</w:t>
            </w:r>
          </w:p>
        </w:tc>
      </w:tr>
      <w:tr w:rsidR="00EA67D5" w:rsidTr="00203D50">
        <w:trPr>
          <w:cantSplit/>
        </w:trPr>
        <w:tc>
          <w:tcPr>
            <w:tcW w:w="30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773C2" w:rsidRDefault="00D73168" w:rsidP="00203D50">
            <w:pPr>
              <w:jc w:val="center"/>
              <w:rPr>
                <w:b/>
                <w:bCs/>
                <w:lang w:eastAsia="en-GB"/>
              </w:rPr>
            </w:pPr>
            <w:r>
              <w:rPr>
                <w:b/>
                <w:bCs/>
                <w:lang w:eastAsia="en-GB"/>
              </w:rPr>
              <w:lastRenderedPageBreak/>
              <w:t>3</w:t>
            </w:r>
          </w:p>
        </w:tc>
        <w:tc>
          <w:tcPr>
            <w:tcW w:w="835"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Moderate impact on data confidentiality</w:t>
            </w:r>
          </w:p>
          <w:p w:rsidR="000773C2" w:rsidRDefault="00D73168" w:rsidP="00203D50">
            <w:pPr>
              <w:pStyle w:val="ListParagraph"/>
              <w:ind w:left="170" w:hanging="170"/>
              <w:rPr>
                <w:color w:val="000000"/>
                <w:lang w:eastAsia="en-GB"/>
              </w:rPr>
            </w:pPr>
            <w:r>
              <w:rPr>
                <w:color w:val="000000"/>
                <w:lang w:eastAsia="en-GB"/>
              </w:rPr>
              <w:t>Disclosure of the information would cause some reputational damage and has a short-term impact on operations</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Data corruption or loss has a noticeable impact on collaborators</w:t>
            </w:r>
          </w:p>
          <w:p w:rsidR="000773C2" w:rsidRDefault="00D73168" w:rsidP="00203D50">
            <w:pPr>
              <w:pStyle w:val="ListParagraph"/>
              <w:ind w:left="170" w:hanging="170"/>
              <w:rPr>
                <w:color w:val="000000"/>
                <w:lang w:eastAsia="en-GB"/>
              </w:rPr>
            </w:pPr>
            <w:r>
              <w:rPr>
                <w:color w:val="000000"/>
                <w:lang w:eastAsia="en-GB"/>
              </w:rPr>
              <w:t>Corruption requires resources and time to resolve</w:t>
            </w:r>
          </w:p>
        </w:tc>
        <w:tc>
          <w:tcPr>
            <w:tcW w:w="903"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Loss of availability of this asset would impact normal operations and prevent collaborators from accessing our services or data</w:t>
            </w:r>
          </w:p>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Asset and availability can be restored within 2 days</w:t>
            </w:r>
          </w:p>
        </w:tc>
        <w:tc>
          <w:tcPr>
            <w:tcW w:w="2059"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 xml:space="preserve">Reputation is damaged in the short to medium term with targeted effort and expense required to recover. </w:t>
            </w:r>
          </w:p>
          <w:p w:rsidR="000773C2" w:rsidRDefault="00D73168" w:rsidP="00203D50">
            <w:pPr>
              <w:pStyle w:val="ListParagraph"/>
              <w:ind w:left="170" w:hanging="170"/>
              <w:rPr>
                <w:rFonts w:cs="Times New Roman"/>
                <w:color w:val="000000"/>
                <w:lang w:eastAsia="en-GB"/>
              </w:rPr>
            </w:pPr>
            <w:r>
              <w:rPr>
                <w:rFonts w:ascii="Times New Roman" w:hAnsi="Times New Roman"/>
                <w:color w:val="000000"/>
                <w:sz w:val="14"/>
                <w:szCs w:val="14"/>
                <w:lang w:eastAsia="en-GB"/>
              </w:rPr>
              <w:t xml:space="preserve"> </w:t>
            </w:r>
            <w:r>
              <w:rPr>
                <w:color w:val="000000"/>
                <w:lang w:eastAsia="en-GB"/>
              </w:rPr>
              <w:t xml:space="preserve">Public stakeholder comment and correspondence expressing concern </w:t>
            </w:r>
          </w:p>
          <w:p w:rsidR="000773C2" w:rsidRDefault="00D73168" w:rsidP="00203D50">
            <w:pPr>
              <w:pStyle w:val="ListParagraph"/>
              <w:ind w:left="170" w:hanging="170"/>
              <w:rPr>
                <w:color w:val="000000"/>
                <w:lang w:eastAsia="en-GB"/>
              </w:rPr>
            </w:pPr>
            <w:r>
              <w:rPr>
                <w:color w:val="000000"/>
                <w:lang w:eastAsia="en-GB"/>
              </w:rPr>
              <w:t xml:space="preserve">Low key local or regional interest media coverage </w:t>
            </w:r>
          </w:p>
          <w:p w:rsidR="000773C2" w:rsidRDefault="00D73168" w:rsidP="00203D50">
            <w:pPr>
              <w:pStyle w:val="ListParagraph"/>
              <w:ind w:left="170" w:hanging="170"/>
              <w:rPr>
                <w:color w:val="000000"/>
                <w:lang w:eastAsia="en-GB"/>
              </w:rPr>
            </w:pPr>
            <w:r>
              <w:rPr>
                <w:color w:val="000000"/>
                <w:lang w:eastAsia="en-GB"/>
              </w:rPr>
              <w:t xml:space="preserve">Medium term effect on productivity within discipline </w:t>
            </w:r>
          </w:p>
          <w:p w:rsidR="000773C2" w:rsidRDefault="00D73168" w:rsidP="00203D50">
            <w:pPr>
              <w:pStyle w:val="ListParagraph"/>
              <w:ind w:left="170" w:hanging="170"/>
              <w:rPr>
                <w:color w:val="000000"/>
                <w:lang w:eastAsia="en-GB"/>
              </w:rPr>
            </w:pPr>
            <w:r>
              <w:rPr>
                <w:color w:val="000000"/>
                <w:lang w:eastAsia="en-GB"/>
              </w:rPr>
              <w:t xml:space="preserve">Up to 1% overall reduction in research income due to loss of confidence/lack of compliance </w:t>
            </w:r>
          </w:p>
          <w:p w:rsidR="000773C2" w:rsidRDefault="00D73168" w:rsidP="00203D50">
            <w:pPr>
              <w:pStyle w:val="ListParagraph"/>
              <w:ind w:left="170" w:hanging="170"/>
              <w:rPr>
                <w:color w:val="000000"/>
                <w:lang w:eastAsia="en-GB"/>
              </w:rPr>
            </w:pPr>
            <w:r>
              <w:rPr>
                <w:color w:val="000000"/>
                <w:lang w:eastAsia="en-GB"/>
              </w:rPr>
              <w:t>Operating costs increase, revenue loss (excluding that deriving from damage to research reputation) or one time financial loss of between £500K-£1M  </w:t>
            </w:r>
          </w:p>
          <w:p w:rsidR="000773C2" w:rsidRDefault="00D73168" w:rsidP="00203D50">
            <w:pPr>
              <w:pStyle w:val="ListParagraph"/>
              <w:ind w:left="170" w:hanging="170"/>
              <w:rPr>
                <w:color w:val="000000"/>
                <w:lang w:eastAsia="en-GB"/>
              </w:rPr>
            </w:pPr>
            <w:r>
              <w:rPr>
                <w:color w:val="000000"/>
                <w:lang w:eastAsia="en-GB"/>
              </w:rPr>
              <w:t xml:space="preserve">Fines or claims brought of between £50K-£250K </w:t>
            </w:r>
          </w:p>
          <w:p w:rsidR="000773C2" w:rsidRDefault="00D73168" w:rsidP="00203D50">
            <w:pPr>
              <w:pStyle w:val="ListParagraph"/>
              <w:ind w:left="170" w:hanging="170"/>
              <w:rPr>
                <w:color w:val="000000"/>
                <w:lang w:eastAsia="en-GB"/>
              </w:rPr>
            </w:pPr>
            <w:r>
              <w:rPr>
                <w:color w:val="000000"/>
                <w:lang w:eastAsia="en-GB"/>
              </w:rPr>
              <w:t xml:space="preserve">Case referred by complainant to regulatory authorities who may request information or records as a result </w:t>
            </w:r>
          </w:p>
          <w:p w:rsidR="000773C2" w:rsidRDefault="00D73168" w:rsidP="00203D50">
            <w:pPr>
              <w:pStyle w:val="ListParagraph"/>
              <w:ind w:left="170" w:hanging="170"/>
              <w:rPr>
                <w:color w:val="000000"/>
                <w:lang w:eastAsia="en-GB"/>
              </w:rPr>
            </w:pPr>
            <w:r>
              <w:rPr>
                <w:color w:val="000000"/>
                <w:lang w:eastAsia="en-GB"/>
              </w:rPr>
              <w:t>Enforcement action notices.</w:t>
            </w:r>
          </w:p>
        </w:tc>
      </w:tr>
      <w:tr w:rsidR="00EA67D5" w:rsidTr="00203D50">
        <w:trPr>
          <w:cantSplit/>
        </w:trPr>
        <w:tc>
          <w:tcPr>
            <w:tcW w:w="30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773C2" w:rsidRDefault="00D73168" w:rsidP="00203D50">
            <w:pPr>
              <w:jc w:val="center"/>
              <w:rPr>
                <w:b/>
                <w:bCs/>
                <w:lang w:eastAsia="en-GB"/>
              </w:rPr>
            </w:pPr>
            <w:r>
              <w:rPr>
                <w:b/>
                <w:bCs/>
                <w:lang w:eastAsia="en-GB"/>
              </w:rPr>
              <w:lastRenderedPageBreak/>
              <w:t>4</w:t>
            </w:r>
          </w:p>
        </w:tc>
        <w:tc>
          <w:tcPr>
            <w:tcW w:w="835"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Significant proportion of the data is accessible or released</w:t>
            </w:r>
          </w:p>
          <w:p w:rsidR="000773C2" w:rsidRDefault="00D73168" w:rsidP="00203D50">
            <w:pPr>
              <w:pStyle w:val="ListParagraph"/>
              <w:ind w:left="170" w:hanging="170"/>
              <w:rPr>
                <w:color w:val="000000"/>
                <w:lang w:eastAsia="en-GB"/>
              </w:rPr>
            </w:pPr>
            <w:r>
              <w:rPr>
                <w:rFonts w:ascii="Times New Roman" w:hAnsi="Times New Roman"/>
                <w:color w:val="000000"/>
                <w:sz w:val="14"/>
                <w:szCs w:val="14"/>
                <w:lang w:eastAsia="en-GB"/>
              </w:rPr>
              <w:t xml:space="preserve"> </w:t>
            </w:r>
            <w:r>
              <w:rPr>
                <w:color w:val="000000"/>
                <w:lang w:eastAsia="en-GB"/>
              </w:rPr>
              <w:t>Disclosure of the information has a significant impact on operations or tactical objectives</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Corruption or loss of data/asset would restrict operations and cause loss of collaborator confidence</w:t>
            </w:r>
          </w:p>
          <w:p w:rsidR="000773C2" w:rsidRDefault="00D73168" w:rsidP="00203D50">
            <w:pPr>
              <w:pStyle w:val="ListParagraph"/>
              <w:ind w:left="170" w:hanging="170"/>
              <w:rPr>
                <w:color w:val="000000"/>
                <w:lang w:eastAsia="en-GB"/>
              </w:rPr>
            </w:pPr>
            <w:r>
              <w:rPr>
                <w:color w:val="000000"/>
                <w:lang w:eastAsia="en-GB"/>
              </w:rPr>
              <w:t>Corruption requires significant resources and time to resolve</w:t>
            </w:r>
          </w:p>
        </w:tc>
        <w:tc>
          <w:tcPr>
            <w:tcW w:w="903"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Loss of availability of this asset would affect several processes and would prevent collaborators from accessing our services or data</w:t>
            </w:r>
          </w:p>
          <w:p w:rsidR="000773C2" w:rsidRDefault="00D73168" w:rsidP="00203D50">
            <w:pPr>
              <w:pStyle w:val="ListParagraph"/>
              <w:ind w:left="170" w:hanging="170"/>
              <w:rPr>
                <w:color w:val="000000"/>
                <w:lang w:eastAsia="en-GB"/>
              </w:rPr>
            </w:pPr>
            <w:r>
              <w:rPr>
                <w:color w:val="000000"/>
                <w:lang w:eastAsia="en-GB"/>
              </w:rPr>
              <w:t>Availability cannot be restored within 3 days and requires specific skills/personnel or significant resources</w:t>
            </w:r>
          </w:p>
        </w:tc>
        <w:tc>
          <w:tcPr>
            <w:tcW w:w="2059"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 xml:space="preserve">Significant public and private comment from stakeholders expressing serious concerns </w:t>
            </w:r>
          </w:p>
          <w:p w:rsidR="000773C2" w:rsidRDefault="00D73168" w:rsidP="00203D50">
            <w:pPr>
              <w:pStyle w:val="ListParagraph"/>
              <w:ind w:left="170" w:hanging="170"/>
              <w:rPr>
                <w:rFonts w:cs="Times New Roman"/>
                <w:color w:val="000000"/>
                <w:lang w:eastAsia="en-GB"/>
              </w:rPr>
            </w:pPr>
            <w:r>
              <w:rPr>
                <w:color w:val="000000"/>
                <w:lang w:eastAsia="en-GB"/>
              </w:rPr>
              <w:t xml:space="preserve">Adverse regional or national interest media coverage </w:t>
            </w:r>
          </w:p>
          <w:p w:rsidR="000773C2" w:rsidRDefault="00D73168" w:rsidP="00203D50">
            <w:pPr>
              <w:pStyle w:val="ListParagraph"/>
              <w:ind w:left="170" w:hanging="170"/>
              <w:rPr>
                <w:color w:val="000000"/>
                <w:lang w:eastAsia="en-GB"/>
              </w:rPr>
            </w:pPr>
            <w:r>
              <w:rPr>
                <w:color w:val="000000"/>
                <w:lang w:eastAsia="en-GB"/>
              </w:rPr>
              <w:t xml:space="preserve">Medium to long term effect on productivity in more than one discipline </w:t>
            </w:r>
          </w:p>
          <w:p w:rsidR="000773C2" w:rsidRDefault="00D73168" w:rsidP="00203D50">
            <w:pPr>
              <w:pStyle w:val="ListParagraph"/>
              <w:ind w:left="170" w:hanging="170"/>
              <w:rPr>
                <w:color w:val="000000"/>
                <w:lang w:eastAsia="en-GB"/>
              </w:rPr>
            </w:pPr>
            <w:r>
              <w:rPr>
                <w:color w:val="000000"/>
                <w:lang w:eastAsia="en-GB"/>
              </w:rPr>
              <w:t>1 to 4% overall reduction in research income due to loss of confidence/lack of compliance  </w:t>
            </w:r>
          </w:p>
          <w:p w:rsidR="000773C2" w:rsidRDefault="00D73168" w:rsidP="00203D50">
            <w:pPr>
              <w:pStyle w:val="ListParagraph"/>
              <w:ind w:left="170" w:hanging="170"/>
              <w:rPr>
                <w:color w:val="000000"/>
                <w:lang w:eastAsia="en-GB"/>
              </w:rPr>
            </w:pPr>
            <w:r>
              <w:rPr>
                <w:color w:val="000000"/>
                <w:lang w:eastAsia="en-GB"/>
              </w:rPr>
              <w:t xml:space="preserve">Operating costs increase, revenue loss (excluding that deriving from damage to research reputation) or one time financial loss of between £1M-£2.5M </w:t>
            </w:r>
          </w:p>
          <w:p w:rsidR="000773C2" w:rsidRDefault="00D73168" w:rsidP="00203D50">
            <w:pPr>
              <w:pStyle w:val="ListParagraph"/>
              <w:ind w:left="170" w:hanging="170"/>
              <w:rPr>
                <w:color w:val="000000"/>
                <w:lang w:eastAsia="en-GB"/>
              </w:rPr>
            </w:pPr>
            <w:r>
              <w:rPr>
                <w:color w:val="000000"/>
                <w:lang w:eastAsia="en-GB"/>
              </w:rPr>
              <w:t xml:space="preserve">Fines or claims brought of more than £250K </w:t>
            </w:r>
          </w:p>
          <w:p w:rsidR="000773C2" w:rsidRDefault="00D73168" w:rsidP="00203D50">
            <w:pPr>
              <w:pStyle w:val="ListParagraph"/>
              <w:ind w:left="170" w:hanging="170"/>
              <w:rPr>
                <w:color w:val="000000"/>
                <w:lang w:eastAsia="en-GB"/>
              </w:rPr>
            </w:pPr>
            <w:r>
              <w:rPr>
                <w:color w:val="000000"/>
                <w:lang w:eastAsia="en-GB"/>
              </w:rPr>
              <w:t>Incident requires escalation to UoM Data Protection Officer or IG SIRI</w:t>
            </w:r>
          </w:p>
          <w:p w:rsidR="000773C2" w:rsidRDefault="00D73168" w:rsidP="00203D50">
            <w:pPr>
              <w:pStyle w:val="ListParagraph"/>
              <w:ind w:left="170" w:hanging="170"/>
              <w:rPr>
                <w:color w:val="000000"/>
                <w:lang w:eastAsia="en-GB"/>
              </w:rPr>
            </w:pPr>
            <w:r>
              <w:rPr>
                <w:color w:val="000000"/>
                <w:lang w:eastAsia="en-GB"/>
              </w:rPr>
              <w:t xml:space="preserve">University required to report serious matter to regulators </w:t>
            </w:r>
          </w:p>
          <w:p w:rsidR="000773C2" w:rsidRDefault="00D73168" w:rsidP="00203D50">
            <w:pPr>
              <w:pStyle w:val="ListParagraph"/>
              <w:ind w:left="170" w:hanging="170"/>
              <w:rPr>
                <w:color w:val="000000"/>
                <w:lang w:eastAsia="en-GB"/>
              </w:rPr>
            </w:pPr>
            <w:r>
              <w:rPr>
                <w:color w:val="000000"/>
                <w:lang w:eastAsia="en-GB"/>
              </w:rPr>
              <w:t>Case referred by complainant to regulatory authorities and potential for regulatory action with more than localised effect</w:t>
            </w:r>
          </w:p>
        </w:tc>
      </w:tr>
      <w:tr w:rsidR="00EA67D5" w:rsidTr="00203D50">
        <w:trPr>
          <w:cantSplit/>
        </w:trPr>
        <w:tc>
          <w:tcPr>
            <w:tcW w:w="303" w:type="pct"/>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0773C2" w:rsidRDefault="00D73168" w:rsidP="00203D50">
            <w:pPr>
              <w:jc w:val="center"/>
              <w:rPr>
                <w:b/>
                <w:bCs/>
                <w:lang w:eastAsia="en-GB"/>
              </w:rPr>
            </w:pPr>
            <w:r>
              <w:rPr>
                <w:b/>
                <w:bCs/>
                <w:lang w:eastAsia="en-GB"/>
              </w:rPr>
              <w:lastRenderedPageBreak/>
              <w:t>5</w:t>
            </w:r>
          </w:p>
        </w:tc>
        <w:tc>
          <w:tcPr>
            <w:tcW w:w="835"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All of the data is accessible or released</w:t>
            </w:r>
          </w:p>
          <w:p w:rsidR="000773C2" w:rsidRDefault="00D73168" w:rsidP="00203D50">
            <w:pPr>
              <w:pStyle w:val="ListParagraph"/>
              <w:ind w:left="170" w:hanging="170"/>
              <w:rPr>
                <w:color w:val="000000"/>
                <w:lang w:eastAsia="en-GB"/>
              </w:rPr>
            </w:pPr>
            <w:r>
              <w:rPr>
                <w:color w:val="000000"/>
                <w:lang w:eastAsia="en-GB"/>
              </w:rPr>
              <w:t xml:space="preserve">Disclosure of the information has a serious impact on long term strategic objectives or puts the survival of the organization at risk. </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 xml:space="preserve">Corruption or loss of data halts all operations and would cause major loss of collaborator confidence. </w:t>
            </w:r>
          </w:p>
          <w:p w:rsidR="000773C2" w:rsidRDefault="00D73168" w:rsidP="00203D50">
            <w:pPr>
              <w:pStyle w:val="ListParagraph"/>
              <w:ind w:left="170" w:hanging="170"/>
              <w:rPr>
                <w:color w:val="000000"/>
                <w:lang w:eastAsia="en-GB"/>
              </w:rPr>
            </w:pPr>
            <w:r>
              <w:rPr>
                <w:color w:val="000000"/>
                <w:lang w:eastAsia="en-GB"/>
              </w:rPr>
              <w:t xml:space="preserve">Corruption requires extensive resources and time to resolve </w:t>
            </w:r>
          </w:p>
        </w:tc>
        <w:tc>
          <w:tcPr>
            <w:tcW w:w="903"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Loss of this asset would prevent the TRE from operating and providing any of its services to its collaborators</w:t>
            </w:r>
          </w:p>
          <w:p w:rsidR="000773C2" w:rsidRDefault="00D73168" w:rsidP="00203D50">
            <w:pPr>
              <w:pStyle w:val="ListParagraph"/>
              <w:ind w:left="170" w:hanging="170"/>
              <w:rPr>
                <w:color w:val="000000"/>
                <w:lang w:eastAsia="en-GB"/>
              </w:rPr>
            </w:pPr>
            <w:r>
              <w:rPr>
                <w:color w:val="000000"/>
                <w:lang w:eastAsia="en-GB"/>
              </w:rPr>
              <w:t>Availability cannot be restored within 5 days and requires specific skills/personnel or significant resources</w:t>
            </w:r>
          </w:p>
        </w:tc>
        <w:tc>
          <w:tcPr>
            <w:tcW w:w="2059" w:type="pct"/>
            <w:tcBorders>
              <w:top w:val="nil"/>
              <w:left w:val="nil"/>
              <w:bottom w:val="single" w:sz="8" w:space="0" w:color="auto"/>
              <w:right w:val="single" w:sz="8" w:space="0" w:color="auto"/>
            </w:tcBorders>
            <w:tcMar>
              <w:top w:w="0" w:type="dxa"/>
              <w:left w:w="108" w:type="dxa"/>
              <w:bottom w:w="0" w:type="dxa"/>
              <w:right w:w="108" w:type="dxa"/>
            </w:tcMar>
            <w:hideMark/>
          </w:tcPr>
          <w:p w:rsidR="000773C2" w:rsidRDefault="00D73168" w:rsidP="00203D50">
            <w:pPr>
              <w:pStyle w:val="ListParagraph"/>
              <w:ind w:left="170" w:hanging="170"/>
              <w:rPr>
                <w:color w:val="000000"/>
                <w:lang w:eastAsia="en-GB"/>
              </w:rPr>
            </w:pPr>
            <w:r>
              <w:rPr>
                <w:color w:val="000000"/>
                <w:lang w:eastAsia="en-GB"/>
              </w:rPr>
              <w:t>Reputation damaged for the long term or irrevocably destroyed</w:t>
            </w:r>
          </w:p>
          <w:p w:rsidR="000773C2" w:rsidRDefault="00D73168" w:rsidP="00203D50">
            <w:pPr>
              <w:pStyle w:val="ListParagraph"/>
              <w:ind w:left="170" w:hanging="170"/>
              <w:rPr>
                <w:rFonts w:cs="Times New Roman"/>
                <w:color w:val="000000"/>
                <w:lang w:eastAsia="en-GB"/>
              </w:rPr>
            </w:pPr>
            <w:r>
              <w:rPr>
                <w:color w:val="000000"/>
                <w:lang w:eastAsia="en-GB"/>
              </w:rPr>
              <w:t>Adverse high profile, national media coverage from reputable/ influential media, with some international interest</w:t>
            </w:r>
          </w:p>
          <w:p w:rsidR="000773C2" w:rsidRDefault="00D73168" w:rsidP="00203D50">
            <w:pPr>
              <w:pStyle w:val="ListParagraph"/>
              <w:ind w:left="170" w:hanging="170"/>
              <w:rPr>
                <w:color w:val="000000"/>
                <w:lang w:eastAsia="en-GB"/>
              </w:rPr>
            </w:pPr>
            <w:r>
              <w:rPr>
                <w:color w:val="000000"/>
                <w:lang w:eastAsia="en-GB"/>
              </w:rPr>
              <w:t>More than 5% reduction in research income due to loss of confidence/lack of compliance  </w:t>
            </w:r>
          </w:p>
          <w:p w:rsidR="000773C2" w:rsidRDefault="00D73168" w:rsidP="00203D50">
            <w:pPr>
              <w:pStyle w:val="ListParagraph"/>
              <w:ind w:left="170" w:hanging="170"/>
              <w:rPr>
                <w:color w:val="000000"/>
                <w:lang w:eastAsia="en-GB"/>
              </w:rPr>
            </w:pPr>
            <w:r>
              <w:rPr>
                <w:color w:val="000000"/>
                <w:lang w:eastAsia="en-GB"/>
              </w:rPr>
              <w:t>Operating costs increase, revenue loss (excluding that deriving from damage to research reputation) or one time financial loss of greater than £2.5M </w:t>
            </w:r>
          </w:p>
          <w:p w:rsidR="000773C2" w:rsidRDefault="00D73168" w:rsidP="00203D50">
            <w:pPr>
              <w:pStyle w:val="ListParagraph"/>
              <w:ind w:left="170" w:hanging="170"/>
              <w:rPr>
                <w:color w:val="000000"/>
                <w:lang w:eastAsia="en-GB"/>
              </w:rPr>
            </w:pPr>
            <w:r>
              <w:rPr>
                <w:color w:val="000000"/>
                <w:lang w:eastAsia="en-GB"/>
              </w:rPr>
              <w:t>Incident requires escalation to UoM Data Protection Officer or IG SIRI</w:t>
            </w:r>
          </w:p>
          <w:p w:rsidR="000773C2" w:rsidRDefault="00D73168" w:rsidP="00203D50">
            <w:pPr>
              <w:pStyle w:val="ListParagraph"/>
              <w:ind w:left="170" w:hanging="170"/>
              <w:rPr>
                <w:color w:val="000000"/>
                <w:lang w:eastAsia="en-GB"/>
              </w:rPr>
            </w:pPr>
            <w:r>
              <w:rPr>
                <w:color w:val="000000"/>
                <w:lang w:eastAsia="en-GB"/>
              </w:rPr>
              <w:t>Formal external regulatory investigation into organisational practices with potential for suspension of significant elements of University operations</w:t>
            </w:r>
          </w:p>
          <w:p w:rsidR="000773C2" w:rsidRDefault="00D73168" w:rsidP="00203D50">
            <w:pPr>
              <w:pStyle w:val="ListParagraph"/>
              <w:ind w:left="170" w:hanging="170"/>
              <w:rPr>
                <w:color w:val="000000"/>
                <w:lang w:eastAsia="en-GB"/>
              </w:rPr>
            </w:pPr>
            <w:r>
              <w:rPr>
                <w:color w:val="000000"/>
                <w:lang w:eastAsia="en-GB"/>
              </w:rPr>
              <w:t>Withdrawal of status or imposition of sanctions resulting in forced termination of mission critical activities</w:t>
            </w:r>
          </w:p>
        </w:tc>
      </w:tr>
      <w:bookmarkEnd w:id="306"/>
      <w:bookmarkEnd w:id="307"/>
      <w:bookmarkEnd w:id="308"/>
      <w:bookmarkEnd w:id="309"/>
      <w:bookmarkEnd w:id="310"/>
      <w:bookmarkEnd w:id="311"/>
    </w:tbl>
    <w:p w:rsidR="000773C2" w:rsidRPr="006E4241" w:rsidRDefault="00F05B5C" w:rsidP="003D700B">
      <w:pPr>
        <w:pStyle w:val="ISMSHeading2"/>
        <w:numPr>
          <w:ilvl w:val="0"/>
          <w:numId w:val="0"/>
        </w:numPr>
        <w:ind w:left="510" w:hanging="510"/>
      </w:pPr>
    </w:p>
    <w:p w:rsidR="002C7566" w:rsidRDefault="00F05B5C">
      <w:pPr>
        <w:spacing w:after="200" w:line="276" w:lineRule="auto"/>
      </w:pPr>
    </w:p>
    <w:sectPr w:rsidR="002C7566" w:rsidSect="003D700B">
      <w:headerReference w:type="even" r:id="rId20"/>
      <w:headerReference w:type="default" r:id="rId21"/>
      <w:footerReference w:type="even" r:id="rId22"/>
      <w:footerReference w:type="default" r:id="rId23"/>
      <w:headerReference w:type="first" r:id="rId24"/>
      <w:footerReference w:type="first" r:id="rId25"/>
      <w:pgSz w:w="16838" w:h="11906" w:orient="landscape"/>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5B5C" w:rsidRDefault="00F05B5C">
      <w:r>
        <w:separator/>
      </w:r>
    </w:p>
  </w:endnote>
  <w:endnote w:type="continuationSeparator" w:id="0">
    <w:p w:rsidR="00F05B5C" w:rsidRDefault="00F05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D700B" w:rsidRDefault="00F05B5C" w:rsidP="003D700B">
    <w:pPr>
      <w:pBdr>
        <w:bottom w:val="single" w:sz="6" w:space="1" w:color="auto"/>
      </w:pBdr>
      <w:spacing w:before="60"/>
      <w:rPr>
        <w:rFonts w:asciiTheme="minorHAnsi" w:hAnsiTheme="minorHAnsi" w:cstheme="minorHAnsi"/>
      </w:rPr>
    </w:pPr>
  </w:p>
  <w:p w:rsidR="003D700B" w:rsidRPr="002E4D92" w:rsidRDefault="00D73168" w:rsidP="003D700B">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SOP-02-03</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Managing Security Events and Weaknesses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2.7</w:t>
    </w:r>
    <w:r w:rsidRPr="002E4D92">
      <w:rPr>
        <w:rFonts w:cstheme="minorHAnsi"/>
      </w:rPr>
      <w:fldChar w:fldCharType="end"/>
    </w:r>
    <w:r w:rsidRPr="002E4D92">
      <w:rPr>
        <w:rStyle w:val="PageNumber"/>
        <w:rFonts w:cstheme="minorHAnsi"/>
      </w:rPr>
      <w:t xml:space="preserve"> </w:t>
    </w:r>
  </w:p>
  <w:p w:rsidR="003D700B" w:rsidRPr="002E4D92" w:rsidRDefault="00D73168" w:rsidP="003D700B">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24 Apr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9</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9</w:t>
    </w:r>
    <w:r w:rsidRPr="002E4D92">
      <w:rPr>
        <w:rStyle w:val="PageNumber"/>
        <w:rFonts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F05B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F05B5C" w:rsidP="008C17CD">
    <w:pPr>
      <w:pBdr>
        <w:bottom w:val="single" w:sz="6" w:space="1" w:color="auto"/>
      </w:pBdr>
      <w:spacing w:before="60"/>
      <w:rPr>
        <w:rFonts w:asciiTheme="minorHAnsi" w:hAnsiTheme="minorHAnsi" w:cstheme="minorHAnsi"/>
      </w:rPr>
    </w:pPr>
  </w:p>
  <w:p w:rsidR="008C17CD" w:rsidRPr="00823E00" w:rsidRDefault="00D73168" w:rsidP="003D700B">
    <w:pPr>
      <w:tabs>
        <w:tab w:val="right" w:pos="13948"/>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SOP-02-03</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Managing Security Events and Weaknesses</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2.7</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D73168" w:rsidP="003D700B">
    <w:pPr>
      <w:tabs>
        <w:tab w:val="right" w:pos="13948"/>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24 Apr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13</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13</w:t>
    </w:r>
    <w:r w:rsidRPr="00823E00">
      <w:rPr>
        <w:rStyle w:val="PageNumber"/>
        <w:rFonts w:asciiTheme="minorHAnsi" w:hAnsiTheme="minorHAnsi" w:cstheme="minorHAns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F05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5B5C" w:rsidRDefault="00F05B5C">
      <w:r>
        <w:separator/>
      </w:r>
    </w:p>
  </w:footnote>
  <w:footnote w:type="continuationSeparator" w:id="0">
    <w:p w:rsidR="00F05B5C" w:rsidRDefault="00F05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73C2" w:rsidRDefault="00F05B5C" w:rsidP="00E50F6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846172" o:spid="_x0000_s2054"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0CB9" w:rsidRDefault="00F05B5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846173" o:spid="_x0000_s2053"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70CB9" w:rsidRDefault="00F05B5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846171" o:spid="_x0000_s2052"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F05B5C"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846175" o:spid="_x0000_s2051" type="#_x0000_t136" alt="" style="position:absolute;margin-left:0;margin-top:0;width:587.25pt;height:48.9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F05B5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846176" o:spid="_x0000_s2050" type="#_x0000_t136" alt="" style="position:absolute;margin-left:0;margin-top:0;width:587.25pt;height:48.9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F05B5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846174" o:spid="_x0000_s2049" type="#_x0000_t136" alt="" style="position:absolute;margin-left:0;margin-top:0;width:587.25pt;height:48.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335F"/>
    <w:multiLevelType w:val="hybridMultilevel"/>
    <w:tmpl w:val="2B827B22"/>
    <w:lvl w:ilvl="0" w:tplc="AF0855F6">
      <w:start w:val="1"/>
      <w:numFmt w:val="bullet"/>
      <w:lvlText w:val=""/>
      <w:lvlJc w:val="left"/>
      <w:pPr>
        <w:ind w:left="720" w:hanging="360"/>
      </w:pPr>
      <w:rPr>
        <w:rFonts w:ascii="Symbol" w:hAnsi="Symbol" w:hint="default"/>
      </w:rPr>
    </w:lvl>
    <w:lvl w:ilvl="1" w:tplc="503A3F2E">
      <w:start w:val="1"/>
      <w:numFmt w:val="bullet"/>
      <w:lvlText w:val="o"/>
      <w:lvlJc w:val="left"/>
      <w:pPr>
        <w:ind w:left="1440" w:hanging="360"/>
      </w:pPr>
      <w:rPr>
        <w:rFonts w:ascii="Courier New" w:hAnsi="Courier New" w:cs="Courier New" w:hint="default"/>
      </w:rPr>
    </w:lvl>
    <w:lvl w:ilvl="2" w:tplc="150E30B8" w:tentative="1">
      <w:start w:val="1"/>
      <w:numFmt w:val="bullet"/>
      <w:lvlText w:val=""/>
      <w:lvlJc w:val="left"/>
      <w:pPr>
        <w:ind w:left="2160" w:hanging="360"/>
      </w:pPr>
      <w:rPr>
        <w:rFonts w:ascii="Wingdings" w:hAnsi="Wingdings" w:hint="default"/>
      </w:rPr>
    </w:lvl>
    <w:lvl w:ilvl="3" w:tplc="484CEB9A" w:tentative="1">
      <w:start w:val="1"/>
      <w:numFmt w:val="bullet"/>
      <w:lvlText w:val=""/>
      <w:lvlJc w:val="left"/>
      <w:pPr>
        <w:ind w:left="2880" w:hanging="360"/>
      </w:pPr>
      <w:rPr>
        <w:rFonts w:ascii="Symbol" w:hAnsi="Symbol" w:hint="default"/>
      </w:rPr>
    </w:lvl>
    <w:lvl w:ilvl="4" w:tplc="2C96DBEA" w:tentative="1">
      <w:start w:val="1"/>
      <w:numFmt w:val="bullet"/>
      <w:lvlText w:val="o"/>
      <w:lvlJc w:val="left"/>
      <w:pPr>
        <w:ind w:left="3600" w:hanging="360"/>
      </w:pPr>
      <w:rPr>
        <w:rFonts w:ascii="Courier New" w:hAnsi="Courier New" w:cs="Courier New" w:hint="default"/>
      </w:rPr>
    </w:lvl>
    <w:lvl w:ilvl="5" w:tplc="3CEC8214" w:tentative="1">
      <w:start w:val="1"/>
      <w:numFmt w:val="bullet"/>
      <w:lvlText w:val=""/>
      <w:lvlJc w:val="left"/>
      <w:pPr>
        <w:ind w:left="4320" w:hanging="360"/>
      </w:pPr>
      <w:rPr>
        <w:rFonts w:ascii="Wingdings" w:hAnsi="Wingdings" w:hint="default"/>
      </w:rPr>
    </w:lvl>
    <w:lvl w:ilvl="6" w:tplc="B2167E84" w:tentative="1">
      <w:start w:val="1"/>
      <w:numFmt w:val="bullet"/>
      <w:lvlText w:val=""/>
      <w:lvlJc w:val="left"/>
      <w:pPr>
        <w:ind w:left="5040" w:hanging="360"/>
      </w:pPr>
      <w:rPr>
        <w:rFonts w:ascii="Symbol" w:hAnsi="Symbol" w:hint="default"/>
      </w:rPr>
    </w:lvl>
    <w:lvl w:ilvl="7" w:tplc="2E34EE8E" w:tentative="1">
      <w:start w:val="1"/>
      <w:numFmt w:val="bullet"/>
      <w:lvlText w:val="o"/>
      <w:lvlJc w:val="left"/>
      <w:pPr>
        <w:ind w:left="5760" w:hanging="360"/>
      </w:pPr>
      <w:rPr>
        <w:rFonts w:ascii="Courier New" w:hAnsi="Courier New" w:cs="Courier New" w:hint="default"/>
      </w:rPr>
    </w:lvl>
    <w:lvl w:ilvl="8" w:tplc="71763F0C"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876373"/>
    <w:multiLevelType w:val="hybridMultilevel"/>
    <w:tmpl w:val="178CB8B8"/>
    <w:lvl w:ilvl="0" w:tplc="C1FECEB4">
      <w:start w:val="1"/>
      <w:numFmt w:val="bullet"/>
      <w:lvlText w:val=""/>
      <w:lvlJc w:val="left"/>
      <w:pPr>
        <w:ind w:left="720" w:hanging="360"/>
      </w:pPr>
      <w:rPr>
        <w:rFonts w:ascii="Symbol" w:hAnsi="Symbol" w:hint="default"/>
      </w:rPr>
    </w:lvl>
    <w:lvl w:ilvl="1" w:tplc="54B2955C" w:tentative="1">
      <w:start w:val="1"/>
      <w:numFmt w:val="bullet"/>
      <w:lvlText w:val="o"/>
      <w:lvlJc w:val="left"/>
      <w:pPr>
        <w:ind w:left="1440" w:hanging="360"/>
      </w:pPr>
      <w:rPr>
        <w:rFonts w:ascii="Courier New" w:hAnsi="Courier New" w:cs="Courier New" w:hint="default"/>
      </w:rPr>
    </w:lvl>
    <w:lvl w:ilvl="2" w:tplc="975C425A" w:tentative="1">
      <w:start w:val="1"/>
      <w:numFmt w:val="bullet"/>
      <w:lvlText w:val=""/>
      <w:lvlJc w:val="left"/>
      <w:pPr>
        <w:ind w:left="2160" w:hanging="360"/>
      </w:pPr>
      <w:rPr>
        <w:rFonts w:ascii="Wingdings" w:hAnsi="Wingdings" w:hint="default"/>
      </w:rPr>
    </w:lvl>
    <w:lvl w:ilvl="3" w:tplc="FC608C26" w:tentative="1">
      <w:start w:val="1"/>
      <w:numFmt w:val="bullet"/>
      <w:lvlText w:val=""/>
      <w:lvlJc w:val="left"/>
      <w:pPr>
        <w:ind w:left="2880" w:hanging="360"/>
      </w:pPr>
      <w:rPr>
        <w:rFonts w:ascii="Symbol" w:hAnsi="Symbol" w:hint="default"/>
      </w:rPr>
    </w:lvl>
    <w:lvl w:ilvl="4" w:tplc="0B26FB56" w:tentative="1">
      <w:start w:val="1"/>
      <w:numFmt w:val="bullet"/>
      <w:lvlText w:val="o"/>
      <w:lvlJc w:val="left"/>
      <w:pPr>
        <w:ind w:left="3600" w:hanging="360"/>
      </w:pPr>
      <w:rPr>
        <w:rFonts w:ascii="Courier New" w:hAnsi="Courier New" w:cs="Courier New" w:hint="default"/>
      </w:rPr>
    </w:lvl>
    <w:lvl w:ilvl="5" w:tplc="990AA664" w:tentative="1">
      <w:start w:val="1"/>
      <w:numFmt w:val="bullet"/>
      <w:lvlText w:val=""/>
      <w:lvlJc w:val="left"/>
      <w:pPr>
        <w:ind w:left="4320" w:hanging="360"/>
      </w:pPr>
      <w:rPr>
        <w:rFonts w:ascii="Wingdings" w:hAnsi="Wingdings" w:hint="default"/>
      </w:rPr>
    </w:lvl>
    <w:lvl w:ilvl="6" w:tplc="B9A0D464" w:tentative="1">
      <w:start w:val="1"/>
      <w:numFmt w:val="bullet"/>
      <w:lvlText w:val=""/>
      <w:lvlJc w:val="left"/>
      <w:pPr>
        <w:ind w:left="5040" w:hanging="360"/>
      </w:pPr>
      <w:rPr>
        <w:rFonts w:ascii="Symbol" w:hAnsi="Symbol" w:hint="default"/>
      </w:rPr>
    </w:lvl>
    <w:lvl w:ilvl="7" w:tplc="946EEDCC" w:tentative="1">
      <w:start w:val="1"/>
      <w:numFmt w:val="bullet"/>
      <w:lvlText w:val="o"/>
      <w:lvlJc w:val="left"/>
      <w:pPr>
        <w:ind w:left="5760" w:hanging="360"/>
      </w:pPr>
      <w:rPr>
        <w:rFonts w:ascii="Courier New" w:hAnsi="Courier New" w:cs="Courier New" w:hint="default"/>
      </w:rPr>
    </w:lvl>
    <w:lvl w:ilvl="8" w:tplc="5D620BF0" w:tentative="1">
      <w:start w:val="1"/>
      <w:numFmt w:val="bullet"/>
      <w:lvlText w:val=""/>
      <w:lvlJc w:val="left"/>
      <w:pPr>
        <w:ind w:left="6480" w:hanging="360"/>
      </w:pPr>
      <w:rPr>
        <w:rFonts w:ascii="Wingdings" w:hAnsi="Wingdings" w:hint="default"/>
      </w:rPr>
    </w:lvl>
  </w:abstractNum>
  <w:abstractNum w:abstractNumId="3" w15:restartNumberingAfterBreak="0">
    <w:nsid w:val="2E1D426F"/>
    <w:multiLevelType w:val="hybridMultilevel"/>
    <w:tmpl w:val="BC267C0E"/>
    <w:lvl w:ilvl="0" w:tplc="82B24E72">
      <w:start w:val="1"/>
      <w:numFmt w:val="bullet"/>
      <w:lvlText w:val="-"/>
      <w:lvlJc w:val="left"/>
      <w:pPr>
        <w:ind w:left="720" w:hanging="360"/>
      </w:pPr>
      <w:rPr>
        <w:rFonts w:ascii="Arial" w:eastAsia="Times New Roman" w:hAnsi="Arial" w:cs="Arial" w:hint="default"/>
      </w:rPr>
    </w:lvl>
    <w:lvl w:ilvl="1" w:tplc="BA249CC4" w:tentative="1">
      <w:start w:val="1"/>
      <w:numFmt w:val="bullet"/>
      <w:lvlText w:val="o"/>
      <w:lvlJc w:val="left"/>
      <w:pPr>
        <w:ind w:left="1440" w:hanging="360"/>
      </w:pPr>
      <w:rPr>
        <w:rFonts w:ascii="Courier New" w:hAnsi="Courier New" w:cs="Courier New" w:hint="default"/>
      </w:rPr>
    </w:lvl>
    <w:lvl w:ilvl="2" w:tplc="ABF6AB18" w:tentative="1">
      <w:start w:val="1"/>
      <w:numFmt w:val="bullet"/>
      <w:lvlText w:val=""/>
      <w:lvlJc w:val="left"/>
      <w:pPr>
        <w:ind w:left="2160" w:hanging="360"/>
      </w:pPr>
      <w:rPr>
        <w:rFonts w:ascii="Wingdings" w:hAnsi="Wingdings" w:hint="default"/>
      </w:rPr>
    </w:lvl>
    <w:lvl w:ilvl="3" w:tplc="397A8372" w:tentative="1">
      <w:start w:val="1"/>
      <w:numFmt w:val="bullet"/>
      <w:lvlText w:val=""/>
      <w:lvlJc w:val="left"/>
      <w:pPr>
        <w:ind w:left="2880" w:hanging="360"/>
      </w:pPr>
      <w:rPr>
        <w:rFonts w:ascii="Symbol" w:hAnsi="Symbol" w:hint="default"/>
      </w:rPr>
    </w:lvl>
    <w:lvl w:ilvl="4" w:tplc="4DD69396" w:tentative="1">
      <w:start w:val="1"/>
      <w:numFmt w:val="bullet"/>
      <w:lvlText w:val="o"/>
      <w:lvlJc w:val="left"/>
      <w:pPr>
        <w:ind w:left="3600" w:hanging="360"/>
      </w:pPr>
      <w:rPr>
        <w:rFonts w:ascii="Courier New" w:hAnsi="Courier New" w:cs="Courier New" w:hint="default"/>
      </w:rPr>
    </w:lvl>
    <w:lvl w:ilvl="5" w:tplc="47D63A10" w:tentative="1">
      <w:start w:val="1"/>
      <w:numFmt w:val="bullet"/>
      <w:lvlText w:val=""/>
      <w:lvlJc w:val="left"/>
      <w:pPr>
        <w:ind w:left="4320" w:hanging="360"/>
      </w:pPr>
      <w:rPr>
        <w:rFonts w:ascii="Wingdings" w:hAnsi="Wingdings" w:hint="default"/>
      </w:rPr>
    </w:lvl>
    <w:lvl w:ilvl="6" w:tplc="C792C508" w:tentative="1">
      <w:start w:val="1"/>
      <w:numFmt w:val="bullet"/>
      <w:lvlText w:val=""/>
      <w:lvlJc w:val="left"/>
      <w:pPr>
        <w:ind w:left="5040" w:hanging="360"/>
      </w:pPr>
      <w:rPr>
        <w:rFonts w:ascii="Symbol" w:hAnsi="Symbol" w:hint="default"/>
      </w:rPr>
    </w:lvl>
    <w:lvl w:ilvl="7" w:tplc="745673FC" w:tentative="1">
      <w:start w:val="1"/>
      <w:numFmt w:val="bullet"/>
      <w:lvlText w:val="o"/>
      <w:lvlJc w:val="left"/>
      <w:pPr>
        <w:ind w:left="5760" w:hanging="360"/>
      </w:pPr>
      <w:rPr>
        <w:rFonts w:ascii="Courier New" w:hAnsi="Courier New" w:cs="Courier New" w:hint="default"/>
      </w:rPr>
    </w:lvl>
    <w:lvl w:ilvl="8" w:tplc="03B232CA" w:tentative="1">
      <w:start w:val="1"/>
      <w:numFmt w:val="bullet"/>
      <w:lvlText w:val=""/>
      <w:lvlJc w:val="left"/>
      <w:pPr>
        <w:ind w:left="6480" w:hanging="360"/>
      </w:pPr>
      <w:rPr>
        <w:rFonts w:ascii="Wingdings" w:hAnsi="Wingdings" w:hint="default"/>
      </w:rPr>
    </w:lvl>
  </w:abstractNum>
  <w:abstractNum w:abstractNumId="4" w15:restartNumberingAfterBreak="0">
    <w:nsid w:val="2F1D1C4F"/>
    <w:multiLevelType w:val="hybridMultilevel"/>
    <w:tmpl w:val="92789D3C"/>
    <w:lvl w:ilvl="0" w:tplc="0158062E">
      <w:start w:val="1"/>
      <w:numFmt w:val="bullet"/>
      <w:lvlText w:val=""/>
      <w:lvlJc w:val="left"/>
      <w:pPr>
        <w:ind w:left="720" w:hanging="360"/>
      </w:pPr>
      <w:rPr>
        <w:rFonts w:ascii="Symbol" w:hAnsi="Symbol" w:hint="default"/>
      </w:rPr>
    </w:lvl>
    <w:lvl w:ilvl="1" w:tplc="9686FDB4" w:tentative="1">
      <w:start w:val="1"/>
      <w:numFmt w:val="bullet"/>
      <w:lvlText w:val="o"/>
      <w:lvlJc w:val="left"/>
      <w:pPr>
        <w:ind w:left="1440" w:hanging="360"/>
      </w:pPr>
      <w:rPr>
        <w:rFonts w:ascii="Courier New" w:hAnsi="Courier New" w:cs="Courier New" w:hint="default"/>
      </w:rPr>
    </w:lvl>
    <w:lvl w:ilvl="2" w:tplc="77C2B760" w:tentative="1">
      <w:start w:val="1"/>
      <w:numFmt w:val="bullet"/>
      <w:lvlText w:val=""/>
      <w:lvlJc w:val="left"/>
      <w:pPr>
        <w:ind w:left="2160" w:hanging="360"/>
      </w:pPr>
      <w:rPr>
        <w:rFonts w:ascii="Wingdings" w:hAnsi="Wingdings" w:hint="default"/>
      </w:rPr>
    </w:lvl>
    <w:lvl w:ilvl="3" w:tplc="89CA6F8E" w:tentative="1">
      <w:start w:val="1"/>
      <w:numFmt w:val="bullet"/>
      <w:lvlText w:val=""/>
      <w:lvlJc w:val="left"/>
      <w:pPr>
        <w:ind w:left="2880" w:hanging="360"/>
      </w:pPr>
      <w:rPr>
        <w:rFonts w:ascii="Symbol" w:hAnsi="Symbol" w:hint="default"/>
      </w:rPr>
    </w:lvl>
    <w:lvl w:ilvl="4" w:tplc="2A6A6BB0" w:tentative="1">
      <w:start w:val="1"/>
      <w:numFmt w:val="bullet"/>
      <w:lvlText w:val="o"/>
      <w:lvlJc w:val="left"/>
      <w:pPr>
        <w:ind w:left="3600" w:hanging="360"/>
      </w:pPr>
      <w:rPr>
        <w:rFonts w:ascii="Courier New" w:hAnsi="Courier New" w:cs="Courier New" w:hint="default"/>
      </w:rPr>
    </w:lvl>
    <w:lvl w:ilvl="5" w:tplc="9F0883A6" w:tentative="1">
      <w:start w:val="1"/>
      <w:numFmt w:val="bullet"/>
      <w:lvlText w:val=""/>
      <w:lvlJc w:val="left"/>
      <w:pPr>
        <w:ind w:left="4320" w:hanging="360"/>
      </w:pPr>
      <w:rPr>
        <w:rFonts w:ascii="Wingdings" w:hAnsi="Wingdings" w:hint="default"/>
      </w:rPr>
    </w:lvl>
    <w:lvl w:ilvl="6" w:tplc="D6F06EB4" w:tentative="1">
      <w:start w:val="1"/>
      <w:numFmt w:val="bullet"/>
      <w:lvlText w:val=""/>
      <w:lvlJc w:val="left"/>
      <w:pPr>
        <w:ind w:left="5040" w:hanging="360"/>
      </w:pPr>
      <w:rPr>
        <w:rFonts w:ascii="Symbol" w:hAnsi="Symbol" w:hint="default"/>
      </w:rPr>
    </w:lvl>
    <w:lvl w:ilvl="7" w:tplc="7CFC39A4" w:tentative="1">
      <w:start w:val="1"/>
      <w:numFmt w:val="bullet"/>
      <w:lvlText w:val="o"/>
      <w:lvlJc w:val="left"/>
      <w:pPr>
        <w:ind w:left="5760" w:hanging="360"/>
      </w:pPr>
      <w:rPr>
        <w:rFonts w:ascii="Courier New" w:hAnsi="Courier New" w:cs="Courier New" w:hint="default"/>
      </w:rPr>
    </w:lvl>
    <w:lvl w:ilvl="8" w:tplc="A6B29778" w:tentative="1">
      <w:start w:val="1"/>
      <w:numFmt w:val="bullet"/>
      <w:lvlText w:val=""/>
      <w:lvlJc w:val="left"/>
      <w:pPr>
        <w:ind w:left="6480" w:hanging="360"/>
      </w:pPr>
      <w:rPr>
        <w:rFonts w:ascii="Wingdings" w:hAnsi="Wingdings" w:hint="default"/>
      </w:rPr>
    </w:lvl>
  </w:abstractNum>
  <w:abstractNum w:abstractNumId="5" w15:restartNumberingAfterBreak="0">
    <w:nsid w:val="3B5A34E2"/>
    <w:multiLevelType w:val="hybridMultilevel"/>
    <w:tmpl w:val="C19E5E3A"/>
    <w:lvl w:ilvl="0" w:tplc="71BA86D0">
      <w:start w:val="5"/>
      <w:numFmt w:val="bullet"/>
      <w:lvlText w:val="-"/>
      <w:lvlJc w:val="left"/>
      <w:pPr>
        <w:ind w:left="720" w:hanging="360"/>
      </w:pPr>
      <w:rPr>
        <w:rFonts w:ascii="Arial" w:eastAsia="Times New Roman" w:hAnsi="Arial" w:cs="Arial" w:hint="default"/>
      </w:rPr>
    </w:lvl>
    <w:lvl w:ilvl="1" w:tplc="6E869104" w:tentative="1">
      <w:start w:val="1"/>
      <w:numFmt w:val="bullet"/>
      <w:lvlText w:val="o"/>
      <w:lvlJc w:val="left"/>
      <w:pPr>
        <w:ind w:left="1440" w:hanging="360"/>
      </w:pPr>
      <w:rPr>
        <w:rFonts w:ascii="Courier New" w:hAnsi="Courier New" w:cs="Courier New" w:hint="default"/>
      </w:rPr>
    </w:lvl>
    <w:lvl w:ilvl="2" w:tplc="DE3085F2" w:tentative="1">
      <w:start w:val="1"/>
      <w:numFmt w:val="bullet"/>
      <w:lvlText w:val=""/>
      <w:lvlJc w:val="left"/>
      <w:pPr>
        <w:ind w:left="2160" w:hanging="360"/>
      </w:pPr>
      <w:rPr>
        <w:rFonts w:ascii="Wingdings" w:hAnsi="Wingdings" w:hint="default"/>
      </w:rPr>
    </w:lvl>
    <w:lvl w:ilvl="3" w:tplc="35B4C0E2" w:tentative="1">
      <w:start w:val="1"/>
      <w:numFmt w:val="bullet"/>
      <w:lvlText w:val=""/>
      <w:lvlJc w:val="left"/>
      <w:pPr>
        <w:ind w:left="2880" w:hanging="360"/>
      </w:pPr>
      <w:rPr>
        <w:rFonts w:ascii="Symbol" w:hAnsi="Symbol" w:hint="default"/>
      </w:rPr>
    </w:lvl>
    <w:lvl w:ilvl="4" w:tplc="4FE45DDA" w:tentative="1">
      <w:start w:val="1"/>
      <w:numFmt w:val="bullet"/>
      <w:lvlText w:val="o"/>
      <w:lvlJc w:val="left"/>
      <w:pPr>
        <w:ind w:left="3600" w:hanging="360"/>
      </w:pPr>
      <w:rPr>
        <w:rFonts w:ascii="Courier New" w:hAnsi="Courier New" w:cs="Courier New" w:hint="default"/>
      </w:rPr>
    </w:lvl>
    <w:lvl w:ilvl="5" w:tplc="E3387836" w:tentative="1">
      <w:start w:val="1"/>
      <w:numFmt w:val="bullet"/>
      <w:lvlText w:val=""/>
      <w:lvlJc w:val="left"/>
      <w:pPr>
        <w:ind w:left="4320" w:hanging="360"/>
      </w:pPr>
      <w:rPr>
        <w:rFonts w:ascii="Wingdings" w:hAnsi="Wingdings" w:hint="default"/>
      </w:rPr>
    </w:lvl>
    <w:lvl w:ilvl="6" w:tplc="41B6604E" w:tentative="1">
      <w:start w:val="1"/>
      <w:numFmt w:val="bullet"/>
      <w:lvlText w:val=""/>
      <w:lvlJc w:val="left"/>
      <w:pPr>
        <w:ind w:left="5040" w:hanging="360"/>
      </w:pPr>
      <w:rPr>
        <w:rFonts w:ascii="Symbol" w:hAnsi="Symbol" w:hint="default"/>
      </w:rPr>
    </w:lvl>
    <w:lvl w:ilvl="7" w:tplc="E690D994" w:tentative="1">
      <w:start w:val="1"/>
      <w:numFmt w:val="bullet"/>
      <w:lvlText w:val="o"/>
      <w:lvlJc w:val="left"/>
      <w:pPr>
        <w:ind w:left="5760" w:hanging="360"/>
      </w:pPr>
      <w:rPr>
        <w:rFonts w:ascii="Courier New" w:hAnsi="Courier New" w:cs="Courier New" w:hint="default"/>
      </w:rPr>
    </w:lvl>
    <w:lvl w:ilvl="8" w:tplc="9232127C" w:tentative="1">
      <w:start w:val="1"/>
      <w:numFmt w:val="bullet"/>
      <w:lvlText w:val=""/>
      <w:lvlJc w:val="left"/>
      <w:pPr>
        <w:ind w:left="6480" w:hanging="360"/>
      </w:pPr>
      <w:rPr>
        <w:rFonts w:ascii="Wingdings" w:hAnsi="Wingdings" w:hint="default"/>
      </w:rPr>
    </w:lvl>
  </w:abstractNum>
  <w:abstractNum w:abstractNumId="6" w15:restartNumberingAfterBreak="0">
    <w:nsid w:val="42527614"/>
    <w:multiLevelType w:val="hybridMultilevel"/>
    <w:tmpl w:val="74D0C46E"/>
    <w:lvl w:ilvl="0" w:tplc="24403274">
      <w:start w:val="1"/>
      <w:numFmt w:val="decimal"/>
      <w:pStyle w:val="Heading2"/>
      <w:lvlText w:val="%1."/>
      <w:lvlJc w:val="left"/>
      <w:pPr>
        <w:ind w:left="5760" w:hanging="360"/>
      </w:pPr>
    </w:lvl>
    <w:lvl w:ilvl="1" w:tplc="E1181A9E" w:tentative="1">
      <w:start w:val="1"/>
      <w:numFmt w:val="lowerLetter"/>
      <w:lvlText w:val="%2."/>
      <w:lvlJc w:val="left"/>
      <w:pPr>
        <w:ind w:left="6480" w:hanging="360"/>
      </w:pPr>
    </w:lvl>
    <w:lvl w:ilvl="2" w:tplc="813A1B66" w:tentative="1">
      <w:start w:val="1"/>
      <w:numFmt w:val="lowerRoman"/>
      <w:lvlText w:val="%3."/>
      <w:lvlJc w:val="right"/>
      <w:pPr>
        <w:ind w:left="7200" w:hanging="180"/>
      </w:pPr>
    </w:lvl>
    <w:lvl w:ilvl="3" w:tplc="9B3CF734" w:tentative="1">
      <w:start w:val="1"/>
      <w:numFmt w:val="decimal"/>
      <w:lvlText w:val="%4."/>
      <w:lvlJc w:val="left"/>
      <w:pPr>
        <w:ind w:left="7920" w:hanging="360"/>
      </w:pPr>
    </w:lvl>
    <w:lvl w:ilvl="4" w:tplc="48205EE8" w:tentative="1">
      <w:start w:val="1"/>
      <w:numFmt w:val="lowerLetter"/>
      <w:lvlText w:val="%5."/>
      <w:lvlJc w:val="left"/>
      <w:pPr>
        <w:ind w:left="8640" w:hanging="360"/>
      </w:pPr>
    </w:lvl>
    <w:lvl w:ilvl="5" w:tplc="45E25888" w:tentative="1">
      <w:start w:val="1"/>
      <w:numFmt w:val="lowerRoman"/>
      <w:lvlText w:val="%6."/>
      <w:lvlJc w:val="right"/>
      <w:pPr>
        <w:ind w:left="9360" w:hanging="180"/>
      </w:pPr>
    </w:lvl>
    <w:lvl w:ilvl="6" w:tplc="E07C9E5E" w:tentative="1">
      <w:start w:val="1"/>
      <w:numFmt w:val="decimal"/>
      <w:lvlText w:val="%7."/>
      <w:lvlJc w:val="left"/>
      <w:pPr>
        <w:ind w:left="10080" w:hanging="360"/>
      </w:pPr>
    </w:lvl>
    <w:lvl w:ilvl="7" w:tplc="0EA66A36" w:tentative="1">
      <w:start w:val="1"/>
      <w:numFmt w:val="lowerLetter"/>
      <w:lvlText w:val="%8."/>
      <w:lvlJc w:val="left"/>
      <w:pPr>
        <w:ind w:left="10800" w:hanging="360"/>
      </w:pPr>
    </w:lvl>
    <w:lvl w:ilvl="8" w:tplc="FFBA3042" w:tentative="1">
      <w:start w:val="1"/>
      <w:numFmt w:val="lowerRoman"/>
      <w:lvlText w:val="%9."/>
      <w:lvlJc w:val="right"/>
      <w:pPr>
        <w:ind w:left="11520" w:hanging="180"/>
      </w:pPr>
    </w:lvl>
  </w:abstractNum>
  <w:abstractNum w:abstractNumId="7" w15:restartNumberingAfterBreak="0">
    <w:nsid w:val="465572C6"/>
    <w:multiLevelType w:val="hybridMultilevel"/>
    <w:tmpl w:val="E66A2990"/>
    <w:lvl w:ilvl="0" w:tplc="00AAD2CA">
      <w:start w:val="1"/>
      <w:numFmt w:val="bullet"/>
      <w:lvlText w:val=""/>
      <w:lvlJc w:val="left"/>
      <w:pPr>
        <w:ind w:left="720" w:hanging="360"/>
      </w:pPr>
      <w:rPr>
        <w:rFonts w:ascii="Symbol" w:hAnsi="Symbol" w:hint="default"/>
      </w:rPr>
    </w:lvl>
    <w:lvl w:ilvl="1" w:tplc="3446B01E" w:tentative="1">
      <w:start w:val="1"/>
      <w:numFmt w:val="bullet"/>
      <w:lvlText w:val="o"/>
      <w:lvlJc w:val="left"/>
      <w:pPr>
        <w:ind w:left="1440" w:hanging="360"/>
      </w:pPr>
      <w:rPr>
        <w:rFonts w:ascii="Courier New" w:hAnsi="Courier New" w:hint="default"/>
      </w:rPr>
    </w:lvl>
    <w:lvl w:ilvl="2" w:tplc="F3BCF6D4" w:tentative="1">
      <w:start w:val="1"/>
      <w:numFmt w:val="bullet"/>
      <w:lvlText w:val=""/>
      <w:lvlJc w:val="left"/>
      <w:pPr>
        <w:ind w:left="2160" w:hanging="360"/>
      </w:pPr>
      <w:rPr>
        <w:rFonts w:ascii="Wingdings" w:hAnsi="Wingdings" w:hint="default"/>
      </w:rPr>
    </w:lvl>
    <w:lvl w:ilvl="3" w:tplc="BC164E66" w:tentative="1">
      <w:start w:val="1"/>
      <w:numFmt w:val="bullet"/>
      <w:lvlText w:val=""/>
      <w:lvlJc w:val="left"/>
      <w:pPr>
        <w:ind w:left="2880" w:hanging="360"/>
      </w:pPr>
      <w:rPr>
        <w:rFonts w:ascii="Symbol" w:hAnsi="Symbol" w:hint="default"/>
      </w:rPr>
    </w:lvl>
    <w:lvl w:ilvl="4" w:tplc="ED903368" w:tentative="1">
      <w:start w:val="1"/>
      <w:numFmt w:val="bullet"/>
      <w:lvlText w:val="o"/>
      <w:lvlJc w:val="left"/>
      <w:pPr>
        <w:ind w:left="3600" w:hanging="360"/>
      </w:pPr>
      <w:rPr>
        <w:rFonts w:ascii="Courier New" w:hAnsi="Courier New" w:hint="default"/>
      </w:rPr>
    </w:lvl>
    <w:lvl w:ilvl="5" w:tplc="73CA9B3A" w:tentative="1">
      <w:start w:val="1"/>
      <w:numFmt w:val="bullet"/>
      <w:lvlText w:val=""/>
      <w:lvlJc w:val="left"/>
      <w:pPr>
        <w:ind w:left="4320" w:hanging="360"/>
      </w:pPr>
      <w:rPr>
        <w:rFonts w:ascii="Wingdings" w:hAnsi="Wingdings" w:hint="default"/>
      </w:rPr>
    </w:lvl>
    <w:lvl w:ilvl="6" w:tplc="80E8D86A" w:tentative="1">
      <w:start w:val="1"/>
      <w:numFmt w:val="bullet"/>
      <w:lvlText w:val=""/>
      <w:lvlJc w:val="left"/>
      <w:pPr>
        <w:ind w:left="5040" w:hanging="360"/>
      </w:pPr>
      <w:rPr>
        <w:rFonts w:ascii="Symbol" w:hAnsi="Symbol" w:hint="default"/>
      </w:rPr>
    </w:lvl>
    <w:lvl w:ilvl="7" w:tplc="0D606CF2" w:tentative="1">
      <w:start w:val="1"/>
      <w:numFmt w:val="bullet"/>
      <w:lvlText w:val="o"/>
      <w:lvlJc w:val="left"/>
      <w:pPr>
        <w:ind w:left="5760" w:hanging="360"/>
      </w:pPr>
      <w:rPr>
        <w:rFonts w:ascii="Courier New" w:hAnsi="Courier New" w:hint="default"/>
      </w:rPr>
    </w:lvl>
    <w:lvl w:ilvl="8" w:tplc="E4E601F2" w:tentative="1">
      <w:start w:val="1"/>
      <w:numFmt w:val="bullet"/>
      <w:lvlText w:val=""/>
      <w:lvlJc w:val="left"/>
      <w:pPr>
        <w:ind w:left="6480" w:hanging="360"/>
      </w:pPr>
      <w:rPr>
        <w:rFonts w:ascii="Wingdings" w:hAnsi="Wingdings" w:hint="default"/>
      </w:rPr>
    </w:lvl>
  </w:abstractNum>
  <w:abstractNum w:abstractNumId="8" w15:restartNumberingAfterBreak="0">
    <w:nsid w:val="488C5EA8"/>
    <w:multiLevelType w:val="hybridMultilevel"/>
    <w:tmpl w:val="C2F6EC74"/>
    <w:lvl w:ilvl="0" w:tplc="D152F60C">
      <w:start w:val="3"/>
      <w:numFmt w:val="bullet"/>
      <w:lvlText w:val="-"/>
      <w:lvlJc w:val="left"/>
      <w:pPr>
        <w:ind w:left="720" w:hanging="360"/>
      </w:pPr>
      <w:rPr>
        <w:rFonts w:ascii="Arial" w:eastAsia="Times New Roman" w:hAnsi="Arial" w:cs="Arial" w:hint="default"/>
      </w:rPr>
    </w:lvl>
    <w:lvl w:ilvl="1" w:tplc="D8027F24" w:tentative="1">
      <w:start w:val="1"/>
      <w:numFmt w:val="bullet"/>
      <w:lvlText w:val="o"/>
      <w:lvlJc w:val="left"/>
      <w:pPr>
        <w:ind w:left="1440" w:hanging="360"/>
      </w:pPr>
      <w:rPr>
        <w:rFonts w:ascii="Courier New" w:hAnsi="Courier New" w:cs="Courier New" w:hint="default"/>
      </w:rPr>
    </w:lvl>
    <w:lvl w:ilvl="2" w:tplc="078CE2C6" w:tentative="1">
      <w:start w:val="1"/>
      <w:numFmt w:val="bullet"/>
      <w:lvlText w:val=""/>
      <w:lvlJc w:val="left"/>
      <w:pPr>
        <w:ind w:left="2160" w:hanging="360"/>
      </w:pPr>
      <w:rPr>
        <w:rFonts w:ascii="Wingdings" w:hAnsi="Wingdings" w:hint="default"/>
      </w:rPr>
    </w:lvl>
    <w:lvl w:ilvl="3" w:tplc="68CA6D68" w:tentative="1">
      <w:start w:val="1"/>
      <w:numFmt w:val="bullet"/>
      <w:lvlText w:val=""/>
      <w:lvlJc w:val="left"/>
      <w:pPr>
        <w:ind w:left="2880" w:hanging="360"/>
      </w:pPr>
      <w:rPr>
        <w:rFonts w:ascii="Symbol" w:hAnsi="Symbol" w:hint="default"/>
      </w:rPr>
    </w:lvl>
    <w:lvl w:ilvl="4" w:tplc="CB9E0AE6" w:tentative="1">
      <w:start w:val="1"/>
      <w:numFmt w:val="bullet"/>
      <w:lvlText w:val="o"/>
      <w:lvlJc w:val="left"/>
      <w:pPr>
        <w:ind w:left="3600" w:hanging="360"/>
      </w:pPr>
      <w:rPr>
        <w:rFonts w:ascii="Courier New" w:hAnsi="Courier New" w:cs="Courier New" w:hint="default"/>
      </w:rPr>
    </w:lvl>
    <w:lvl w:ilvl="5" w:tplc="8D18681E" w:tentative="1">
      <w:start w:val="1"/>
      <w:numFmt w:val="bullet"/>
      <w:lvlText w:val=""/>
      <w:lvlJc w:val="left"/>
      <w:pPr>
        <w:ind w:left="4320" w:hanging="360"/>
      </w:pPr>
      <w:rPr>
        <w:rFonts w:ascii="Wingdings" w:hAnsi="Wingdings" w:hint="default"/>
      </w:rPr>
    </w:lvl>
    <w:lvl w:ilvl="6" w:tplc="E4226960" w:tentative="1">
      <w:start w:val="1"/>
      <w:numFmt w:val="bullet"/>
      <w:lvlText w:val=""/>
      <w:lvlJc w:val="left"/>
      <w:pPr>
        <w:ind w:left="5040" w:hanging="360"/>
      </w:pPr>
      <w:rPr>
        <w:rFonts w:ascii="Symbol" w:hAnsi="Symbol" w:hint="default"/>
      </w:rPr>
    </w:lvl>
    <w:lvl w:ilvl="7" w:tplc="0CDC9D70" w:tentative="1">
      <w:start w:val="1"/>
      <w:numFmt w:val="bullet"/>
      <w:lvlText w:val="o"/>
      <w:lvlJc w:val="left"/>
      <w:pPr>
        <w:ind w:left="5760" w:hanging="360"/>
      </w:pPr>
      <w:rPr>
        <w:rFonts w:ascii="Courier New" w:hAnsi="Courier New" w:cs="Courier New" w:hint="default"/>
      </w:rPr>
    </w:lvl>
    <w:lvl w:ilvl="8" w:tplc="6B9E2D6C" w:tentative="1">
      <w:start w:val="1"/>
      <w:numFmt w:val="bullet"/>
      <w:lvlText w:val=""/>
      <w:lvlJc w:val="left"/>
      <w:pPr>
        <w:ind w:left="6480" w:hanging="360"/>
      </w:pPr>
      <w:rPr>
        <w:rFonts w:ascii="Wingdings" w:hAnsi="Wingdings" w:hint="default"/>
      </w:rPr>
    </w:lvl>
  </w:abstractNum>
  <w:abstractNum w:abstractNumId="9" w15:restartNumberingAfterBreak="0">
    <w:nsid w:val="49C54A07"/>
    <w:multiLevelType w:val="hybridMultilevel"/>
    <w:tmpl w:val="D4346894"/>
    <w:lvl w:ilvl="0" w:tplc="83FE1860">
      <w:start w:val="1"/>
      <w:numFmt w:val="decimal"/>
      <w:lvlText w:val="%1."/>
      <w:lvlJc w:val="left"/>
      <w:pPr>
        <w:ind w:left="720" w:hanging="360"/>
      </w:pPr>
      <w:rPr>
        <w:rFonts w:hint="default"/>
      </w:rPr>
    </w:lvl>
    <w:lvl w:ilvl="1" w:tplc="7BD061CC" w:tentative="1">
      <w:start w:val="1"/>
      <w:numFmt w:val="lowerLetter"/>
      <w:lvlText w:val="%2."/>
      <w:lvlJc w:val="left"/>
      <w:pPr>
        <w:ind w:left="1440" w:hanging="360"/>
      </w:pPr>
    </w:lvl>
    <w:lvl w:ilvl="2" w:tplc="2450603C" w:tentative="1">
      <w:start w:val="1"/>
      <w:numFmt w:val="lowerRoman"/>
      <w:lvlText w:val="%3."/>
      <w:lvlJc w:val="right"/>
      <w:pPr>
        <w:ind w:left="2160" w:hanging="180"/>
      </w:pPr>
    </w:lvl>
    <w:lvl w:ilvl="3" w:tplc="55FC29D6" w:tentative="1">
      <w:start w:val="1"/>
      <w:numFmt w:val="decimal"/>
      <w:lvlText w:val="%4."/>
      <w:lvlJc w:val="left"/>
      <w:pPr>
        <w:ind w:left="2880" w:hanging="360"/>
      </w:pPr>
    </w:lvl>
    <w:lvl w:ilvl="4" w:tplc="4A8AF6A8" w:tentative="1">
      <w:start w:val="1"/>
      <w:numFmt w:val="lowerLetter"/>
      <w:lvlText w:val="%5."/>
      <w:lvlJc w:val="left"/>
      <w:pPr>
        <w:ind w:left="3600" w:hanging="360"/>
      </w:pPr>
    </w:lvl>
    <w:lvl w:ilvl="5" w:tplc="356245AE" w:tentative="1">
      <w:start w:val="1"/>
      <w:numFmt w:val="lowerRoman"/>
      <w:lvlText w:val="%6."/>
      <w:lvlJc w:val="right"/>
      <w:pPr>
        <w:ind w:left="4320" w:hanging="180"/>
      </w:pPr>
    </w:lvl>
    <w:lvl w:ilvl="6" w:tplc="759EBECC" w:tentative="1">
      <w:start w:val="1"/>
      <w:numFmt w:val="decimal"/>
      <w:lvlText w:val="%7."/>
      <w:lvlJc w:val="left"/>
      <w:pPr>
        <w:ind w:left="5040" w:hanging="360"/>
      </w:pPr>
    </w:lvl>
    <w:lvl w:ilvl="7" w:tplc="492EB644" w:tentative="1">
      <w:start w:val="1"/>
      <w:numFmt w:val="lowerLetter"/>
      <w:lvlText w:val="%8."/>
      <w:lvlJc w:val="left"/>
      <w:pPr>
        <w:ind w:left="5760" w:hanging="360"/>
      </w:pPr>
    </w:lvl>
    <w:lvl w:ilvl="8" w:tplc="D69CC8C4" w:tentative="1">
      <w:start w:val="1"/>
      <w:numFmt w:val="lowerRoman"/>
      <w:lvlText w:val="%9."/>
      <w:lvlJc w:val="right"/>
      <w:pPr>
        <w:ind w:left="6480" w:hanging="180"/>
      </w:pPr>
    </w:lvl>
  </w:abstractNum>
  <w:abstractNum w:abstractNumId="10" w15:restartNumberingAfterBreak="0">
    <w:nsid w:val="4A0267FA"/>
    <w:multiLevelType w:val="hybridMultilevel"/>
    <w:tmpl w:val="D2F472FA"/>
    <w:lvl w:ilvl="0" w:tplc="81D08A80">
      <w:start w:val="3"/>
      <w:numFmt w:val="bullet"/>
      <w:pStyle w:val="ListParagraph"/>
      <w:lvlText w:val="-"/>
      <w:lvlJc w:val="left"/>
      <w:pPr>
        <w:ind w:left="720" w:hanging="360"/>
      </w:pPr>
      <w:rPr>
        <w:rFonts w:ascii="Arial" w:eastAsia="Times New Roman" w:hAnsi="Arial" w:cs="Arial" w:hint="default"/>
      </w:rPr>
    </w:lvl>
    <w:lvl w:ilvl="1" w:tplc="C1E27E80">
      <w:start w:val="1"/>
      <w:numFmt w:val="bullet"/>
      <w:lvlText w:val="o"/>
      <w:lvlJc w:val="left"/>
      <w:pPr>
        <w:ind w:left="1440" w:hanging="360"/>
      </w:pPr>
      <w:rPr>
        <w:rFonts w:ascii="Courier New" w:hAnsi="Courier New" w:cs="Courier New" w:hint="default"/>
      </w:rPr>
    </w:lvl>
    <w:lvl w:ilvl="2" w:tplc="5C32801E" w:tentative="1">
      <w:start w:val="1"/>
      <w:numFmt w:val="bullet"/>
      <w:lvlText w:val=""/>
      <w:lvlJc w:val="left"/>
      <w:pPr>
        <w:ind w:left="2160" w:hanging="360"/>
      </w:pPr>
      <w:rPr>
        <w:rFonts w:ascii="Wingdings" w:hAnsi="Wingdings" w:hint="default"/>
      </w:rPr>
    </w:lvl>
    <w:lvl w:ilvl="3" w:tplc="92147B64" w:tentative="1">
      <w:start w:val="1"/>
      <w:numFmt w:val="bullet"/>
      <w:lvlText w:val=""/>
      <w:lvlJc w:val="left"/>
      <w:pPr>
        <w:ind w:left="2880" w:hanging="360"/>
      </w:pPr>
      <w:rPr>
        <w:rFonts w:ascii="Symbol" w:hAnsi="Symbol" w:hint="default"/>
      </w:rPr>
    </w:lvl>
    <w:lvl w:ilvl="4" w:tplc="24E49D12" w:tentative="1">
      <w:start w:val="1"/>
      <w:numFmt w:val="bullet"/>
      <w:lvlText w:val="o"/>
      <w:lvlJc w:val="left"/>
      <w:pPr>
        <w:ind w:left="3600" w:hanging="360"/>
      </w:pPr>
      <w:rPr>
        <w:rFonts w:ascii="Courier New" w:hAnsi="Courier New" w:cs="Courier New" w:hint="default"/>
      </w:rPr>
    </w:lvl>
    <w:lvl w:ilvl="5" w:tplc="20D85242" w:tentative="1">
      <w:start w:val="1"/>
      <w:numFmt w:val="bullet"/>
      <w:lvlText w:val=""/>
      <w:lvlJc w:val="left"/>
      <w:pPr>
        <w:ind w:left="4320" w:hanging="360"/>
      </w:pPr>
      <w:rPr>
        <w:rFonts w:ascii="Wingdings" w:hAnsi="Wingdings" w:hint="default"/>
      </w:rPr>
    </w:lvl>
    <w:lvl w:ilvl="6" w:tplc="38F20588" w:tentative="1">
      <w:start w:val="1"/>
      <w:numFmt w:val="bullet"/>
      <w:lvlText w:val=""/>
      <w:lvlJc w:val="left"/>
      <w:pPr>
        <w:ind w:left="5040" w:hanging="360"/>
      </w:pPr>
      <w:rPr>
        <w:rFonts w:ascii="Symbol" w:hAnsi="Symbol" w:hint="default"/>
      </w:rPr>
    </w:lvl>
    <w:lvl w:ilvl="7" w:tplc="82BAB428" w:tentative="1">
      <w:start w:val="1"/>
      <w:numFmt w:val="bullet"/>
      <w:lvlText w:val="o"/>
      <w:lvlJc w:val="left"/>
      <w:pPr>
        <w:ind w:left="5760" w:hanging="360"/>
      </w:pPr>
      <w:rPr>
        <w:rFonts w:ascii="Courier New" w:hAnsi="Courier New" w:cs="Courier New" w:hint="default"/>
      </w:rPr>
    </w:lvl>
    <w:lvl w:ilvl="8" w:tplc="E8301BCE" w:tentative="1">
      <w:start w:val="1"/>
      <w:numFmt w:val="bullet"/>
      <w:lvlText w:val=""/>
      <w:lvlJc w:val="left"/>
      <w:pPr>
        <w:ind w:left="6480" w:hanging="360"/>
      </w:pPr>
      <w:rPr>
        <w:rFonts w:ascii="Wingdings" w:hAnsi="Wingdings" w:hint="default"/>
      </w:rPr>
    </w:lvl>
  </w:abstractNum>
  <w:abstractNum w:abstractNumId="11" w15:restartNumberingAfterBreak="0">
    <w:nsid w:val="787E41E8"/>
    <w:multiLevelType w:val="hybridMultilevel"/>
    <w:tmpl w:val="5BBEDE86"/>
    <w:lvl w:ilvl="0" w:tplc="12AEF28E">
      <w:start w:val="1"/>
      <w:numFmt w:val="decimal"/>
      <w:lvlText w:val="%1."/>
      <w:lvlJc w:val="left"/>
      <w:pPr>
        <w:ind w:left="4680" w:hanging="360"/>
      </w:pPr>
    </w:lvl>
    <w:lvl w:ilvl="1" w:tplc="DBE445BC" w:tentative="1">
      <w:start w:val="1"/>
      <w:numFmt w:val="lowerLetter"/>
      <w:lvlText w:val="%2."/>
      <w:lvlJc w:val="left"/>
      <w:pPr>
        <w:ind w:left="5400" w:hanging="360"/>
      </w:pPr>
    </w:lvl>
    <w:lvl w:ilvl="2" w:tplc="AB4AA576" w:tentative="1">
      <w:start w:val="1"/>
      <w:numFmt w:val="lowerRoman"/>
      <w:lvlText w:val="%3."/>
      <w:lvlJc w:val="right"/>
      <w:pPr>
        <w:ind w:left="6120" w:hanging="180"/>
      </w:pPr>
    </w:lvl>
    <w:lvl w:ilvl="3" w:tplc="26783B7C" w:tentative="1">
      <w:start w:val="1"/>
      <w:numFmt w:val="decimal"/>
      <w:lvlText w:val="%4."/>
      <w:lvlJc w:val="left"/>
      <w:pPr>
        <w:ind w:left="6840" w:hanging="360"/>
      </w:pPr>
    </w:lvl>
    <w:lvl w:ilvl="4" w:tplc="7C4855C0" w:tentative="1">
      <w:start w:val="1"/>
      <w:numFmt w:val="lowerLetter"/>
      <w:lvlText w:val="%5."/>
      <w:lvlJc w:val="left"/>
      <w:pPr>
        <w:ind w:left="7560" w:hanging="360"/>
      </w:pPr>
    </w:lvl>
    <w:lvl w:ilvl="5" w:tplc="FC3E6088" w:tentative="1">
      <w:start w:val="1"/>
      <w:numFmt w:val="lowerRoman"/>
      <w:lvlText w:val="%6."/>
      <w:lvlJc w:val="right"/>
      <w:pPr>
        <w:ind w:left="8280" w:hanging="180"/>
      </w:pPr>
    </w:lvl>
    <w:lvl w:ilvl="6" w:tplc="98323DCC" w:tentative="1">
      <w:start w:val="1"/>
      <w:numFmt w:val="decimal"/>
      <w:lvlText w:val="%7."/>
      <w:lvlJc w:val="left"/>
      <w:pPr>
        <w:ind w:left="9000" w:hanging="360"/>
      </w:pPr>
    </w:lvl>
    <w:lvl w:ilvl="7" w:tplc="280258EC" w:tentative="1">
      <w:start w:val="1"/>
      <w:numFmt w:val="lowerLetter"/>
      <w:lvlText w:val="%8."/>
      <w:lvlJc w:val="left"/>
      <w:pPr>
        <w:ind w:left="9720" w:hanging="360"/>
      </w:pPr>
    </w:lvl>
    <w:lvl w:ilvl="8" w:tplc="D69E283E" w:tentative="1">
      <w:start w:val="1"/>
      <w:numFmt w:val="lowerRoman"/>
      <w:lvlText w:val="%9."/>
      <w:lvlJc w:val="right"/>
      <w:pPr>
        <w:ind w:left="10440" w:hanging="180"/>
      </w:pPr>
    </w:lvl>
  </w:abstractNum>
  <w:num w:numId="1">
    <w:abstractNumId w:val="1"/>
  </w:num>
  <w:num w:numId="2">
    <w:abstractNumId w:val="6"/>
  </w:num>
  <w:num w:numId="3">
    <w:abstractNumId w:val="11"/>
  </w:num>
  <w:num w:numId="4">
    <w:abstractNumId w:val="7"/>
  </w:num>
  <w:num w:numId="5">
    <w:abstractNumId w:val="8"/>
  </w:num>
  <w:num w:numId="6">
    <w:abstractNumId w:val="5"/>
  </w:num>
  <w:num w:numId="7">
    <w:abstractNumId w:val="10"/>
  </w:num>
  <w:num w:numId="8">
    <w:abstractNumId w:val="3"/>
  </w:num>
  <w:num w:numId="9">
    <w:abstractNumId w:val="0"/>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22"/>
    <w:docVar w:name="InternalQPulse_CurrentUserName" w:val="Document Management Process Owner,  "/>
    <w:docVar w:name="InternalQPulse_DatabaseAlias" w:val="Default"/>
    <w:docVar w:name="InternalQPulse_DocActiveDate" w:val="24/04/2019"/>
    <w:docVar w:name="InternalQPulse_DocAuthor" w:val="Information Security Manager,  "/>
    <w:docVar w:name="InternalQPulse_DocChangeDetails" w:val="Update to highlight that the approach of reporting direct to senior management is also acceptable"/>
    <w:docVar w:name="InternalQPulse_DocNumber" w:val="SOP-02-03"/>
    <w:docVar w:name="InternalQPulse_DocOwner" w:val="Event and Incident Management Process Owner,  "/>
    <w:docVar w:name="InternalQPulse_DocReviewDate" w:val="15/08/2020"/>
    <w:docVar w:name="InternalQPulse_DocRevisionNumber" w:val="2.7"/>
    <w:docVar w:name="InternalQPulse_DocStatus" w:val="Active"/>
    <w:docVar w:name="InternalQPulse_DocTitle" w:val="Managing Security Events and Weaknesses"/>
    <w:docVar w:name="InternalQPulse_DocType" w:val="ISMS\SOP\ISMS Management - SOP"/>
    <w:docVar w:name="InternalQPulse_LanguageID" w:val="0"/>
    <w:docVar w:name="QPulse_CurrentDateTime" w:val="19/03/2020 17:54:22"/>
    <w:docVar w:name="QPulse_CurrentUserName" w:val="Document Management Process Owner,  "/>
    <w:docVar w:name="QPulse_DatabaseAlias" w:val="Default"/>
    <w:docVar w:name="QPulse_DocActiveDate" w:val="24/04/2019"/>
    <w:docVar w:name="QPulse_DocAuthor" w:val="Information Security Manager,  "/>
    <w:docVar w:name="QPulse_DocChangeDetails" w:val="Update to highlight that the approach of reporting direct to senior management is also acceptable"/>
    <w:docVar w:name="QPulse_DocLastReviewDate" w:val="20/09/2017"/>
    <w:docVar w:name="QPulse_DocLastReviewDetails" w:val="No process change required. Outstanding CRs should be implemented."/>
    <w:docVar w:name="QPulse_DocLastReviewOwner" w:val="Event and Incident Management Process Owner,  "/>
    <w:docVar w:name="QPulse_DocNumber" w:val="SOP-02-03"/>
    <w:docVar w:name="QPulse_DocOwner" w:val="Event and Incident Management Process Owner,  "/>
    <w:docVar w:name="QPulse_DocReviewDate" w:val="15/08/2020"/>
    <w:docVar w:name="QPulse_DocRevisionNumber" w:val="2.7"/>
    <w:docVar w:name="QPulse_DocStatus" w:val="Active"/>
    <w:docVar w:name="QPulse_DocTitle" w:val="Managing Security Events and Weaknesses"/>
    <w:docVar w:name="QPulse_DocType" w:val="ISMS\SOP\ISMS Management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6ebe98a6-1f23-4cf5-91ff-569f1b84f4b3"/>
  </w:docVars>
  <w:rsids>
    <w:rsidRoot w:val="00EA67D5"/>
    <w:rsid w:val="00AF4D36"/>
    <w:rsid w:val="00D73168"/>
    <w:rsid w:val="00EA67D5"/>
    <w:rsid w:val="00F05B5C"/>
    <w:rsid w:val="00FA50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99"/>
    <w:rsid w:val="000773C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0773C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eader" Target="header6.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3.xml"/><Relationship Id="rId10" Type="http://schemas.openxmlformats.org/officeDocument/2006/relationships/hyperlink" Target="mailto:chi-incidents@listserv.manchester.ac.uk"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oter" Target="footer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5E024-C294-4711-BA90-E1C5ECE0141C}"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GB"/>
        </a:p>
      </dgm:t>
    </dgm:pt>
    <dgm:pt modelId="{23F29000-AA02-438E-8DF4-B85F820C3D7E}">
      <dgm:prSet phldrT="[Text]"/>
      <dgm:spPr/>
      <dgm:t>
        <a:bodyPr/>
        <a:lstStyle/>
        <a:p>
          <a:pPr algn="ctr"/>
          <a:r>
            <a:rPr lang="en-GB"/>
            <a:t>FORM-006 started</a:t>
          </a:r>
        </a:p>
      </dgm:t>
    </dgm:pt>
    <dgm:pt modelId="{FD02240A-261D-4FC3-B575-92A0682CFB16}" type="parTrans" cxnId="{BF9BB86E-162B-408F-977A-DF48EE365651}">
      <dgm:prSet/>
      <dgm:spPr/>
      <dgm:t>
        <a:bodyPr/>
        <a:lstStyle/>
        <a:p>
          <a:pPr algn="ctr"/>
          <a:endParaRPr lang="en-GB"/>
        </a:p>
      </dgm:t>
    </dgm:pt>
    <dgm:pt modelId="{79AF11B3-467B-4ECB-903B-7935B8C28396}" type="sibTrans" cxnId="{BF9BB86E-162B-408F-977A-DF48EE365651}">
      <dgm:prSet/>
      <dgm:spPr/>
      <dgm:t>
        <a:bodyPr/>
        <a:lstStyle/>
        <a:p>
          <a:pPr algn="ctr"/>
          <a:endParaRPr lang="en-GB"/>
        </a:p>
      </dgm:t>
    </dgm:pt>
    <dgm:pt modelId="{B0DA0ECD-686E-40BB-9403-15B04451FFA4}">
      <dgm:prSet phldrT="[Text]"/>
      <dgm:spPr/>
      <dgm:t>
        <a:bodyPr/>
        <a:lstStyle/>
        <a:p>
          <a:pPr algn="ctr"/>
          <a:r>
            <a:rPr lang="en-GB"/>
            <a:t>IG Office informed</a:t>
          </a:r>
        </a:p>
      </dgm:t>
    </dgm:pt>
    <dgm:pt modelId="{C0660990-EF43-4B56-B0BD-35518ACD0AE2}" type="parTrans" cxnId="{AFC9CE10-F6FD-4BBB-A0AA-DB39281A6456}">
      <dgm:prSet/>
      <dgm:spPr/>
      <dgm:t>
        <a:bodyPr/>
        <a:lstStyle/>
        <a:p>
          <a:pPr algn="ctr"/>
          <a:endParaRPr lang="en-GB"/>
        </a:p>
      </dgm:t>
    </dgm:pt>
    <dgm:pt modelId="{FBB8C65D-7476-4343-8249-EA24112678DE}" type="sibTrans" cxnId="{AFC9CE10-F6FD-4BBB-A0AA-DB39281A6456}">
      <dgm:prSet/>
      <dgm:spPr/>
      <dgm:t>
        <a:bodyPr/>
        <a:lstStyle/>
        <a:p>
          <a:pPr algn="ctr"/>
          <a:endParaRPr lang="en-GB"/>
        </a:p>
      </dgm:t>
    </dgm:pt>
    <dgm:pt modelId="{4B5B2BFB-292E-4EEF-AAE7-A3F5D935E396}">
      <dgm:prSet phldrT="[Text]"/>
      <dgm:spPr/>
      <dgm:t>
        <a:bodyPr/>
        <a:lstStyle/>
        <a:p>
          <a:pPr algn="ctr"/>
          <a:r>
            <a:rPr lang="en-GB"/>
            <a:t>Early investigation</a:t>
          </a:r>
        </a:p>
      </dgm:t>
    </dgm:pt>
    <dgm:pt modelId="{0742C38E-9784-4707-8F7E-7987189F3765}" type="parTrans" cxnId="{2748F53F-2C8C-4743-95C2-1BC043DE754B}">
      <dgm:prSet/>
      <dgm:spPr/>
      <dgm:t>
        <a:bodyPr/>
        <a:lstStyle/>
        <a:p>
          <a:pPr algn="ctr"/>
          <a:endParaRPr lang="en-GB"/>
        </a:p>
      </dgm:t>
    </dgm:pt>
    <dgm:pt modelId="{0A74BBBF-386A-49C7-BED9-CADD7848C2EF}" type="sibTrans" cxnId="{2748F53F-2C8C-4743-95C2-1BC043DE754B}">
      <dgm:prSet/>
      <dgm:spPr/>
      <dgm:t>
        <a:bodyPr/>
        <a:lstStyle/>
        <a:p>
          <a:pPr algn="ctr"/>
          <a:endParaRPr lang="en-GB"/>
        </a:p>
      </dgm:t>
    </dgm:pt>
    <dgm:pt modelId="{725CF334-A647-463C-9B3F-FC2C6C03A1E8}">
      <dgm:prSet phldrT="[Text]"/>
      <dgm:spPr/>
      <dgm:t>
        <a:bodyPr/>
        <a:lstStyle/>
        <a:p>
          <a:pPr algn="ctr"/>
          <a:r>
            <a:rPr lang="en-GB"/>
            <a:t>Interim action taken</a:t>
          </a:r>
        </a:p>
      </dgm:t>
    </dgm:pt>
    <dgm:pt modelId="{52E6CCFA-193C-42E9-8FCA-37A3CC919945}" type="parTrans" cxnId="{5C1D8E6C-3615-4D3C-918F-7EAB31B5A9E0}">
      <dgm:prSet/>
      <dgm:spPr/>
      <dgm:t>
        <a:bodyPr/>
        <a:lstStyle/>
        <a:p>
          <a:pPr algn="ctr"/>
          <a:endParaRPr lang="en-GB"/>
        </a:p>
      </dgm:t>
    </dgm:pt>
    <dgm:pt modelId="{3032E245-CA2D-4D12-B571-D550FD82F793}" type="sibTrans" cxnId="{5C1D8E6C-3615-4D3C-918F-7EAB31B5A9E0}">
      <dgm:prSet/>
      <dgm:spPr/>
      <dgm:t>
        <a:bodyPr/>
        <a:lstStyle/>
        <a:p>
          <a:pPr algn="ctr"/>
          <a:endParaRPr lang="en-GB"/>
        </a:p>
      </dgm:t>
    </dgm:pt>
    <dgm:pt modelId="{A5572BAF-FB84-4340-B62D-B1AB93FDE4BC}">
      <dgm:prSet phldrT="[Text]"/>
      <dgm:spPr/>
      <dgm:t>
        <a:bodyPr/>
        <a:lstStyle/>
        <a:p>
          <a:pPr algn="ctr"/>
          <a:r>
            <a:rPr lang="en-GB"/>
            <a:t>FORM-006 to Board</a:t>
          </a:r>
        </a:p>
      </dgm:t>
    </dgm:pt>
    <dgm:pt modelId="{6F3DBE61-F170-4495-A01D-FA09F296EF95}" type="parTrans" cxnId="{21CC07A9-7BC8-45C5-9E6C-C68D984E5CD4}">
      <dgm:prSet/>
      <dgm:spPr/>
      <dgm:t>
        <a:bodyPr/>
        <a:lstStyle/>
        <a:p>
          <a:pPr algn="ctr"/>
          <a:endParaRPr lang="en-GB"/>
        </a:p>
      </dgm:t>
    </dgm:pt>
    <dgm:pt modelId="{E2704269-58B8-43F1-8ADC-3B82E67ECFE4}" type="sibTrans" cxnId="{21CC07A9-7BC8-45C5-9E6C-C68D984E5CD4}">
      <dgm:prSet/>
      <dgm:spPr/>
      <dgm:t>
        <a:bodyPr/>
        <a:lstStyle/>
        <a:p>
          <a:pPr algn="ctr"/>
          <a:endParaRPr lang="en-GB"/>
        </a:p>
      </dgm:t>
    </dgm:pt>
    <dgm:pt modelId="{10E6B2C8-A0D8-4CBD-B548-B9231B5138F3}">
      <dgm:prSet phldrT="[Text]"/>
      <dgm:spPr/>
      <dgm:t>
        <a:bodyPr/>
        <a:lstStyle/>
        <a:p>
          <a:pPr algn="ctr"/>
          <a:r>
            <a:rPr lang="en-GB"/>
            <a:t>Final response</a:t>
          </a:r>
        </a:p>
      </dgm:t>
    </dgm:pt>
    <dgm:pt modelId="{273D19B1-BB00-4B0B-B08F-532C07FBE16E}" type="parTrans" cxnId="{484FBC0D-CFED-4F77-90A1-C0B14D442CE7}">
      <dgm:prSet/>
      <dgm:spPr/>
      <dgm:t>
        <a:bodyPr/>
        <a:lstStyle/>
        <a:p>
          <a:pPr algn="ctr"/>
          <a:endParaRPr lang="en-GB"/>
        </a:p>
      </dgm:t>
    </dgm:pt>
    <dgm:pt modelId="{9C08A9C5-16D5-4AAD-9926-76DE6991D8E8}" type="sibTrans" cxnId="{484FBC0D-CFED-4F77-90A1-C0B14D442CE7}">
      <dgm:prSet/>
      <dgm:spPr/>
      <dgm:t>
        <a:bodyPr/>
        <a:lstStyle/>
        <a:p>
          <a:pPr algn="ctr"/>
          <a:endParaRPr lang="en-GB"/>
        </a:p>
      </dgm:t>
    </dgm:pt>
    <dgm:pt modelId="{1AADC0DE-4791-42B5-B5E2-AA97F7C70C7B}">
      <dgm:prSet phldrT="[Text]"/>
      <dgm:spPr/>
      <dgm:t>
        <a:bodyPr/>
        <a:lstStyle/>
        <a:p>
          <a:pPr algn="ctr"/>
          <a:r>
            <a:rPr lang="en-GB"/>
            <a:t>Finalise report, record findings</a:t>
          </a:r>
        </a:p>
      </dgm:t>
    </dgm:pt>
    <dgm:pt modelId="{8C4BA1B6-FB9C-4F75-89DB-0F01FA629C3D}" type="parTrans" cxnId="{6AFA30D0-AEBD-44B4-9DA5-1947700C59E7}">
      <dgm:prSet/>
      <dgm:spPr/>
      <dgm:t>
        <a:bodyPr/>
        <a:lstStyle/>
        <a:p>
          <a:pPr algn="ctr"/>
          <a:endParaRPr lang="en-GB"/>
        </a:p>
      </dgm:t>
    </dgm:pt>
    <dgm:pt modelId="{F7F5DF4F-6EF1-48F8-923B-430EEE8D538D}" type="sibTrans" cxnId="{6AFA30D0-AEBD-44B4-9DA5-1947700C59E7}">
      <dgm:prSet/>
      <dgm:spPr/>
      <dgm:t>
        <a:bodyPr/>
        <a:lstStyle/>
        <a:p>
          <a:pPr algn="ctr"/>
          <a:endParaRPr lang="en-GB"/>
        </a:p>
      </dgm:t>
    </dgm:pt>
    <dgm:pt modelId="{B9EA35A4-2432-4949-8922-BC1582DBD6FE}">
      <dgm:prSet phldrT="[Text]"/>
      <dgm:spPr/>
      <dgm:t>
        <a:bodyPr/>
        <a:lstStyle/>
        <a:p>
          <a:pPr algn="ctr"/>
          <a:r>
            <a:rPr lang="en-GB"/>
            <a:t>Sanctions, corrective actions, evaluation</a:t>
          </a:r>
        </a:p>
      </dgm:t>
    </dgm:pt>
    <dgm:pt modelId="{C66251E4-0387-483C-9331-80280936DF1B}" type="parTrans" cxnId="{786063F1-D15A-40AF-9F4F-EB24E535CD10}">
      <dgm:prSet/>
      <dgm:spPr/>
      <dgm:t>
        <a:bodyPr/>
        <a:lstStyle/>
        <a:p>
          <a:pPr algn="ctr"/>
          <a:endParaRPr lang="en-GB"/>
        </a:p>
      </dgm:t>
    </dgm:pt>
    <dgm:pt modelId="{B0CCAC9C-2566-4551-A433-9806F097A236}" type="sibTrans" cxnId="{786063F1-D15A-40AF-9F4F-EB24E535CD10}">
      <dgm:prSet/>
      <dgm:spPr/>
      <dgm:t>
        <a:bodyPr/>
        <a:lstStyle/>
        <a:p>
          <a:pPr algn="ctr"/>
          <a:endParaRPr lang="en-GB"/>
        </a:p>
      </dgm:t>
    </dgm:pt>
    <dgm:pt modelId="{773A3101-FB2A-4ACB-94B2-1909C39B464C}">
      <dgm:prSet phldrT="[Text]"/>
      <dgm:spPr/>
      <dgm:t>
        <a:bodyPr/>
        <a:lstStyle/>
        <a:p>
          <a:pPr algn="ctr"/>
          <a:r>
            <a:rPr lang="en-GB"/>
            <a:t>Security event reported</a:t>
          </a:r>
        </a:p>
      </dgm:t>
    </dgm:pt>
    <dgm:pt modelId="{6F3B6680-C779-4CC4-AA7B-050F363D97A3}" type="parTrans" cxnId="{AFDF4619-F688-46F2-AA7D-1F8CFE713EF9}">
      <dgm:prSet/>
      <dgm:spPr/>
      <dgm:t>
        <a:bodyPr/>
        <a:lstStyle/>
        <a:p>
          <a:pPr algn="ctr"/>
          <a:endParaRPr lang="en-GB"/>
        </a:p>
      </dgm:t>
    </dgm:pt>
    <dgm:pt modelId="{D1E7C35F-10D5-486E-828F-0E0F00EE6528}" type="sibTrans" cxnId="{AFDF4619-F688-46F2-AA7D-1F8CFE713EF9}">
      <dgm:prSet/>
      <dgm:spPr/>
      <dgm:t>
        <a:bodyPr/>
        <a:lstStyle/>
        <a:p>
          <a:pPr algn="ctr"/>
          <a:endParaRPr lang="en-GB"/>
        </a:p>
      </dgm:t>
    </dgm:pt>
    <dgm:pt modelId="{569366DD-AB6F-4349-B6EA-FA28B8A8BCA2}">
      <dgm:prSet phldrT="[Text]"/>
      <dgm:spPr/>
      <dgm:t>
        <a:bodyPr/>
        <a:lstStyle/>
        <a:p>
          <a:pPr algn="ctr"/>
          <a:r>
            <a:rPr lang="en-GB"/>
            <a:t>Assessment vs incident criteria</a:t>
          </a:r>
        </a:p>
      </dgm:t>
    </dgm:pt>
    <dgm:pt modelId="{70D2021F-1312-4171-A33E-C362E9EF203B}" type="parTrans" cxnId="{93EEAE1C-590A-41E5-BCA0-78C0842F95F1}">
      <dgm:prSet/>
      <dgm:spPr/>
      <dgm:t>
        <a:bodyPr/>
        <a:lstStyle/>
        <a:p>
          <a:pPr algn="ctr"/>
          <a:endParaRPr lang="en-GB"/>
        </a:p>
      </dgm:t>
    </dgm:pt>
    <dgm:pt modelId="{C79EAC19-5F3C-45C4-92BF-7F4E1530FD4D}" type="sibTrans" cxnId="{93EEAE1C-590A-41E5-BCA0-78C0842F95F1}">
      <dgm:prSet/>
      <dgm:spPr/>
      <dgm:t>
        <a:bodyPr/>
        <a:lstStyle/>
        <a:p>
          <a:pPr algn="ctr"/>
          <a:endParaRPr lang="en-GB"/>
        </a:p>
      </dgm:t>
    </dgm:pt>
    <dgm:pt modelId="{92143F00-DD13-4328-84A4-580D52DAE5E3}">
      <dgm:prSet phldrT="[Text]"/>
      <dgm:spPr/>
      <dgm:t>
        <a:bodyPr/>
        <a:lstStyle/>
        <a:p>
          <a:pPr algn="ctr"/>
          <a:r>
            <a:rPr lang="en-GB"/>
            <a:t>Data Protection Incident</a:t>
          </a:r>
        </a:p>
      </dgm:t>
    </dgm:pt>
    <dgm:pt modelId="{6CF45C49-7798-4385-A1F3-5C52DE75BFA1}" type="parTrans" cxnId="{76C4B59C-369F-4E70-9028-638676B7F37F}">
      <dgm:prSet/>
      <dgm:spPr/>
      <dgm:t>
        <a:bodyPr/>
        <a:lstStyle/>
        <a:p>
          <a:pPr algn="ctr"/>
          <a:endParaRPr lang="en-GB"/>
        </a:p>
      </dgm:t>
    </dgm:pt>
    <dgm:pt modelId="{82396571-57B3-4EBD-957E-4A70E1BC4601}" type="sibTrans" cxnId="{76C4B59C-369F-4E70-9028-638676B7F37F}">
      <dgm:prSet/>
      <dgm:spPr/>
      <dgm:t>
        <a:bodyPr/>
        <a:lstStyle/>
        <a:p>
          <a:pPr algn="ctr"/>
          <a:endParaRPr lang="en-GB"/>
        </a:p>
      </dgm:t>
    </dgm:pt>
    <dgm:pt modelId="{6710F61B-1A76-4C6A-8D0F-804C141761AE}">
      <dgm:prSet phldrT="[Text]"/>
      <dgm:spPr/>
      <dgm:t>
        <a:bodyPr/>
        <a:lstStyle/>
        <a:p>
          <a:pPr algn="ctr"/>
          <a:r>
            <a:rPr lang="en-GB"/>
            <a:t>Assignment of responsibiities</a:t>
          </a:r>
        </a:p>
      </dgm:t>
    </dgm:pt>
    <dgm:pt modelId="{9DC30093-D1E4-414A-8186-A44B246EE3D6}" type="parTrans" cxnId="{27F67546-F034-44C2-92A6-AA888B25BBA7}">
      <dgm:prSet/>
      <dgm:spPr/>
      <dgm:t>
        <a:bodyPr/>
        <a:lstStyle/>
        <a:p>
          <a:pPr algn="ctr"/>
          <a:endParaRPr lang="en-GB"/>
        </a:p>
      </dgm:t>
    </dgm:pt>
    <dgm:pt modelId="{62932295-35FD-402F-88B6-2A807BC8DD8B}" type="sibTrans" cxnId="{27F67546-F034-44C2-92A6-AA888B25BBA7}">
      <dgm:prSet/>
      <dgm:spPr/>
      <dgm:t>
        <a:bodyPr/>
        <a:lstStyle/>
        <a:p>
          <a:pPr algn="ctr"/>
          <a:endParaRPr lang="en-GB"/>
        </a:p>
      </dgm:t>
    </dgm:pt>
    <dgm:pt modelId="{3CC40073-F571-4BC2-B986-BDE615E58DA4}">
      <dgm:prSet phldrT="[Text]"/>
      <dgm:spPr/>
      <dgm:t>
        <a:bodyPr/>
        <a:lstStyle/>
        <a:p>
          <a:pPr algn="ctr"/>
          <a:r>
            <a:rPr lang="en-GB"/>
            <a:t>Review of classification details</a:t>
          </a:r>
        </a:p>
      </dgm:t>
    </dgm:pt>
    <dgm:pt modelId="{9FB009E2-4411-4773-9603-37DE1847B0A7}" type="parTrans" cxnId="{8C982440-6FA7-4C18-843A-DDE353B71A79}">
      <dgm:prSet/>
      <dgm:spPr/>
      <dgm:t>
        <a:bodyPr/>
        <a:lstStyle/>
        <a:p>
          <a:endParaRPr lang="en-GB"/>
        </a:p>
      </dgm:t>
    </dgm:pt>
    <dgm:pt modelId="{07D5C8AA-361B-4535-A08F-235511AD5F82}" type="sibTrans" cxnId="{8C982440-6FA7-4C18-843A-DDE353B71A79}">
      <dgm:prSet/>
      <dgm:spPr/>
      <dgm:t>
        <a:bodyPr/>
        <a:lstStyle/>
        <a:p>
          <a:endParaRPr lang="en-GB"/>
        </a:p>
      </dgm:t>
    </dgm:pt>
    <dgm:pt modelId="{3B01AD8A-A4D1-4C72-ACE9-6773F4566EA2}" type="pres">
      <dgm:prSet presAssocID="{2845E024-C294-4711-BA90-E1C5ECE0141C}" presName="Name0" presStyleCnt="0">
        <dgm:presLayoutVars>
          <dgm:dir/>
          <dgm:animLvl val="lvl"/>
          <dgm:resizeHandles val="exact"/>
        </dgm:presLayoutVars>
      </dgm:prSet>
      <dgm:spPr/>
    </dgm:pt>
    <dgm:pt modelId="{8FFC73D8-55B5-4D77-AE14-3A25BA29AAA8}" type="pres">
      <dgm:prSet presAssocID="{10E6B2C8-A0D8-4CBD-B548-B9231B5138F3}" presName="boxAndChildren" presStyleCnt="0"/>
      <dgm:spPr/>
    </dgm:pt>
    <dgm:pt modelId="{C14434AC-E66F-4238-8128-5889E867DB18}" type="pres">
      <dgm:prSet presAssocID="{10E6B2C8-A0D8-4CBD-B548-B9231B5138F3}" presName="parentTextBox" presStyleLbl="node1" presStyleIdx="0" presStyleCnt="4"/>
      <dgm:spPr/>
    </dgm:pt>
    <dgm:pt modelId="{16A0C152-A2A8-46CA-8061-21E7F24B5AFF}" type="pres">
      <dgm:prSet presAssocID="{10E6B2C8-A0D8-4CBD-B548-B9231B5138F3}" presName="entireBox" presStyleLbl="node1" presStyleIdx="0" presStyleCnt="4"/>
      <dgm:spPr/>
    </dgm:pt>
    <dgm:pt modelId="{B5A61A2E-EF4C-453A-879A-87E6FE00A273}" type="pres">
      <dgm:prSet presAssocID="{10E6B2C8-A0D8-4CBD-B548-B9231B5138F3}" presName="descendantBox" presStyleCnt="0"/>
      <dgm:spPr/>
    </dgm:pt>
    <dgm:pt modelId="{1CE2CADD-4BF9-4D75-8EB6-AD8C1CD90F70}" type="pres">
      <dgm:prSet presAssocID="{1AADC0DE-4791-42B5-B5E2-AA97F7C70C7B}" presName="childTextBox" presStyleLbl="fgAccFollowNode1" presStyleIdx="0" presStyleCnt="9">
        <dgm:presLayoutVars>
          <dgm:bulletEnabled val="1"/>
        </dgm:presLayoutVars>
      </dgm:prSet>
      <dgm:spPr/>
    </dgm:pt>
    <dgm:pt modelId="{FA942D60-B64E-4110-9FDB-5A52765CC910}" type="pres">
      <dgm:prSet presAssocID="{B9EA35A4-2432-4949-8922-BC1582DBD6FE}" presName="childTextBox" presStyleLbl="fgAccFollowNode1" presStyleIdx="1" presStyleCnt="9">
        <dgm:presLayoutVars>
          <dgm:bulletEnabled val="1"/>
        </dgm:presLayoutVars>
      </dgm:prSet>
      <dgm:spPr/>
    </dgm:pt>
    <dgm:pt modelId="{7F09FC4F-4C39-43EA-A226-45410E916593}" type="pres">
      <dgm:prSet presAssocID="{0A74BBBF-386A-49C7-BED9-CADD7848C2EF}" presName="sp" presStyleCnt="0"/>
      <dgm:spPr/>
    </dgm:pt>
    <dgm:pt modelId="{878AFD2E-6694-4C78-A3F0-8144D17EF694}" type="pres">
      <dgm:prSet presAssocID="{4B5B2BFB-292E-4EEF-AAE7-A3F5D935E396}" presName="arrowAndChildren" presStyleCnt="0"/>
      <dgm:spPr/>
    </dgm:pt>
    <dgm:pt modelId="{CF4AFA9F-976C-4690-9B7B-1358D33BD4B8}" type="pres">
      <dgm:prSet presAssocID="{4B5B2BFB-292E-4EEF-AAE7-A3F5D935E396}" presName="parentTextArrow" presStyleLbl="node1" presStyleIdx="0" presStyleCnt="4"/>
      <dgm:spPr/>
    </dgm:pt>
    <dgm:pt modelId="{0F26D289-EC4F-4DFB-B549-E01DAD8A5BBE}" type="pres">
      <dgm:prSet presAssocID="{4B5B2BFB-292E-4EEF-AAE7-A3F5D935E396}" presName="arrow" presStyleLbl="node1" presStyleIdx="1" presStyleCnt="4"/>
      <dgm:spPr/>
    </dgm:pt>
    <dgm:pt modelId="{C9B0821C-F321-47C2-B997-853A1EAA9863}" type="pres">
      <dgm:prSet presAssocID="{4B5B2BFB-292E-4EEF-AAE7-A3F5D935E396}" presName="descendantArrow" presStyleCnt="0"/>
      <dgm:spPr/>
    </dgm:pt>
    <dgm:pt modelId="{DB79EDF9-5B2F-44FD-8E09-D1CB09210A69}" type="pres">
      <dgm:prSet presAssocID="{725CF334-A647-463C-9B3F-FC2C6C03A1E8}" presName="childTextArrow" presStyleLbl="fgAccFollowNode1" presStyleIdx="2" presStyleCnt="9">
        <dgm:presLayoutVars>
          <dgm:bulletEnabled val="1"/>
        </dgm:presLayoutVars>
      </dgm:prSet>
      <dgm:spPr/>
    </dgm:pt>
    <dgm:pt modelId="{3FB55829-A8B1-47F0-B749-99FE389164E7}" type="pres">
      <dgm:prSet presAssocID="{A5572BAF-FB84-4340-B62D-B1AB93FDE4BC}" presName="childTextArrow" presStyleLbl="fgAccFollowNode1" presStyleIdx="3" presStyleCnt="9">
        <dgm:presLayoutVars>
          <dgm:bulletEnabled val="1"/>
        </dgm:presLayoutVars>
      </dgm:prSet>
      <dgm:spPr/>
    </dgm:pt>
    <dgm:pt modelId="{609C1E50-4EC1-497B-AC84-90C5757AB624}" type="pres">
      <dgm:prSet presAssocID="{82396571-57B3-4EBD-957E-4A70E1BC4601}" presName="sp" presStyleCnt="0"/>
      <dgm:spPr/>
    </dgm:pt>
    <dgm:pt modelId="{42E2CFCD-C4DF-4A7C-A4FE-44A8D70BFEDC}" type="pres">
      <dgm:prSet presAssocID="{92143F00-DD13-4328-84A4-580D52DAE5E3}" presName="arrowAndChildren" presStyleCnt="0"/>
      <dgm:spPr/>
    </dgm:pt>
    <dgm:pt modelId="{52B6BB0D-5E8F-4D53-9AEB-2E6786AC0EE5}" type="pres">
      <dgm:prSet presAssocID="{92143F00-DD13-4328-84A4-580D52DAE5E3}" presName="parentTextArrow" presStyleLbl="node1" presStyleIdx="1" presStyleCnt="4"/>
      <dgm:spPr/>
    </dgm:pt>
    <dgm:pt modelId="{8D7F242B-2483-42F2-A010-54B8CD0FAD50}" type="pres">
      <dgm:prSet presAssocID="{92143F00-DD13-4328-84A4-580D52DAE5E3}" presName="arrow" presStyleLbl="node1" presStyleIdx="2" presStyleCnt="4"/>
      <dgm:spPr/>
    </dgm:pt>
    <dgm:pt modelId="{4B35F970-BE9B-4C93-B49E-666479432E47}" type="pres">
      <dgm:prSet presAssocID="{92143F00-DD13-4328-84A4-580D52DAE5E3}" presName="descendantArrow" presStyleCnt="0"/>
      <dgm:spPr/>
    </dgm:pt>
    <dgm:pt modelId="{1342C1B0-3B62-47FA-BAF9-C11CB2091A35}" type="pres">
      <dgm:prSet presAssocID="{23F29000-AA02-438E-8DF4-B85F820C3D7E}" presName="childTextArrow" presStyleLbl="fgAccFollowNode1" presStyleIdx="4" presStyleCnt="9">
        <dgm:presLayoutVars>
          <dgm:bulletEnabled val="1"/>
        </dgm:presLayoutVars>
      </dgm:prSet>
      <dgm:spPr/>
    </dgm:pt>
    <dgm:pt modelId="{6C4AA421-5643-4C5B-A0A6-851AFD49E80E}" type="pres">
      <dgm:prSet presAssocID="{B0DA0ECD-686E-40BB-9403-15B04451FFA4}" presName="childTextArrow" presStyleLbl="fgAccFollowNode1" presStyleIdx="5" presStyleCnt="9">
        <dgm:presLayoutVars>
          <dgm:bulletEnabled val="1"/>
        </dgm:presLayoutVars>
      </dgm:prSet>
      <dgm:spPr/>
    </dgm:pt>
    <dgm:pt modelId="{EF0494FA-DD06-4532-B910-9658A0B68004}" type="pres">
      <dgm:prSet presAssocID="{D1E7C35F-10D5-486E-828F-0E0F00EE6528}" presName="sp" presStyleCnt="0"/>
      <dgm:spPr/>
    </dgm:pt>
    <dgm:pt modelId="{9C94D2A8-7269-4785-BA25-F05A55AF880C}" type="pres">
      <dgm:prSet presAssocID="{773A3101-FB2A-4ACB-94B2-1909C39B464C}" presName="arrowAndChildren" presStyleCnt="0"/>
      <dgm:spPr/>
    </dgm:pt>
    <dgm:pt modelId="{BF335846-DE0C-471D-BE55-CB69D9884DC6}" type="pres">
      <dgm:prSet presAssocID="{773A3101-FB2A-4ACB-94B2-1909C39B464C}" presName="parentTextArrow" presStyleLbl="node1" presStyleIdx="2" presStyleCnt="4"/>
      <dgm:spPr/>
    </dgm:pt>
    <dgm:pt modelId="{651BBC44-9CC5-49A6-B362-5305A65B28E9}" type="pres">
      <dgm:prSet presAssocID="{773A3101-FB2A-4ACB-94B2-1909C39B464C}" presName="arrow" presStyleLbl="node1" presStyleIdx="3" presStyleCnt="4"/>
      <dgm:spPr/>
    </dgm:pt>
    <dgm:pt modelId="{BED969D4-2E58-4F70-ACBA-646F462F4170}" type="pres">
      <dgm:prSet presAssocID="{773A3101-FB2A-4ACB-94B2-1909C39B464C}" presName="descendantArrow" presStyleCnt="0"/>
      <dgm:spPr/>
    </dgm:pt>
    <dgm:pt modelId="{D44676BD-42B8-4B77-996C-55E73EC1E97A}" type="pres">
      <dgm:prSet presAssocID="{569366DD-AB6F-4349-B6EA-FA28B8A8BCA2}" presName="childTextArrow" presStyleLbl="fgAccFollowNode1" presStyleIdx="6" presStyleCnt="9">
        <dgm:presLayoutVars>
          <dgm:bulletEnabled val="1"/>
        </dgm:presLayoutVars>
      </dgm:prSet>
      <dgm:spPr/>
    </dgm:pt>
    <dgm:pt modelId="{F7C6C38E-A0F7-4E9E-967F-F1B014878816}" type="pres">
      <dgm:prSet presAssocID="{6710F61B-1A76-4C6A-8D0F-804C141761AE}" presName="childTextArrow" presStyleLbl="fgAccFollowNode1" presStyleIdx="7" presStyleCnt="9">
        <dgm:presLayoutVars>
          <dgm:bulletEnabled val="1"/>
        </dgm:presLayoutVars>
      </dgm:prSet>
      <dgm:spPr/>
    </dgm:pt>
    <dgm:pt modelId="{1B0A67A2-EC98-4BED-98DC-009F332F0BC2}" type="pres">
      <dgm:prSet presAssocID="{3CC40073-F571-4BC2-B986-BDE615E58DA4}" presName="childTextArrow" presStyleLbl="fgAccFollowNode1" presStyleIdx="8" presStyleCnt="9">
        <dgm:presLayoutVars>
          <dgm:bulletEnabled val="1"/>
        </dgm:presLayoutVars>
      </dgm:prSet>
      <dgm:spPr/>
    </dgm:pt>
  </dgm:ptLst>
  <dgm:cxnLst>
    <dgm:cxn modelId="{9AAE970A-51A1-4365-8CA0-D932257077C3}" type="presOf" srcId="{773A3101-FB2A-4ACB-94B2-1909C39B464C}" destId="{BF335846-DE0C-471D-BE55-CB69D9884DC6}" srcOrd="0" destOrd="0" presId="urn:microsoft.com/office/officeart/2005/8/layout/process4"/>
    <dgm:cxn modelId="{DD45730B-4887-4600-84D9-CA326B48AFF4}" type="presOf" srcId="{10E6B2C8-A0D8-4CBD-B548-B9231B5138F3}" destId="{C14434AC-E66F-4238-8128-5889E867DB18}" srcOrd="0" destOrd="0" presId="urn:microsoft.com/office/officeart/2005/8/layout/process4"/>
    <dgm:cxn modelId="{C09B250C-1E37-4ADE-AEEF-62F491F16B19}" type="presOf" srcId="{2845E024-C294-4711-BA90-E1C5ECE0141C}" destId="{3B01AD8A-A4D1-4C72-ACE9-6773F4566EA2}" srcOrd="0" destOrd="0" presId="urn:microsoft.com/office/officeart/2005/8/layout/process4"/>
    <dgm:cxn modelId="{484FBC0D-CFED-4F77-90A1-C0B14D442CE7}" srcId="{2845E024-C294-4711-BA90-E1C5ECE0141C}" destId="{10E6B2C8-A0D8-4CBD-B548-B9231B5138F3}" srcOrd="3" destOrd="0" parTransId="{273D19B1-BB00-4B0B-B08F-532C07FBE16E}" sibTransId="{9C08A9C5-16D5-4AAD-9926-76DE6991D8E8}"/>
    <dgm:cxn modelId="{AFC9CE10-F6FD-4BBB-A0AA-DB39281A6456}" srcId="{92143F00-DD13-4328-84A4-580D52DAE5E3}" destId="{B0DA0ECD-686E-40BB-9403-15B04451FFA4}" srcOrd="1" destOrd="0" parTransId="{C0660990-EF43-4B56-B0BD-35518ACD0AE2}" sibTransId="{FBB8C65D-7476-4343-8249-EA24112678DE}"/>
    <dgm:cxn modelId="{346F4216-8512-4255-98BE-0DE22AB0B7B1}" type="presOf" srcId="{92143F00-DD13-4328-84A4-580D52DAE5E3}" destId="{8D7F242B-2483-42F2-A010-54B8CD0FAD50}" srcOrd="1" destOrd="0" presId="urn:microsoft.com/office/officeart/2005/8/layout/process4"/>
    <dgm:cxn modelId="{AFDF4619-F688-46F2-AA7D-1F8CFE713EF9}" srcId="{2845E024-C294-4711-BA90-E1C5ECE0141C}" destId="{773A3101-FB2A-4ACB-94B2-1909C39B464C}" srcOrd="0" destOrd="0" parTransId="{6F3B6680-C779-4CC4-AA7B-050F363D97A3}" sibTransId="{D1E7C35F-10D5-486E-828F-0E0F00EE6528}"/>
    <dgm:cxn modelId="{93EEAE1C-590A-41E5-BCA0-78C0842F95F1}" srcId="{773A3101-FB2A-4ACB-94B2-1909C39B464C}" destId="{569366DD-AB6F-4349-B6EA-FA28B8A8BCA2}" srcOrd="0" destOrd="0" parTransId="{70D2021F-1312-4171-A33E-C362E9EF203B}" sibTransId="{C79EAC19-5F3C-45C4-92BF-7F4E1530FD4D}"/>
    <dgm:cxn modelId="{5E07AF2D-554C-4E48-9EC6-36A5F761055B}" type="presOf" srcId="{A5572BAF-FB84-4340-B62D-B1AB93FDE4BC}" destId="{3FB55829-A8B1-47F0-B749-99FE389164E7}" srcOrd="0" destOrd="0" presId="urn:microsoft.com/office/officeart/2005/8/layout/process4"/>
    <dgm:cxn modelId="{2748F53F-2C8C-4743-95C2-1BC043DE754B}" srcId="{2845E024-C294-4711-BA90-E1C5ECE0141C}" destId="{4B5B2BFB-292E-4EEF-AAE7-A3F5D935E396}" srcOrd="2" destOrd="0" parTransId="{0742C38E-9784-4707-8F7E-7987189F3765}" sibTransId="{0A74BBBF-386A-49C7-BED9-CADD7848C2EF}"/>
    <dgm:cxn modelId="{8C982440-6FA7-4C18-843A-DDE353B71A79}" srcId="{773A3101-FB2A-4ACB-94B2-1909C39B464C}" destId="{3CC40073-F571-4BC2-B986-BDE615E58DA4}" srcOrd="2" destOrd="0" parTransId="{9FB009E2-4411-4773-9603-37DE1847B0A7}" sibTransId="{07D5C8AA-361B-4535-A08F-235511AD5F82}"/>
    <dgm:cxn modelId="{27F67546-F034-44C2-92A6-AA888B25BBA7}" srcId="{773A3101-FB2A-4ACB-94B2-1909C39B464C}" destId="{6710F61B-1A76-4C6A-8D0F-804C141761AE}" srcOrd="1" destOrd="0" parTransId="{9DC30093-D1E4-414A-8186-A44B246EE3D6}" sibTransId="{62932295-35FD-402F-88B6-2A807BC8DD8B}"/>
    <dgm:cxn modelId="{46BE1D49-E153-465F-BCF6-03BA267230DB}" type="presOf" srcId="{1AADC0DE-4791-42B5-B5E2-AA97F7C70C7B}" destId="{1CE2CADD-4BF9-4D75-8EB6-AD8C1CD90F70}" srcOrd="0" destOrd="0" presId="urn:microsoft.com/office/officeart/2005/8/layout/process4"/>
    <dgm:cxn modelId="{35249C49-FF28-4DEA-9BB0-3C83A7D30377}" type="presOf" srcId="{6710F61B-1A76-4C6A-8D0F-804C141761AE}" destId="{F7C6C38E-A0F7-4E9E-967F-F1B014878816}" srcOrd="0" destOrd="0" presId="urn:microsoft.com/office/officeart/2005/8/layout/process4"/>
    <dgm:cxn modelId="{CFA0DD4F-B39C-453E-801E-6EC28C7BA8B8}" type="presOf" srcId="{569366DD-AB6F-4349-B6EA-FA28B8A8BCA2}" destId="{D44676BD-42B8-4B77-996C-55E73EC1E97A}" srcOrd="0" destOrd="0" presId="urn:microsoft.com/office/officeart/2005/8/layout/process4"/>
    <dgm:cxn modelId="{AD59EF4F-CE6A-4699-8AFD-13655BAB74CF}" type="presOf" srcId="{92143F00-DD13-4328-84A4-580D52DAE5E3}" destId="{52B6BB0D-5E8F-4D53-9AEB-2E6786AC0EE5}" srcOrd="0" destOrd="0" presId="urn:microsoft.com/office/officeart/2005/8/layout/process4"/>
    <dgm:cxn modelId="{BE867B59-2F45-40C8-8DE0-768A9EDDF0A7}" type="presOf" srcId="{B0DA0ECD-686E-40BB-9403-15B04451FFA4}" destId="{6C4AA421-5643-4C5B-A0A6-851AFD49E80E}" srcOrd="0" destOrd="0" presId="urn:microsoft.com/office/officeart/2005/8/layout/process4"/>
    <dgm:cxn modelId="{5C1D8E6C-3615-4D3C-918F-7EAB31B5A9E0}" srcId="{4B5B2BFB-292E-4EEF-AAE7-A3F5D935E396}" destId="{725CF334-A647-463C-9B3F-FC2C6C03A1E8}" srcOrd="0" destOrd="0" parTransId="{52E6CCFA-193C-42E9-8FCA-37A3CC919945}" sibTransId="{3032E245-CA2D-4D12-B571-D550FD82F793}"/>
    <dgm:cxn modelId="{BF9BB86E-162B-408F-977A-DF48EE365651}" srcId="{92143F00-DD13-4328-84A4-580D52DAE5E3}" destId="{23F29000-AA02-438E-8DF4-B85F820C3D7E}" srcOrd="0" destOrd="0" parTransId="{FD02240A-261D-4FC3-B575-92A0682CFB16}" sibTransId="{79AF11B3-467B-4ECB-903B-7935B8C28396}"/>
    <dgm:cxn modelId="{81357C71-54F9-438C-A0E2-3F5FA7ACAD5A}" type="presOf" srcId="{23F29000-AA02-438E-8DF4-B85F820C3D7E}" destId="{1342C1B0-3B62-47FA-BAF9-C11CB2091A35}" srcOrd="0" destOrd="0" presId="urn:microsoft.com/office/officeart/2005/8/layout/process4"/>
    <dgm:cxn modelId="{DF151382-20F9-4799-BD14-ECDFEAEC2CC7}" type="presOf" srcId="{B9EA35A4-2432-4949-8922-BC1582DBD6FE}" destId="{FA942D60-B64E-4110-9FDB-5A52765CC910}" srcOrd="0" destOrd="0" presId="urn:microsoft.com/office/officeart/2005/8/layout/process4"/>
    <dgm:cxn modelId="{43D8A684-C9FB-442C-B326-A511C84B26BB}" type="presOf" srcId="{3CC40073-F571-4BC2-B986-BDE615E58DA4}" destId="{1B0A67A2-EC98-4BED-98DC-009F332F0BC2}" srcOrd="0" destOrd="0" presId="urn:microsoft.com/office/officeart/2005/8/layout/process4"/>
    <dgm:cxn modelId="{69145A94-7616-4426-AB50-DD18664AEA2F}" type="presOf" srcId="{10E6B2C8-A0D8-4CBD-B548-B9231B5138F3}" destId="{16A0C152-A2A8-46CA-8061-21E7F24B5AFF}" srcOrd="1" destOrd="0" presId="urn:microsoft.com/office/officeart/2005/8/layout/process4"/>
    <dgm:cxn modelId="{76C4B59C-369F-4E70-9028-638676B7F37F}" srcId="{2845E024-C294-4711-BA90-E1C5ECE0141C}" destId="{92143F00-DD13-4328-84A4-580D52DAE5E3}" srcOrd="1" destOrd="0" parTransId="{6CF45C49-7798-4385-A1F3-5C52DE75BFA1}" sibTransId="{82396571-57B3-4EBD-957E-4A70E1BC4601}"/>
    <dgm:cxn modelId="{21CC07A9-7BC8-45C5-9E6C-C68D984E5CD4}" srcId="{4B5B2BFB-292E-4EEF-AAE7-A3F5D935E396}" destId="{A5572BAF-FB84-4340-B62D-B1AB93FDE4BC}" srcOrd="1" destOrd="0" parTransId="{6F3DBE61-F170-4495-A01D-FA09F296EF95}" sibTransId="{E2704269-58B8-43F1-8ADC-3B82E67ECFE4}"/>
    <dgm:cxn modelId="{CD4E6FAD-0C13-4664-BD84-186E1A649B5A}" type="presOf" srcId="{725CF334-A647-463C-9B3F-FC2C6C03A1E8}" destId="{DB79EDF9-5B2F-44FD-8E09-D1CB09210A69}" srcOrd="0" destOrd="0" presId="urn:microsoft.com/office/officeart/2005/8/layout/process4"/>
    <dgm:cxn modelId="{0E0D42C6-8047-4B3B-B506-EAA23E2B1563}" type="presOf" srcId="{773A3101-FB2A-4ACB-94B2-1909C39B464C}" destId="{651BBC44-9CC5-49A6-B362-5305A65B28E9}" srcOrd="1" destOrd="0" presId="urn:microsoft.com/office/officeart/2005/8/layout/process4"/>
    <dgm:cxn modelId="{C314ADCA-6B3B-40B9-B764-090AC2098FE2}" type="presOf" srcId="{4B5B2BFB-292E-4EEF-AAE7-A3F5D935E396}" destId="{0F26D289-EC4F-4DFB-B549-E01DAD8A5BBE}" srcOrd="1" destOrd="0" presId="urn:microsoft.com/office/officeart/2005/8/layout/process4"/>
    <dgm:cxn modelId="{FC7819CB-DEBD-46FE-B645-BCCC12F8C9C6}" type="presOf" srcId="{4B5B2BFB-292E-4EEF-AAE7-A3F5D935E396}" destId="{CF4AFA9F-976C-4690-9B7B-1358D33BD4B8}" srcOrd="0" destOrd="0" presId="urn:microsoft.com/office/officeart/2005/8/layout/process4"/>
    <dgm:cxn modelId="{6AFA30D0-AEBD-44B4-9DA5-1947700C59E7}" srcId="{10E6B2C8-A0D8-4CBD-B548-B9231B5138F3}" destId="{1AADC0DE-4791-42B5-B5E2-AA97F7C70C7B}" srcOrd="0" destOrd="0" parTransId="{8C4BA1B6-FB9C-4F75-89DB-0F01FA629C3D}" sibTransId="{F7F5DF4F-6EF1-48F8-923B-430EEE8D538D}"/>
    <dgm:cxn modelId="{786063F1-D15A-40AF-9F4F-EB24E535CD10}" srcId="{10E6B2C8-A0D8-4CBD-B548-B9231B5138F3}" destId="{B9EA35A4-2432-4949-8922-BC1582DBD6FE}" srcOrd="1" destOrd="0" parTransId="{C66251E4-0387-483C-9331-80280936DF1B}" sibTransId="{B0CCAC9C-2566-4551-A433-9806F097A236}"/>
    <dgm:cxn modelId="{47292E11-F886-47B2-9F1A-761A0D211C66}" type="presParOf" srcId="{3B01AD8A-A4D1-4C72-ACE9-6773F4566EA2}" destId="{8FFC73D8-55B5-4D77-AE14-3A25BA29AAA8}" srcOrd="0" destOrd="0" presId="urn:microsoft.com/office/officeart/2005/8/layout/process4"/>
    <dgm:cxn modelId="{96652744-947B-4582-9912-59E3D70BA44B}" type="presParOf" srcId="{8FFC73D8-55B5-4D77-AE14-3A25BA29AAA8}" destId="{C14434AC-E66F-4238-8128-5889E867DB18}" srcOrd="0" destOrd="0" presId="urn:microsoft.com/office/officeart/2005/8/layout/process4"/>
    <dgm:cxn modelId="{8E40B97D-7031-4242-8324-FE2ED7F60524}" type="presParOf" srcId="{8FFC73D8-55B5-4D77-AE14-3A25BA29AAA8}" destId="{16A0C152-A2A8-46CA-8061-21E7F24B5AFF}" srcOrd="1" destOrd="0" presId="urn:microsoft.com/office/officeart/2005/8/layout/process4"/>
    <dgm:cxn modelId="{78E49627-2D17-4EFE-879B-AC5AD15DE1D2}" type="presParOf" srcId="{8FFC73D8-55B5-4D77-AE14-3A25BA29AAA8}" destId="{B5A61A2E-EF4C-453A-879A-87E6FE00A273}" srcOrd="2" destOrd="0" presId="urn:microsoft.com/office/officeart/2005/8/layout/process4"/>
    <dgm:cxn modelId="{B07902D8-18F4-4231-8B13-7FE7823DA7E4}" type="presParOf" srcId="{B5A61A2E-EF4C-453A-879A-87E6FE00A273}" destId="{1CE2CADD-4BF9-4D75-8EB6-AD8C1CD90F70}" srcOrd="0" destOrd="0" presId="urn:microsoft.com/office/officeart/2005/8/layout/process4"/>
    <dgm:cxn modelId="{88867012-9DE1-4232-A36B-29CF0E4FA137}" type="presParOf" srcId="{B5A61A2E-EF4C-453A-879A-87E6FE00A273}" destId="{FA942D60-B64E-4110-9FDB-5A52765CC910}" srcOrd="1" destOrd="0" presId="urn:microsoft.com/office/officeart/2005/8/layout/process4"/>
    <dgm:cxn modelId="{EF20B00F-671D-4ECF-A20A-6FE55E4A55EB}" type="presParOf" srcId="{3B01AD8A-A4D1-4C72-ACE9-6773F4566EA2}" destId="{7F09FC4F-4C39-43EA-A226-45410E916593}" srcOrd="1" destOrd="0" presId="urn:microsoft.com/office/officeart/2005/8/layout/process4"/>
    <dgm:cxn modelId="{A6C196EC-8796-4835-995E-201E33DCAEC9}" type="presParOf" srcId="{3B01AD8A-A4D1-4C72-ACE9-6773F4566EA2}" destId="{878AFD2E-6694-4C78-A3F0-8144D17EF694}" srcOrd="2" destOrd="0" presId="urn:microsoft.com/office/officeart/2005/8/layout/process4"/>
    <dgm:cxn modelId="{8B1CEAD2-13F0-4320-8C79-A4689B4FC558}" type="presParOf" srcId="{878AFD2E-6694-4C78-A3F0-8144D17EF694}" destId="{CF4AFA9F-976C-4690-9B7B-1358D33BD4B8}" srcOrd="0" destOrd="0" presId="urn:microsoft.com/office/officeart/2005/8/layout/process4"/>
    <dgm:cxn modelId="{1C65667F-C852-49B6-940F-BFF4003B658D}" type="presParOf" srcId="{878AFD2E-6694-4C78-A3F0-8144D17EF694}" destId="{0F26D289-EC4F-4DFB-B549-E01DAD8A5BBE}" srcOrd="1" destOrd="0" presId="urn:microsoft.com/office/officeart/2005/8/layout/process4"/>
    <dgm:cxn modelId="{5A1CE9F1-01DA-4CB2-B067-2D865F4458AF}" type="presParOf" srcId="{878AFD2E-6694-4C78-A3F0-8144D17EF694}" destId="{C9B0821C-F321-47C2-B997-853A1EAA9863}" srcOrd="2" destOrd="0" presId="urn:microsoft.com/office/officeart/2005/8/layout/process4"/>
    <dgm:cxn modelId="{71E4F7BD-30BD-4BB9-BB4C-0B2BE3958FD2}" type="presParOf" srcId="{C9B0821C-F321-47C2-B997-853A1EAA9863}" destId="{DB79EDF9-5B2F-44FD-8E09-D1CB09210A69}" srcOrd="0" destOrd="0" presId="urn:microsoft.com/office/officeart/2005/8/layout/process4"/>
    <dgm:cxn modelId="{90A4D568-DCB0-4452-8605-5AE6E73262DA}" type="presParOf" srcId="{C9B0821C-F321-47C2-B997-853A1EAA9863}" destId="{3FB55829-A8B1-47F0-B749-99FE389164E7}" srcOrd="1" destOrd="0" presId="urn:microsoft.com/office/officeart/2005/8/layout/process4"/>
    <dgm:cxn modelId="{2917065C-F2C5-494D-A50F-845911A56792}" type="presParOf" srcId="{3B01AD8A-A4D1-4C72-ACE9-6773F4566EA2}" destId="{609C1E50-4EC1-497B-AC84-90C5757AB624}" srcOrd="3" destOrd="0" presId="urn:microsoft.com/office/officeart/2005/8/layout/process4"/>
    <dgm:cxn modelId="{CFD2FA2C-61CE-422D-BF07-C2925B91D4AC}" type="presParOf" srcId="{3B01AD8A-A4D1-4C72-ACE9-6773F4566EA2}" destId="{42E2CFCD-C4DF-4A7C-A4FE-44A8D70BFEDC}" srcOrd="4" destOrd="0" presId="urn:microsoft.com/office/officeart/2005/8/layout/process4"/>
    <dgm:cxn modelId="{80D324A0-B9A5-40A8-BD42-320A00AC91B7}" type="presParOf" srcId="{42E2CFCD-C4DF-4A7C-A4FE-44A8D70BFEDC}" destId="{52B6BB0D-5E8F-4D53-9AEB-2E6786AC0EE5}" srcOrd="0" destOrd="0" presId="urn:microsoft.com/office/officeart/2005/8/layout/process4"/>
    <dgm:cxn modelId="{FF4CA228-CABB-4501-8011-0B81C01791E7}" type="presParOf" srcId="{42E2CFCD-C4DF-4A7C-A4FE-44A8D70BFEDC}" destId="{8D7F242B-2483-42F2-A010-54B8CD0FAD50}" srcOrd="1" destOrd="0" presId="urn:microsoft.com/office/officeart/2005/8/layout/process4"/>
    <dgm:cxn modelId="{9E3554E4-D87B-4354-8395-4AABB865B3FB}" type="presParOf" srcId="{42E2CFCD-C4DF-4A7C-A4FE-44A8D70BFEDC}" destId="{4B35F970-BE9B-4C93-B49E-666479432E47}" srcOrd="2" destOrd="0" presId="urn:microsoft.com/office/officeart/2005/8/layout/process4"/>
    <dgm:cxn modelId="{A37494C6-924E-45E7-89C2-AF39DCB64296}" type="presParOf" srcId="{4B35F970-BE9B-4C93-B49E-666479432E47}" destId="{1342C1B0-3B62-47FA-BAF9-C11CB2091A35}" srcOrd="0" destOrd="0" presId="urn:microsoft.com/office/officeart/2005/8/layout/process4"/>
    <dgm:cxn modelId="{9BA94A7F-456F-4889-900F-D9A78C2548BB}" type="presParOf" srcId="{4B35F970-BE9B-4C93-B49E-666479432E47}" destId="{6C4AA421-5643-4C5B-A0A6-851AFD49E80E}" srcOrd="1" destOrd="0" presId="urn:microsoft.com/office/officeart/2005/8/layout/process4"/>
    <dgm:cxn modelId="{48CDBDB8-862A-4F51-B1E4-CE1D16321CD8}" type="presParOf" srcId="{3B01AD8A-A4D1-4C72-ACE9-6773F4566EA2}" destId="{EF0494FA-DD06-4532-B910-9658A0B68004}" srcOrd="5" destOrd="0" presId="urn:microsoft.com/office/officeart/2005/8/layout/process4"/>
    <dgm:cxn modelId="{9A4FB3E4-F60E-4351-9FAA-E897DD551A06}" type="presParOf" srcId="{3B01AD8A-A4D1-4C72-ACE9-6773F4566EA2}" destId="{9C94D2A8-7269-4785-BA25-F05A55AF880C}" srcOrd="6" destOrd="0" presId="urn:microsoft.com/office/officeart/2005/8/layout/process4"/>
    <dgm:cxn modelId="{1136543C-E7A7-49D5-A2C6-38C6CA5E2FAD}" type="presParOf" srcId="{9C94D2A8-7269-4785-BA25-F05A55AF880C}" destId="{BF335846-DE0C-471D-BE55-CB69D9884DC6}" srcOrd="0" destOrd="0" presId="urn:microsoft.com/office/officeart/2005/8/layout/process4"/>
    <dgm:cxn modelId="{7B24E2D6-B564-4B42-9825-9DB8069AAFB3}" type="presParOf" srcId="{9C94D2A8-7269-4785-BA25-F05A55AF880C}" destId="{651BBC44-9CC5-49A6-B362-5305A65B28E9}" srcOrd="1" destOrd="0" presId="urn:microsoft.com/office/officeart/2005/8/layout/process4"/>
    <dgm:cxn modelId="{6DCCFE3E-28E3-4E81-9B1E-655768A69694}" type="presParOf" srcId="{9C94D2A8-7269-4785-BA25-F05A55AF880C}" destId="{BED969D4-2E58-4F70-ACBA-646F462F4170}" srcOrd="2" destOrd="0" presId="urn:microsoft.com/office/officeart/2005/8/layout/process4"/>
    <dgm:cxn modelId="{656994D1-399C-40CB-9F5F-1EB7B6AE497E}" type="presParOf" srcId="{BED969D4-2E58-4F70-ACBA-646F462F4170}" destId="{D44676BD-42B8-4B77-996C-55E73EC1E97A}" srcOrd="0" destOrd="0" presId="urn:microsoft.com/office/officeart/2005/8/layout/process4"/>
    <dgm:cxn modelId="{8035CCDC-841C-4297-B4BE-5D06003AF5C0}" type="presParOf" srcId="{BED969D4-2E58-4F70-ACBA-646F462F4170}" destId="{F7C6C38E-A0F7-4E9E-967F-F1B014878816}" srcOrd="1" destOrd="0" presId="urn:microsoft.com/office/officeart/2005/8/layout/process4"/>
    <dgm:cxn modelId="{F73CBB88-C37E-4DFB-8602-68377D9E3AB9}" type="presParOf" srcId="{BED969D4-2E58-4F70-ACBA-646F462F4170}" destId="{1B0A67A2-EC98-4BED-98DC-009F332F0BC2}" srcOrd="2"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A0C152-A2A8-46CA-8061-21E7F24B5AFF}">
      <dsp:nvSpPr>
        <dsp:cNvPr id="0" name=""/>
        <dsp:cNvSpPr/>
      </dsp:nvSpPr>
      <dsp:spPr>
        <a:xfrm>
          <a:off x="0" y="3359402"/>
          <a:ext cx="5886449" cy="73495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kern="1200"/>
            <a:t>Final response</a:t>
          </a:r>
        </a:p>
      </dsp:txBody>
      <dsp:txXfrm>
        <a:off x="0" y="3359402"/>
        <a:ext cx="5886449" cy="396875"/>
      </dsp:txXfrm>
    </dsp:sp>
    <dsp:sp modelId="{1CE2CADD-4BF9-4D75-8EB6-AD8C1CD90F70}">
      <dsp:nvSpPr>
        <dsp:cNvPr id="0" name=""/>
        <dsp:cNvSpPr/>
      </dsp:nvSpPr>
      <dsp:spPr>
        <a:xfrm>
          <a:off x="0" y="3741579"/>
          <a:ext cx="2943225" cy="33807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GB" sz="1100" kern="1200"/>
            <a:t>Finalise report, record findings</a:t>
          </a:r>
        </a:p>
      </dsp:txBody>
      <dsp:txXfrm>
        <a:off x="0" y="3741579"/>
        <a:ext cx="2943225" cy="338079"/>
      </dsp:txXfrm>
    </dsp:sp>
    <dsp:sp modelId="{FA942D60-B64E-4110-9FDB-5A52765CC910}">
      <dsp:nvSpPr>
        <dsp:cNvPr id="0" name=""/>
        <dsp:cNvSpPr/>
      </dsp:nvSpPr>
      <dsp:spPr>
        <a:xfrm>
          <a:off x="2943225" y="3741579"/>
          <a:ext cx="2943225" cy="33807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GB" sz="1100" kern="1200"/>
            <a:t>Sanctions, corrective actions, evaluation</a:t>
          </a:r>
        </a:p>
      </dsp:txBody>
      <dsp:txXfrm>
        <a:off x="2943225" y="3741579"/>
        <a:ext cx="2943225" cy="338079"/>
      </dsp:txXfrm>
    </dsp:sp>
    <dsp:sp modelId="{0F26D289-EC4F-4DFB-B549-E01DAD8A5BBE}">
      <dsp:nvSpPr>
        <dsp:cNvPr id="0" name=""/>
        <dsp:cNvSpPr/>
      </dsp:nvSpPr>
      <dsp:spPr>
        <a:xfrm rot="10800000">
          <a:off x="0" y="2240065"/>
          <a:ext cx="5886449" cy="113036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kern="1200"/>
            <a:t>Early investigation</a:t>
          </a:r>
        </a:p>
      </dsp:txBody>
      <dsp:txXfrm rot="-10800000">
        <a:off x="0" y="2240065"/>
        <a:ext cx="5886449" cy="396756"/>
      </dsp:txXfrm>
    </dsp:sp>
    <dsp:sp modelId="{DB79EDF9-5B2F-44FD-8E09-D1CB09210A69}">
      <dsp:nvSpPr>
        <dsp:cNvPr id="0" name=""/>
        <dsp:cNvSpPr/>
      </dsp:nvSpPr>
      <dsp:spPr>
        <a:xfrm>
          <a:off x="0" y="2636822"/>
          <a:ext cx="2943225" cy="33797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GB" sz="1100" kern="1200"/>
            <a:t>Interim action taken</a:t>
          </a:r>
        </a:p>
      </dsp:txBody>
      <dsp:txXfrm>
        <a:off x="0" y="2636822"/>
        <a:ext cx="2943225" cy="337977"/>
      </dsp:txXfrm>
    </dsp:sp>
    <dsp:sp modelId="{3FB55829-A8B1-47F0-B749-99FE389164E7}">
      <dsp:nvSpPr>
        <dsp:cNvPr id="0" name=""/>
        <dsp:cNvSpPr/>
      </dsp:nvSpPr>
      <dsp:spPr>
        <a:xfrm>
          <a:off x="2943225" y="2636822"/>
          <a:ext cx="2943225" cy="33797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GB" sz="1100" kern="1200"/>
            <a:t>FORM-006 to Board</a:t>
          </a:r>
        </a:p>
      </dsp:txBody>
      <dsp:txXfrm>
        <a:off x="2943225" y="2636822"/>
        <a:ext cx="2943225" cy="337977"/>
      </dsp:txXfrm>
    </dsp:sp>
    <dsp:sp modelId="{8D7F242B-2483-42F2-A010-54B8CD0FAD50}">
      <dsp:nvSpPr>
        <dsp:cNvPr id="0" name=""/>
        <dsp:cNvSpPr/>
      </dsp:nvSpPr>
      <dsp:spPr>
        <a:xfrm rot="10800000">
          <a:off x="0" y="1120729"/>
          <a:ext cx="5886449" cy="113036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kern="1200"/>
            <a:t>Data Protection Incident</a:t>
          </a:r>
        </a:p>
      </dsp:txBody>
      <dsp:txXfrm rot="-10800000">
        <a:off x="0" y="1120729"/>
        <a:ext cx="5886449" cy="396756"/>
      </dsp:txXfrm>
    </dsp:sp>
    <dsp:sp modelId="{1342C1B0-3B62-47FA-BAF9-C11CB2091A35}">
      <dsp:nvSpPr>
        <dsp:cNvPr id="0" name=""/>
        <dsp:cNvSpPr/>
      </dsp:nvSpPr>
      <dsp:spPr>
        <a:xfrm>
          <a:off x="0" y="1517485"/>
          <a:ext cx="2943225" cy="33797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GB" sz="1100" kern="1200"/>
            <a:t>FORM-006 started</a:t>
          </a:r>
        </a:p>
      </dsp:txBody>
      <dsp:txXfrm>
        <a:off x="0" y="1517485"/>
        <a:ext cx="2943225" cy="337977"/>
      </dsp:txXfrm>
    </dsp:sp>
    <dsp:sp modelId="{6C4AA421-5643-4C5B-A0A6-851AFD49E80E}">
      <dsp:nvSpPr>
        <dsp:cNvPr id="0" name=""/>
        <dsp:cNvSpPr/>
      </dsp:nvSpPr>
      <dsp:spPr>
        <a:xfrm>
          <a:off x="2943225" y="1517485"/>
          <a:ext cx="2943225" cy="33797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GB" sz="1100" kern="1200"/>
            <a:t>IG Office informed</a:t>
          </a:r>
        </a:p>
      </dsp:txBody>
      <dsp:txXfrm>
        <a:off x="2943225" y="1517485"/>
        <a:ext cx="2943225" cy="337977"/>
      </dsp:txXfrm>
    </dsp:sp>
    <dsp:sp modelId="{651BBC44-9CC5-49A6-B362-5305A65B28E9}">
      <dsp:nvSpPr>
        <dsp:cNvPr id="0" name=""/>
        <dsp:cNvSpPr/>
      </dsp:nvSpPr>
      <dsp:spPr>
        <a:xfrm rot="10800000">
          <a:off x="0" y="1392"/>
          <a:ext cx="5886449" cy="113036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GB" sz="1400" kern="1200"/>
            <a:t>Security event reported</a:t>
          </a:r>
        </a:p>
      </dsp:txBody>
      <dsp:txXfrm rot="-10800000">
        <a:off x="0" y="1392"/>
        <a:ext cx="5886449" cy="396756"/>
      </dsp:txXfrm>
    </dsp:sp>
    <dsp:sp modelId="{D44676BD-42B8-4B77-996C-55E73EC1E97A}">
      <dsp:nvSpPr>
        <dsp:cNvPr id="0" name=""/>
        <dsp:cNvSpPr/>
      </dsp:nvSpPr>
      <dsp:spPr>
        <a:xfrm>
          <a:off x="2874" y="398149"/>
          <a:ext cx="1960233" cy="33797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GB" sz="1100" kern="1200"/>
            <a:t>Assessment vs incident criteria</a:t>
          </a:r>
        </a:p>
      </dsp:txBody>
      <dsp:txXfrm>
        <a:off x="2874" y="398149"/>
        <a:ext cx="1960233" cy="337977"/>
      </dsp:txXfrm>
    </dsp:sp>
    <dsp:sp modelId="{F7C6C38E-A0F7-4E9E-967F-F1B014878816}">
      <dsp:nvSpPr>
        <dsp:cNvPr id="0" name=""/>
        <dsp:cNvSpPr/>
      </dsp:nvSpPr>
      <dsp:spPr>
        <a:xfrm>
          <a:off x="1963108" y="398149"/>
          <a:ext cx="1960233" cy="33797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GB" sz="1100" kern="1200"/>
            <a:t>Assignment of responsibiities</a:t>
          </a:r>
        </a:p>
      </dsp:txBody>
      <dsp:txXfrm>
        <a:off x="1963108" y="398149"/>
        <a:ext cx="1960233" cy="337977"/>
      </dsp:txXfrm>
    </dsp:sp>
    <dsp:sp modelId="{1B0A67A2-EC98-4BED-98DC-009F332F0BC2}">
      <dsp:nvSpPr>
        <dsp:cNvPr id="0" name=""/>
        <dsp:cNvSpPr/>
      </dsp:nvSpPr>
      <dsp:spPr>
        <a:xfrm>
          <a:off x="3923341" y="398149"/>
          <a:ext cx="1960233" cy="33797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GB" sz="1100" kern="1200"/>
            <a:t>Review of classification details</a:t>
          </a:r>
        </a:p>
      </dsp:txBody>
      <dsp:txXfrm>
        <a:off x="3923341" y="398149"/>
        <a:ext cx="1960233" cy="3379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A5750-A85D-B145-9167-08F7FE52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3657</Words>
  <Characters>20849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2020-04-19T10:14:00Z</dcterms:modified>
</cp:coreProperties>
</file>