
<file path=[Content_Types].xml><?xml version="1.0" encoding="utf-8"?>
<Types xmlns="http://schemas.openxmlformats.org/package/2006/content-types">
  <Default Extension="bin" ContentType="application/vnd.ms-word.attachedToolbar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F64866" w:rsidRPr="009D002B" w:rsidRDefault="008B14D0" w:rsidP="00614C28">
      <w:r w:rsidRPr="009D002B">
        <w:rPr>
          <w:noProof/>
          <w:lang w:eastAsia="en-GB"/>
        </w:rPr>
        <w:drawing>
          <wp:anchor distT="0" distB="0" distL="114300" distR="114300" simplePos="0" relativeHeight="251658240" behindDoc="0" locked="0" layoutInCell="1" allowOverlap="0">
            <wp:simplePos x="0" y="0"/>
            <wp:positionH relativeFrom="column">
              <wp:posOffset>1456055</wp:posOffset>
            </wp:positionH>
            <wp:positionV relativeFrom="page">
              <wp:posOffset>544830</wp:posOffset>
            </wp:positionV>
            <wp:extent cx="2887345" cy="1855470"/>
            <wp:effectExtent l="0" t="0" r="825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2887345" cy="1855470"/>
                    </a:xfrm>
                    <a:prstGeom prst="rect">
                      <a:avLst/>
                    </a:prstGeom>
                    <a:extLst>
                      <a:ext uri="{FAA26D3D-D897-4be2-8F04-BA451C77F1D7}">
                        <ma14:placeholderFlag xmlns="" xmlns:ma14="http://schemas.microsoft.com/office/mac/drawingml/2011/main" xmlns:mo="http://schemas.microsoft.com/office/mac/office/2008/main" xmlns:mv="urn:schemas-microsoft-com:mac:vml" xmlns:o="urn:schemas-microsoft-com:office:office" xmlns:v="urn:schemas-microsoft-com:vml" xmlns:w="http://schemas.openxmlformats.org/wordprocessingml/2006/main" xmlns:w10="urn:schemas-microsoft-com:office:word"/>
                      </a:ext>
                    </a:extLst>
                  </pic:spPr>
                </pic:pic>
              </a:graphicData>
            </a:graphic>
          </wp:anchor>
        </w:drawing>
      </w:r>
    </w:p>
    <w:p w:rsidR="00F64866" w:rsidRPr="009D002B" w:rsidRDefault="00B84E59" w:rsidP="00A35784"/>
    <w:p w:rsidR="00F64866" w:rsidRPr="005B6D5E" w:rsidRDefault="008B14D0" w:rsidP="005B6D5E">
      <w:pPr>
        <w:pStyle w:val="ISMSNormal"/>
        <w:jc w:val="center"/>
        <w:rPr>
          <w:b/>
        </w:rPr>
      </w:pPr>
      <w:r w:rsidRPr="005B6D5E">
        <w:rPr>
          <w:b/>
        </w:rPr>
        <w:t>STANDARD OPERATING PROCEDURE</w:t>
      </w:r>
    </w:p>
    <w:p w:rsidR="00F64866" w:rsidRPr="005B6D5E" w:rsidRDefault="008B14D0" w:rsidP="005B6D5E">
      <w:pPr>
        <w:pStyle w:val="ISMSNormal"/>
        <w:jc w:val="center"/>
        <w:rPr>
          <w:b/>
        </w:rPr>
      </w:pPr>
      <w:r w:rsidRPr="005B6D5E">
        <w:rPr>
          <w:b/>
        </w:rPr>
        <w:t>Do not Photocopy</w:t>
      </w:r>
    </w:p>
    <w:p w:rsidR="00F64866" w:rsidRPr="005B6D5E" w:rsidRDefault="00B84E59" w:rsidP="005B6D5E">
      <w:pPr>
        <w:pStyle w:val="ISMSNormal"/>
        <w:jc w:val="center"/>
        <w:rPr>
          <w:b/>
        </w:rPr>
      </w:pPr>
    </w:p>
    <w:p w:rsidR="000154F2" w:rsidRPr="00F06990" w:rsidRDefault="008B14D0" w:rsidP="000154F2">
      <w:pPr>
        <w:pStyle w:val="ISMSNormal"/>
        <w:jc w:val="center"/>
        <w:rPr>
          <w:b/>
        </w:rPr>
      </w:pPr>
      <w:r>
        <w:rPr>
          <w:b/>
        </w:rPr>
        <w:t xml:space="preserve">Document Information Classification: </w:t>
      </w:r>
      <w:r w:rsidRPr="00AE1A55">
        <w:rPr>
          <w:b/>
        </w:rPr>
        <w:t>Unrestricted</w:t>
      </w:r>
    </w:p>
    <w:p w:rsidR="00F64866" w:rsidRPr="00A214A6" w:rsidRDefault="00B84E59" w:rsidP="00A35784"/>
    <w:tbl>
      <w:tblPr>
        <w:tblW w:w="5000" w:type="pct"/>
        <w:jc w:val="center"/>
        <w:tblBorders>
          <w:top w:val="single" w:sz="8" w:space="0" w:color="auto"/>
          <w:left w:val="single" w:sz="8" w:space="0" w:color="auto"/>
          <w:bottom w:val="single" w:sz="8" w:space="0" w:color="auto"/>
          <w:right w:val="single" w:sz="8" w:space="0" w:color="auto"/>
        </w:tblBorders>
        <w:tblLook w:val="01E0" w:firstRow="1" w:lastRow="1" w:firstColumn="1" w:lastColumn="1" w:noHBand="0" w:noVBand="0"/>
      </w:tblPr>
      <w:tblGrid>
        <w:gridCol w:w="3444"/>
        <w:gridCol w:w="5562"/>
      </w:tblGrid>
      <w:tr w:rsidR="006A53EF" w:rsidTr="00727201">
        <w:trPr>
          <w:jc w:val="center"/>
        </w:trPr>
        <w:tc>
          <w:tcPr>
            <w:tcW w:w="1912" w:type="pct"/>
            <w:tcBorders>
              <w:top w:val="single" w:sz="8" w:space="0" w:color="auto"/>
            </w:tcBorders>
          </w:tcPr>
          <w:p w:rsidR="00F64866" w:rsidRPr="005B6D5E" w:rsidRDefault="008B14D0" w:rsidP="005B6D5E">
            <w:pPr>
              <w:pStyle w:val="ISMSNormal"/>
              <w:spacing w:before="120" w:after="120"/>
              <w:rPr>
                <w:b/>
                <w:lang w:eastAsia="en-GB"/>
              </w:rPr>
            </w:pPr>
            <w:r w:rsidRPr="005B6D5E">
              <w:rPr>
                <w:b/>
                <w:lang w:eastAsia="en-GB"/>
              </w:rPr>
              <w:t xml:space="preserve">Title: </w:t>
            </w:r>
          </w:p>
        </w:tc>
        <w:tc>
          <w:tcPr>
            <w:tcW w:w="3088" w:type="pct"/>
            <w:tcBorders>
              <w:top w:val="single" w:sz="8" w:space="0" w:color="auto"/>
            </w:tcBorders>
          </w:tcPr>
          <w:p w:rsidR="00F64866" w:rsidRPr="005B6D5E" w:rsidRDefault="008B14D0" w:rsidP="005B6D5E">
            <w:pPr>
              <w:pStyle w:val="ISMSNormal"/>
              <w:spacing w:before="120" w:after="120"/>
              <w:rPr>
                <w:b/>
                <w:lang w:eastAsia="en-GB"/>
              </w:rPr>
            </w:pPr>
            <w:r w:rsidRPr="005B6D5E">
              <w:rPr>
                <w:b/>
                <w:lang w:eastAsia="en-GB"/>
              </w:rPr>
              <w:fldChar w:fldCharType="begin"/>
            </w:r>
            <w:r w:rsidRPr="005B6D5E">
              <w:rPr>
                <w:b/>
                <w:lang w:eastAsia="en-GB"/>
              </w:rPr>
              <w:instrText xml:space="preserve"> DOCVARIABLE QPulse_DocTitle  \* MERGEFORMAT </w:instrText>
            </w:r>
            <w:r w:rsidRPr="005B6D5E">
              <w:rPr>
                <w:b/>
                <w:lang w:eastAsia="en-GB"/>
              </w:rPr>
              <w:fldChar w:fldCharType="separate"/>
            </w:r>
            <w:r>
              <w:rPr>
                <w:b/>
                <w:lang w:eastAsia="en-GB"/>
              </w:rPr>
              <w:t>TRE Change Control</w:t>
            </w:r>
            <w:r w:rsidRPr="005B6D5E">
              <w:rPr>
                <w:b/>
                <w:lang w:eastAsia="en-GB"/>
              </w:rPr>
              <w:fldChar w:fldCharType="end"/>
            </w:r>
          </w:p>
        </w:tc>
      </w:tr>
      <w:tr w:rsidR="006A53EF" w:rsidTr="00727201">
        <w:trPr>
          <w:jc w:val="center"/>
        </w:trPr>
        <w:tc>
          <w:tcPr>
            <w:tcW w:w="1912" w:type="pct"/>
          </w:tcPr>
          <w:p w:rsidR="00F64866" w:rsidRPr="005B6D5E" w:rsidRDefault="008B14D0" w:rsidP="005B6D5E">
            <w:pPr>
              <w:pStyle w:val="ISMSNormal"/>
              <w:spacing w:before="120" w:after="120"/>
              <w:rPr>
                <w:b/>
                <w:lang w:eastAsia="en-GB"/>
              </w:rPr>
            </w:pPr>
            <w:r w:rsidRPr="005B6D5E">
              <w:rPr>
                <w:b/>
                <w:lang w:eastAsia="en-GB"/>
              </w:rPr>
              <w:t>Effective Date:</w:t>
            </w:r>
          </w:p>
        </w:tc>
        <w:tc>
          <w:tcPr>
            <w:tcW w:w="3088" w:type="pct"/>
          </w:tcPr>
          <w:p w:rsidR="00F64866" w:rsidRPr="005B6D5E" w:rsidRDefault="008B14D0" w:rsidP="005B6D5E">
            <w:pPr>
              <w:pStyle w:val="ISMSNormal"/>
              <w:spacing w:before="120" w:after="120"/>
              <w:rPr>
                <w:b/>
                <w:lang w:eastAsia="en-GB"/>
              </w:rPr>
            </w:pPr>
            <w:r w:rsidRPr="005B6D5E">
              <w:rPr>
                <w:b/>
                <w:lang w:eastAsia="en-GB"/>
              </w:rPr>
              <w:fldChar w:fldCharType="begin"/>
            </w:r>
            <w:r w:rsidRPr="005B6D5E">
              <w:rPr>
                <w:b/>
                <w:lang w:eastAsia="en-GB"/>
              </w:rPr>
              <w:instrText xml:space="preserve"> DOCVARIABLE  QPulse_DocActiveDate \@"dd MMM yyyy" \* MERGEFORMAT </w:instrText>
            </w:r>
            <w:r w:rsidRPr="005B6D5E">
              <w:rPr>
                <w:b/>
                <w:lang w:eastAsia="en-GB"/>
              </w:rPr>
              <w:fldChar w:fldCharType="separate"/>
            </w:r>
            <w:r>
              <w:rPr>
                <w:b/>
                <w:lang w:eastAsia="en-GB"/>
              </w:rPr>
              <w:t>22 Jul 2019</w:t>
            </w:r>
            <w:r w:rsidRPr="005B6D5E">
              <w:rPr>
                <w:b/>
                <w:lang w:eastAsia="en-GB"/>
              </w:rPr>
              <w:fldChar w:fldCharType="end"/>
            </w:r>
          </w:p>
        </w:tc>
      </w:tr>
      <w:tr w:rsidR="006A53EF" w:rsidTr="00727201">
        <w:trPr>
          <w:jc w:val="center"/>
        </w:trPr>
        <w:tc>
          <w:tcPr>
            <w:tcW w:w="1912" w:type="pct"/>
          </w:tcPr>
          <w:p w:rsidR="00F64866" w:rsidRPr="005B6D5E" w:rsidRDefault="008B14D0" w:rsidP="005B6D5E">
            <w:pPr>
              <w:pStyle w:val="ISMSNormal"/>
              <w:spacing w:before="120" w:after="120"/>
              <w:rPr>
                <w:b/>
                <w:lang w:eastAsia="en-GB"/>
              </w:rPr>
            </w:pPr>
            <w:r w:rsidRPr="005B6D5E">
              <w:rPr>
                <w:b/>
                <w:lang w:eastAsia="en-GB"/>
              </w:rPr>
              <w:t>Reference Number:</w:t>
            </w:r>
          </w:p>
        </w:tc>
        <w:tc>
          <w:tcPr>
            <w:tcW w:w="3088" w:type="pct"/>
          </w:tcPr>
          <w:p w:rsidR="00F64866" w:rsidRPr="005B6D5E" w:rsidRDefault="008B14D0" w:rsidP="005B6D5E">
            <w:pPr>
              <w:pStyle w:val="ISMSNormal"/>
              <w:spacing w:before="120" w:after="120"/>
              <w:rPr>
                <w:b/>
                <w:lang w:eastAsia="en-GB"/>
              </w:rPr>
            </w:pPr>
            <w:r w:rsidRPr="005B6D5E">
              <w:rPr>
                <w:b/>
                <w:lang w:eastAsia="en-GB"/>
              </w:rPr>
              <w:fldChar w:fldCharType="begin"/>
            </w:r>
            <w:r w:rsidRPr="005B6D5E">
              <w:rPr>
                <w:b/>
                <w:lang w:eastAsia="en-GB"/>
              </w:rPr>
              <w:instrText xml:space="preserve"> DOCVARIABLE QPulse_DocNumber \* MERGEFORMAT </w:instrText>
            </w:r>
            <w:r w:rsidRPr="005B6D5E">
              <w:rPr>
                <w:b/>
                <w:lang w:eastAsia="en-GB"/>
              </w:rPr>
              <w:fldChar w:fldCharType="separate"/>
            </w:r>
            <w:r>
              <w:rPr>
                <w:b/>
                <w:lang w:eastAsia="en-GB"/>
              </w:rPr>
              <w:t>SOP-03-08</w:t>
            </w:r>
            <w:r w:rsidRPr="005B6D5E">
              <w:rPr>
                <w:b/>
                <w:lang w:eastAsia="en-GB"/>
              </w:rPr>
              <w:fldChar w:fldCharType="end"/>
            </w:r>
          </w:p>
        </w:tc>
      </w:tr>
      <w:tr w:rsidR="006A53EF" w:rsidTr="00727201">
        <w:trPr>
          <w:jc w:val="center"/>
        </w:trPr>
        <w:tc>
          <w:tcPr>
            <w:tcW w:w="1912" w:type="pct"/>
          </w:tcPr>
          <w:p w:rsidR="00F64866" w:rsidRPr="005B6D5E" w:rsidRDefault="008B14D0" w:rsidP="005B6D5E">
            <w:pPr>
              <w:pStyle w:val="ISMSNormal"/>
              <w:spacing w:before="120" w:after="120"/>
              <w:rPr>
                <w:b/>
                <w:lang w:eastAsia="en-GB"/>
              </w:rPr>
            </w:pPr>
            <w:r w:rsidRPr="005B6D5E">
              <w:rPr>
                <w:b/>
                <w:lang w:eastAsia="en-GB"/>
              </w:rPr>
              <w:t>Version Number:</w:t>
            </w:r>
          </w:p>
        </w:tc>
        <w:tc>
          <w:tcPr>
            <w:tcW w:w="3088" w:type="pct"/>
          </w:tcPr>
          <w:p w:rsidR="00F64866" w:rsidRPr="005B6D5E" w:rsidRDefault="008B14D0" w:rsidP="005B6D5E">
            <w:pPr>
              <w:pStyle w:val="ISMSNormal"/>
              <w:spacing w:before="120" w:after="120"/>
              <w:rPr>
                <w:b/>
                <w:lang w:eastAsia="en-GB"/>
              </w:rPr>
            </w:pPr>
            <w:r w:rsidRPr="005B6D5E">
              <w:rPr>
                <w:b/>
                <w:lang w:eastAsia="en-GB"/>
              </w:rPr>
              <w:fldChar w:fldCharType="begin"/>
            </w:r>
            <w:r w:rsidRPr="005B6D5E">
              <w:rPr>
                <w:b/>
                <w:lang w:eastAsia="en-GB"/>
              </w:rPr>
              <w:instrText xml:space="preserve"> DOCVARIABLE  QPulse_DocRevisionNumber  \* MERGEFORMAT </w:instrText>
            </w:r>
            <w:r w:rsidRPr="005B6D5E">
              <w:rPr>
                <w:b/>
                <w:lang w:eastAsia="en-GB"/>
              </w:rPr>
              <w:fldChar w:fldCharType="separate"/>
            </w:r>
            <w:r>
              <w:rPr>
                <w:b/>
                <w:lang w:eastAsia="en-GB"/>
              </w:rPr>
              <w:t>3.0</w:t>
            </w:r>
            <w:r w:rsidRPr="005B6D5E">
              <w:rPr>
                <w:b/>
                <w:lang w:eastAsia="en-GB"/>
              </w:rPr>
              <w:fldChar w:fldCharType="end"/>
            </w:r>
          </w:p>
        </w:tc>
      </w:tr>
      <w:tr w:rsidR="006A53EF" w:rsidTr="00727201">
        <w:trPr>
          <w:jc w:val="center"/>
        </w:trPr>
        <w:tc>
          <w:tcPr>
            <w:tcW w:w="1912" w:type="pct"/>
          </w:tcPr>
          <w:p w:rsidR="00F64866" w:rsidRPr="005B6D5E" w:rsidRDefault="008B14D0" w:rsidP="005B6D5E">
            <w:pPr>
              <w:pStyle w:val="ISMSNormal"/>
              <w:spacing w:before="120" w:after="120"/>
              <w:rPr>
                <w:b/>
                <w:lang w:eastAsia="en-GB"/>
              </w:rPr>
            </w:pPr>
            <w:r w:rsidRPr="005B6D5E">
              <w:rPr>
                <w:b/>
                <w:lang w:eastAsia="en-GB"/>
              </w:rPr>
              <w:t>Owner:</w:t>
            </w:r>
          </w:p>
        </w:tc>
        <w:tc>
          <w:tcPr>
            <w:tcW w:w="3088" w:type="pct"/>
          </w:tcPr>
          <w:p w:rsidR="00F64866" w:rsidRPr="005B6D5E" w:rsidRDefault="008B14D0" w:rsidP="005B6D5E">
            <w:pPr>
              <w:pStyle w:val="ISMSNormal"/>
              <w:spacing w:before="120" w:after="120"/>
              <w:rPr>
                <w:b/>
                <w:lang w:eastAsia="en-GB"/>
              </w:rPr>
            </w:pPr>
            <w:r w:rsidRPr="005B6D5E">
              <w:rPr>
                <w:b/>
                <w:lang w:eastAsia="en-GB"/>
              </w:rPr>
              <w:fldChar w:fldCharType="begin"/>
            </w:r>
            <w:r w:rsidRPr="005B6D5E">
              <w:rPr>
                <w:b/>
                <w:lang w:eastAsia="en-GB"/>
              </w:rPr>
              <w:instrText xml:space="preserve"> DOCVARIABLE  QPulse_DocOwner \* MERGEFORMAT </w:instrText>
            </w:r>
            <w:r w:rsidRPr="005B6D5E">
              <w:rPr>
                <w:b/>
                <w:lang w:eastAsia="en-GB"/>
              </w:rPr>
              <w:fldChar w:fldCharType="separate"/>
            </w:r>
            <w:r>
              <w:rPr>
                <w:b/>
                <w:lang w:eastAsia="en-GB"/>
              </w:rPr>
              <w:t>Information Security Manager,</w:t>
            </w:r>
            <w:r w:rsidRPr="005B6D5E">
              <w:rPr>
                <w:b/>
                <w:lang w:eastAsia="en-GB"/>
              </w:rPr>
              <w:t xml:space="preserve">  </w:t>
            </w:r>
            <w:r w:rsidRPr="005B6D5E">
              <w:rPr>
                <w:b/>
                <w:lang w:eastAsia="en-GB"/>
              </w:rPr>
              <w:fldChar w:fldCharType="end"/>
            </w:r>
          </w:p>
        </w:tc>
      </w:tr>
      <w:tr w:rsidR="006A53EF" w:rsidTr="00727201">
        <w:trPr>
          <w:jc w:val="center"/>
        </w:trPr>
        <w:tc>
          <w:tcPr>
            <w:tcW w:w="1912" w:type="pct"/>
            <w:tcBorders>
              <w:bottom w:val="single" w:sz="8" w:space="0" w:color="auto"/>
            </w:tcBorders>
          </w:tcPr>
          <w:p w:rsidR="00F64866" w:rsidRPr="005B6D5E" w:rsidRDefault="008B14D0" w:rsidP="005B6D5E">
            <w:pPr>
              <w:pStyle w:val="ISMSNormal"/>
              <w:spacing w:before="120" w:after="120"/>
              <w:rPr>
                <w:b/>
                <w:lang w:eastAsia="en-GB"/>
              </w:rPr>
            </w:pPr>
            <w:r w:rsidRPr="005B6D5E">
              <w:rPr>
                <w:b/>
                <w:lang w:eastAsia="en-GB"/>
              </w:rPr>
              <w:t>Review Date:</w:t>
            </w:r>
          </w:p>
        </w:tc>
        <w:tc>
          <w:tcPr>
            <w:tcW w:w="3088" w:type="pct"/>
            <w:tcBorders>
              <w:bottom w:val="single" w:sz="8" w:space="0" w:color="auto"/>
            </w:tcBorders>
          </w:tcPr>
          <w:p w:rsidR="00F64866" w:rsidRPr="005B6D5E" w:rsidRDefault="008B14D0" w:rsidP="005B6D5E">
            <w:pPr>
              <w:pStyle w:val="ISMSNormal"/>
              <w:spacing w:before="120" w:after="120"/>
              <w:rPr>
                <w:b/>
                <w:lang w:eastAsia="en-GB"/>
              </w:rPr>
            </w:pPr>
            <w:r w:rsidRPr="005B6D5E">
              <w:rPr>
                <w:b/>
                <w:lang w:eastAsia="en-GB"/>
              </w:rPr>
              <w:fldChar w:fldCharType="begin"/>
            </w:r>
            <w:r w:rsidRPr="005B6D5E">
              <w:rPr>
                <w:b/>
                <w:lang w:eastAsia="en-GB"/>
              </w:rPr>
              <w:instrText xml:space="preserve"> DOCVARIABLE  QPulse_DocReviewDate \@"dd MMM yyyy" \* MERGEFORMAT </w:instrText>
            </w:r>
            <w:r w:rsidRPr="005B6D5E">
              <w:rPr>
                <w:b/>
                <w:lang w:eastAsia="en-GB"/>
              </w:rPr>
              <w:fldChar w:fldCharType="separate"/>
            </w:r>
            <w:r>
              <w:rPr>
                <w:b/>
                <w:lang w:eastAsia="en-GB"/>
              </w:rPr>
              <w:t>22 Jul 2021</w:t>
            </w:r>
            <w:r w:rsidRPr="005B6D5E">
              <w:rPr>
                <w:b/>
                <w:lang w:eastAsia="en-GB"/>
              </w:rPr>
              <w:fldChar w:fldCharType="end"/>
            </w:r>
          </w:p>
        </w:tc>
      </w:tr>
    </w:tbl>
    <w:p w:rsidR="00F64866" w:rsidRPr="00A214A6" w:rsidRDefault="00B84E59" w:rsidP="00A35784"/>
    <w:p w:rsidR="00F64866" w:rsidRPr="00A214A6" w:rsidRDefault="008B14D0" w:rsidP="00A35784">
      <w:r w:rsidRPr="00A214A6">
        <w:br w:type="page"/>
      </w:r>
    </w:p>
    <w:p w:rsidR="00A04182" w:rsidRPr="009D002B" w:rsidRDefault="00B84E59" w:rsidP="00A35784"/>
    <w:sdt>
      <w:sdtPr>
        <w:rPr>
          <w:rFonts w:eastAsiaTheme="minorHAnsi" w:cstheme="minorBidi"/>
          <w:b w:val="0"/>
          <w:bCs w:val="0"/>
          <w:szCs w:val="22"/>
          <w:lang w:val="en-GB" w:eastAsia="en-US"/>
        </w:rPr>
        <w:id w:val="-298079850"/>
        <w:docPartObj>
          <w:docPartGallery w:val="Table of Contents"/>
          <w:docPartUnique/>
        </w:docPartObj>
      </w:sdtPr>
      <w:sdtEndPr>
        <w:rPr>
          <w:rFonts w:eastAsiaTheme="majorEastAsia" w:cs="Arial"/>
          <w:b/>
          <w:bCs/>
          <w:noProof/>
          <w:szCs w:val="24"/>
          <w:lang w:val="en-US" w:eastAsia="ja-JP"/>
        </w:rPr>
      </w:sdtEndPr>
      <w:sdtContent>
        <w:p w:rsidR="002C7566" w:rsidRDefault="008B14D0" w:rsidP="00A35784">
          <w:pPr>
            <w:pStyle w:val="TOCHeading"/>
          </w:pPr>
          <w:r w:rsidRPr="00A35784">
            <w:t>Table of Contents</w:t>
          </w:r>
        </w:p>
        <w:p w:rsidR="006735AF" w:rsidRPr="006735AF" w:rsidRDefault="00B84E59" w:rsidP="006735AF">
          <w:pPr>
            <w:rPr>
              <w:lang w:val="en-US" w:eastAsia="ja-JP"/>
            </w:rPr>
          </w:pPr>
        </w:p>
        <w:p w:rsidR="006A53EF" w:rsidRDefault="008B14D0">
          <w:pPr>
            <w:pStyle w:val="TOC1"/>
            <w:tabs>
              <w:tab w:val="left" w:pos="480"/>
              <w:tab w:val="right" w:leader="dot" w:pos="9016"/>
            </w:tabs>
            <w:rPr>
              <w:rFonts w:asciiTheme="minorHAnsi" w:hAnsiTheme="minorHAnsi"/>
              <w:noProof/>
            </w:rPr>
          </w:pPr>
          <w:r>
            <w:rPr>
              <w:rFonts w:cstheme="minorBidi"/>
              <w:szCs w:val="22"/>
            </w:rPr>
            <w:fldChar w:fldCharType="begin"/>
          </w:r>
          <w:r>
            <w:instrText xml:space="preserve"> TOC \o "1-9" \h \z \t "ISMS Heading 2,2,ISMS Heading 1,1,ISMS Heading 3,3,ISMS Heading 4,4" </w:instrText>
          </w:r>
          <w:r>
            <w:rPr>
              <w:rFonts w:cstheme="minorBidi"/>
              <w:szCs w:val="22"/>
            </w:rPr>
            <w:fldChar w:fldCharType="separate"/>
          </w:r>
          <w:hyperlink w:anchor="_Toc256000059" w:history="1">
            <w:r>
              <w:rPr>
                <w:rStyle w:val="Hyperlink"/>
              </w:rPr>
              <w:t>1.</w:t>
            </w:r>
            <w:r>
              <w:rPr>
                <w:rFonts w:asciiTheme="minorHAnsi" w:hAnsiTheme="minorHAnsi"/>
                <w:noProof/>
              </w:rPr>
              <w:tab/>
            </w:r>
            <w:r w:rsidRPr="001D5F3B">
              <w:rPr>
                <w:rStyle w:val="Hyperlink"/>
              </w:rPr>
              <w:t>Purpose</w:t>
            </w:r>
            <w:r>
              <w:tab/>
            </w:r>
            <w:r>
              <w:fldChar w:fldCharType="begin"/>
            </w:r>
            <w:r>
              <w:instrText xml:space="preserve"> PAGEREF _Toc256000059 \h </w:instrText>
            </w:r>
            <w:r>
              <w:fldChar w:fldCharType="separate"/>
            </w:r>
            <w:r>
              <w:t>3</w:t>
            </w:r>
            <w:r>
              <w:fldChar w:fldCharType="end"/>
            </w:r>
          </w:hyperlink>
        </w:p>
        <w:p w:rsidR="006A53EF" w:rsidRDefault="00B84E59">
          <w:pPr>
            <w:pStyle w:val="TOC1"/>
            <w:tabs>
              <w:tab w:val="left" w:pos="480"/>
              <w:tab w:val="right" w:leader="dot" w:pos="9016"/>
            </w:tabs>
            <w:rPr>
              <w:rFonts w:asciiTheme="minorHAnsi" w:hAnsiTheme="minorHAnsi"/>
              <w:noProof/>
            </w:rPr>
          </w:pPr>
          <w:hyperlink w:anchor="_Toc256000080" w:history="1">
            <w:r w:rsidR="008B14D0">
              <w:rPr>
                <w:rStyle w:val="Hyperlink"/>
              </w:rPr>
              <w:t>2.</w:t>
            </w:r>
            <w:r w:rsidR="008B14D0">
              <w:rPr>
                <w:rFonts w:asciiTheme="minorHAnsi" w:hAnsiTheme="minorHAnsi"/>
                <w:noProof/>
              </w:rPr>
              <w:tab/>
            </w:r>
            <w:r w:rsidR="008B14D0" w:rsidRPr="001D5F3B">
              <w:rPr>
                <w:rStyle w:val="Hyperlink"/>
              </w:rPr>
              <w:t>Scope</w:t>
            </w:r>
            <w:r w:rsidR="008B14D0">
              <w:tab/>
            </w:r>
            <w:r w:rsidR="008B14D0">
              <w:fldChar w:fldCharType="begin"/>
            </w:r>
            <w:r w:rsidR="008B14D0">
              <w:instrText xml:space="preserve"> PAGEREF _Toc256000080 \h </w:instrText>
            </w:r>
            <w:r w:rsidR="008B14D0">
              <w:fldChar w:fldCharType="separate"/>
            </w:r>
            <w:r w:rsidR="008B14D0">
              <w:t>3</w:t>
            </w:r>
            <w:r w:rsidR="008B14D0">
              <w:fldChar w:fldCharType="end"/>
            </w:r>
          </w:hyperlink>
        </w:p>
        <w:p w:rsidR="006A53EF" w:rsidRDefault="00B84E59">
          <w:pPr>
            <w:pStyle w:val="TOC1"/>
            <w:tabs>
              <w:tab w:val="left" w:pos="480"/>
              <w:tab w:val="right" w:leader="dot" w:pos="9016"/>
            </w:tabs>
            <w:rPr>
              <w:rFonts w:asciiTheme="minorHAnsi" w:hAnsiTheme="minorHAnsi"/>
              <w:noProof/>
            </w:rPr>
          </w:pPr>
          <w:hyperlink w:anchor="_Toc256000081" w:history="1">
            <w:r w:rsidR="008B14D0">
              <w:rPr>
                <w:rStyle w:val="Hyperlink"/>
              </w:rPr>
              <w:t>3.</w:t>
            </w:r>
            <w:r w:rsidR="008B14D0">
              <w:rPr>
                <w:rFonts w:asciiTheme="minorHAnsi" w:hAnsiTheme="minorHAnsi"/>
                <w:noProof/>
              </w:rPr>
              <w:tab/>
            </w:r>
            <w:r w:rsidR="008B14D0" w:rsidRPr="001D5F3B">
              <w:rPr>
                <w:rStyle w:val="Hyperlink"/>
              </w:rPr>
              <w:t>Responsibilities</w:t>
            </w:r>
            <w:r w:rsidR="008B14D0">
              <w:tab/>
            </w:r>
            <w:r w:rsidR="008B14D0">
              <w:fldChar w:fldCharType="begin"/>
            </w:r>
            <w:r w:rsidR="008B14D0">
              <w:instrText xml:space="preserve"> PAGEREF _Toc256000081 \h </w:instrText>
            </w:r>
            <w:r w:rsidR="008B14D0">
              <w:fldChar w:fldCharType="separate"/>
            </w:r>
            <w:r w:rsidR="008B14D0">
              <w:t>3</w:t>
            </w:r>
            <w:r w:rsidR="008B14D0">
              <w:fldChar w:fldCharType="end"/>
            </w:r>
          </w:hyperlink>
        </w:p>
        <w:p w:rsidR="006A53EF" w:rsidRDefault="00B84E59">
          <w:pPr>
            <w:pStyle w:val="TOC1"/>
            <w:tabs>
              <w:tab w:val="left" w:pos="480"/>
              <w:tab w:val="right" w:leader="dot" w:pos="9016"/>
            </w:tabs>
            <w:rPr>
              <w:rFonts w:asciiTheme="minorHAnsi" w:hAnsiTheme="minorHAnsi"/>
              <w:noProof/>
            </w:rPr>
          </w:pPr>
          <w:hyperlink w:anchor="_Toc256000082" w:history="1">
            <w:r w:rsidR="008B14D0">
              <w:rPr>
                <w:rStyle w:val="Hyperlink"/>
              </w:rPr>
              <w:t>4.</w:t>
            </w:r>
            <w:r w:rsidR="008B14D0">
              <w:rPr>
                <w:rFonts w:asciiTheme="minorHAnsi" w:hAnsiTheme="minorHAnsi"/>
                <w:noProof/>
              </w:rPr>
              <w:tab/>
            </w:r>
            <w:r w:rsidR="008B14D0" w:rsidRPr="001D5F3B">
              <w:rPr>
                <w:rStyle w:val="Hyperlink"/>
              </w:rPr>
              <w:t>Procedure</w:t>
            </w:r>
            <w:r w:rsidR="008B14D0">
              <w:tab/>
            </w:r>
            <w:r w:rsidR="008B14D0">
              <w:fldChar w:fldCharType="begin"/>
            </w:r>
            <w:r w:rsidR="008B14D0">
              <w:instrText xml:space="preserve"> PAGEREF _Toc256000082 \h </w:instrText>
            </w:r>
            <w:r w:rsidR="008B14D0">
              <w:fldChar w:fldCharType="separate"/>
            </w:r>
            <w:r w:rsidR="008B14D0">
              <w:t>3</w:t>
            </w:r>
            <w:r w:rsidR="008B14D0">
              <w:fldChar w:fldCharType="end"/>
            </w:r>
          </w:hyperlink>
        </w:p>
        <w:p w:rsidR="006A53EF" w:rsidRDefault="00B84E59">
          <w:pPr>
            <w:pStyle w:val="TOC2"/>
            <w:tabs>
              <w:tab w:val="left" w:pos="880"/>
              <w:tab w:val="right" w:leader="dot" w:pos="9016"/>
            </w:tabs>
            <w:rPr>
              <w:rFonts w:asciiTheme="minorHAnsi" w:hAnsiTheme="minorHAnsi"/>
              <w:noProof/>
            </w:rPr>
          </w:pPr>
          <w:hyperlink w:anchor="_Toc256000093" w:history="1">
            <w:r w:rsidR="008B14D0">
              <w:rPr>
                <w:rStyle w:val="Hyperlink"/>
              </w:rPr>
              <w:t>4.1.</w:t>
            </w:r>
            <w:r w:rsidR="008B14D0">
              <w:rPr>
                <w:rFonts w:asciiTheme="minorHAnsi" w:hAnsiTheme="minorHAnsi"/>
                <w:noProof/>
              </w:rPr>
              <w:tab/>
            </w:r>
            <w:r w:rsidR="008B14D0">
              <w:rPr>
                <w:rStyle w:val="Hyperlink"/>
              </w:rPr>
              <w:t>Change Control workflow</w:t>
            </w:r>
            <w:r w:rsidR="008B14D0">
              <w:tab/>
            </w:r>
            <w:r w:rsidR="008B14D0">
              <w:fldChar w:fldCharType="begin"/>
            </w:r>
            <w:r w:rsidR="008B14D0">
              <w:instrText xml:space="preserve"> PAGEREF _Toc256000093 \h </w:instrText>
            </w:r>
            <w:r w:rsidR="008B14D0">
              <w:fldChar w:fldCharType="separate"/>
            </w:r>
            <w:r w:rsidR="008B14D0">
              <w:t>3</w:t>
            </w:r>
            <w:r w:rsidR="008B14D0">
              <w:fldChar w:fldCharType="end"/>
            </w:r>
          </w:hyperlink>
        </w:p>
        <w:p w:rsidR="006A53EF" w:rsidRDefault="00B84E59">
          <w:pPr>
            <w:pStyle w:val="TOC2"/>
            <w:tabs>
              <w:tab w:val="left" w:pos="880"/>
              <w:tab w:val="right" w:leader="dot" w:pos="9016"/>
            </w:tabs>
            <w:rPr>
              <w:rFonts w:asciiTheme="minorHAnsi" w:hAnsiTheme="minorHAnsi"/>
              <w:noProof/>
            </w:rPr>
          </w:pPr>
          <w:hyperlink w:anchor="_Toc256000095" w:history="1">
            <w:r w:rsidR="008B14D0">
              <w:rPr>
                <w:rStyle w:val="Hyperlink"/>
              </w:rPr>
              <w:t>4.2.</w:t>
            </w:r>
            <w:r w:rsidR="008B14D0">
              <w:rPr>
                <w:rFonts w:asciiTheme="minorHAnsi" w:hAnsiTheme="minorHAnsi"/>
                <w:noProof/>
              </w:rPr>
              <w:tab/>
            </w:r>
            <w:r w:rsidR="008B14D0">
              <w:rPr>
                <w:rStyle w:val="Hyperlink"/>
              </w:rPr>
              <w:t>Source of Change</w:t>
            </w:r>
            <w:r w:rsidR="008B14D0">
              <w:tab/>
            </w:r>
            <w:r w:rsidR="008B14D0">
              <w:fldChar w:fldCharType="begin"/>
            </w:r>
            <w:r w:rsidR="008B14D0">
              <w:instrText xml:space="preserve"> PAGEREF _Toc256000095 \h </w:instrText>
            </w:r>
            <w:r w:rsidR="008B14D0">
              <w:fldChar w:fldCharType="separate"/>
            </w:r>
            <w:r w:rsidR="008B14D0">
              <w:t>4</w:t>
            </w:r>
            <w:r w:rsidR="008B14D0">
              <w:fldChar w:fldCharType="end"/>
            </w:r>
          </w:hyperlink>
        </w:p>
        <w:p w:rsidR="006A53EF" w:rsidRDefault="00B84E59">
          <w:pPr>
            <w:pStyle w:val="TOC2"/>
            <w:tabs>
              <w:tab w:val="left" w:pos="880"/>
              <w:tab w:val="right" w:leader="dot" w:pos="9016"/>
            </w:tabs>
            <w:rPr>
              <w:rFonts w:asciiTheme="minorHAnsi" w:hAnsiTheme="minorHAnsi"/>
              <w:noProof/>
            </w:rPr>
          </w:pPr>
          <w:hyperlink w:anchor="_Toc256000096" w:history="1">
            <w:r w:rsidR="008B14D0">
              <w:rPr>
                <w:rStyle w:val="Hyperlink"/>
              </w:rPr>
              <w:t>4.3.</w:t>
            </w:r>
            <w:r w:rsidR="008B14D0">
              <w:rPr>
                <w:rFonts w:asciiTheme="minorHAnsi" w:hAnsiTheme="minorHAnsi"/>
                <w:noProof/>
              </w:rPr>
              <w:tab/>
            </w:r>
            <w:r w:rsidR="008B14D0">
              <w:rPr>
                <w:rStyle w:val="Hyperlink"/>
              </w:rPr>
              <w:t>Change Risk Assessment</w:t>
            </w:r>
            <w:r w:rsidR="008B14D0">
              <w:tab/>
            </w:r>
            <w:r w:rsidR="008B14D0">
              <w:fldChar w:fldCharType="begin"/>
            </w:r>
            <w:r w:rsidR="008B14D0">
              <w:instrText xml:space="preserve"> PAGEREF _Toc256000096 \h </w:instrText>
            </w:r>
            <w:r w:rsidR="008B14D0">
              <w:fldChar w:fldCharType="separate"/>
            </w:r>
            <w:r w:rsidR="008B14D0">
              <w:t>4</w:t>
            </w:r>
            <w:r w:rsidR="008B14D0">
              <w:fldChar w:fldCharType="end"/>
            </w:r>
          </w:hyperlink>
        </w:p>
        <w:p w:rsidR="006A53EF" w:rsidRDefault="00B84E59">
          <w:pPr>
            <w:pStyle w:val="TOC2"/>
            <w:tabs>
              <w:tab w:val="left" w:pos="880"/>
              <w:tab w:val="right" w:leader="dot" w:pos="9016"/>
            </w:tabs>
            <w:rPr>
              <w:rFonts w:asciiTheme="minorHAnsi" w:hAnsiTheme="minorHAnsi"/>
              <w:noProof/>
            </w:rPr>
          </w:pPr>
          <w:hyperlink w:anchor="_Toc256000097" w:history="1">
            <w:r w:rsidR="008B14D0">
              <w:rPr>
                <w:rStyle w:val="Hyperlink"/>
              </w:rPr>
              <w:t>4.4.</w:t>
            </w:r>
            <w:r w:rsidR="008B14D0">
              <w:rPr>
                <w:rFonts w:asciiTheme="minorHAnsi" w:hAnsiTheme="minorHAnsi"/>
                <w:noProof/>
              </w:rPr>
              <w:tab/>
            </w:r>
            <w:r w:rsidR="008B14D0">
              <w:rPr>
                <w:rStyle w:val="Hyperlink"/>
              </w:rPr>
              <w:t>Change Type</w:t>
            </w:r>
            <w:r w:rsidR="008B14D0">
              <w:tab/>
            </w:r>
            <w:r w:rsidR="008B14D0">
              <w:fldChar w:fldCharType="begin"/>
            </w:r>
            <w:r w:rsidR="008B14D0">
              <w:instrText xml:space="preserve"> PAGEREF _Toc256000097 \h </w:instrText>
            </w:r>
            <w:r w:rsidR="008B14D0">
              <w:fldChar w:fldCharType="separate"/>
            </w:r>
            <w:r w:rsidR="008B14D0">
              <w:t>5</w:t>
            </w:r>
            <w:r w:rsidR="008B14D0">
              <w:fldChar w:fldCharType="end"/>
            </w:r>
          </w:hyperlink>
        </w:p>
        <w:p w:rsidR="006A53EF" w:rsidRDefault="00B84E59">
          <w:pPr>
            <w:pStyle w:val="TOC2"/>
            <w:tabs>
              <w:tab w:val="left" w:pos="880"/>
              <w:tab w:val="right" w:leader="dot" w:pos="9016"/>
            </w:tabs>
            <w:rPr>
              <w:rFonts w:asciiTheme="minorHAnsi" w:hAnsiTheme="minorHAnsi"/>
              <w:noProof/>
            </w:rPr>
          </w:pPr>
          <w:hyperlink w:anchor="_Toc256000098" w:history="1">
            <w:r w:rsidR="008B14D0">
              <w:rPr>
                <w:rStyle w:val="Hyperlink"/>
              </w:rPr>
              <w:t>4.5.</w:t>
            </w:r>
            <w:r w:rsidR="008B14D0">
              <w:rPr>
                <w:rFonts w:asciiTheme="minorHAnsi" w:hAnsiTheme="minorHAnsi"/>
                <w:noProof/>
              </w:rPr>
              <w:tab/>
            </w:r>
            <w:r w:rsidR="008B14D0">
              <w:rPr>
                <w:rStyle w:val="Hyperlink"/>
              </w:rPr>
              <w:t>Change Review, Assessment, Approval and Action</w:t>
            </w:r>
            <w:r w:rsidR="008B14D0">
              <w:tab/>
            </w:r>
            <w:r w:rsidR="008B14D0">
              <w:fldChar w:fldCharType="begin"/>
            </w:r>
            <w:r w:rsidR="008B14D0">
              <w:instrText xml:space="preserve"> PAGEREF _Toc256000098 \h </w:instrText>
            </w:r>
            <w:r w:rsidR="008B14D0">
              <w:fldChar w:fldCharType="separate"/>
            </w:r>
            <w:r w:rsidR="008B14D0">
              <w:t>6</w:t>
            </w:r>
            <w:r w:rsidR="008B14D0">
              <w:fldChar w:fldCharType="end"/>
            </w:r>
          </w:hyperlink>
        </w:p>
        <w:p w:rsidR="006A53EF" w:rsidRDefault="00B84E59">
          <w:pPr>
            <w:pStyle w:val="TOC2"/>
            <w:tabs>
              <w:tab w:val="left" w:pos="880"/>
              <w:tab w:val="right" w:leader="dot" w:pos="9016"/>
            </w:tabs>
            <w:rPr>
              <w:rFonts w:asciiTheme="minorHAnsi" w:hAnsiTheme="minorHAnsi"/>
              <w:noProof/>
            </w:rPr>
          </w:pPr>
          <w:hyperlink w:anchor="_Toc256000099" w:history="1">
            <w:r w:rsidR="008B14D0">
              <w:rPr>
                <w:rStyle w:val="Hyperlink"/>
              </w:rPr>
              <w:t>4.6.</w:t>
            </w:r>
            <w:r w:rsidR="008B14D0">
              <w:rPr>
                <w:rFonts w:asciiTheme="minorHAnsi" w:hAnsiTheme="minorHAnsi"/>
                <w:noProof/>
              </w:rPr>
              <w:tab/>
            </w:r>
            <w:r w:rsidR="008B14D0">
              <w:rPr>
                <w:rStyle w:val="Hyperlink"/>
              </w:rPr>
              <w:t>Emergency Change</w:t>
            </w:r>
            <w:r w:rsidR="008B14D0">
              <w:tab/>
            </w:r>
            <w:r w:rsidR="008B14D0">
              <w:fldChar w:fldCharType="begin"/>
            </w:r>
            <w:r w:rsidR="008B14D0">
              <w:instrText xml:space="preserve"> PAGEREF _Toc256000099 \h </w:instrText>
            </w:r>
            <w:r w:rsidR="008B14D0">
              <w:fldChar w:fldCharType="separate"/>
            </w:r>
            <w:r w:rsidR="008B14D0">
              <w:t>7</w:t>
            </w:r>
            <w:r w:rsidR="008B14D0">
              <w:fldChar w:fldCharType="end"/>
            </w:r>
          </w:hyperlink>
        </w:p>
        <w:p w:rsidR="006A53EF" w:rsidRDefault="00B84E59">
          <w:pPr>
            <w:pStyle w:val="TOC2"/>
            <w:tabs>
              <w:tab w:val="left" w:pos="880"/>
              <w:tab w:val="right" w:leader="dot" w:pos="9016"/>
            </w:tabs>
            <w:rPr>
              <w:rFonts w:asciiTheme="minorHAnsi" w:hAnsiTheme="minorHAnsi"/>
              <w:noProof/>
            </w:rPr>
          </w:pPr>
          <w:hyperlink w:anchor="_Toc256000100" w:history="1">
            <w:r w:rsidR="008B14D0">
              <w:rPr>
                <w:rStyle w:val="Hyperlink"/>
              </w:rPr>
              <w:t>4.7.</w:t>
            </w:r>
            <w:r w:rsidR="008B14D0">
              <w:rPr>
                <w:rFonts w:asciiTheme="minorHAnsi" w:hAnsiTheme="minorHAnsi"/>
                <w:noProof/>
              </w:rPr>
              <w:tab/>
            </w:r>
            <w:r w:rsidR="008B14D0">
              <w:rPr>
                <w:rStyle w:val="Hyperlink"/>
              </w:rPr>
              <w:t>Change Notification</w:t>
            </w:r>
            <w:r w:rsidR="008B14D0">
              <w:tab/>
            </w:r>
            <w:r w:rsidR="008B14D0">
              <w:fldChar w:fldCharType="begin"/>
            </w:r>
            <w:r w:rsidR="008B14D0">
              <w:instrText xml:space="preserve"> PAGEREF _Toc256000100 \h </w:instrText>
            </w:r>
            <w:r w:rsidR="008B14D0">
              <w:fldChar w:fldCharType="separate"/>
            </w:r>
            <w:r w:rsidR="008B14D0">
              <w:t>7</w:t>
            </w:r>
            <w:r w:rsidR="008B14D0">
              <w:fldChar w:fldCharType="end"/>
            </w:r>
          </w:hyperlink>
        </w:p>
        <w:p w:rsidR="006A53EF" w:rsidRDefault="00B84E59">
          <w:pPr>
            <w:pStyle w:val="TOC2"/>
            <w:tabs>
              <w:tab w:val="left" w:pos="880"/>
              <w:tab w:val="right" w:leader="dot" w:pos="9016"/>
            </w:tabs>
            <w:rPr>
              <w:rFonts w:asciiTheme="minorHAnsi" w:hAnsiTheme="minorHAnsi"/>
              <w:noProof/>
            </w:rPr>
          </w:pPr>
          <w:hyperlink w:anchor="_Toc256000101" w:history="1">
            <w:r w:rsidR="008B14D0">
              <w:rPr>
                <w:rStyle w:val="Hyperlink"/>
              </w:rPr>
              <w:t>4.8.</w:t>
            </w:r>
            <w:r w:rsidR="008B14D0">
              <w:rPr>
                <w:rFonts w:asciiTheme="minorHAnsi" w:hAnsiTheme="minorHAnsi"/>
                <w:noProof/>
              </w:rPr>
              <w:tab/>
            </w:r>
            <w:r w:rsidR="008B14D0">
              <w:rPr>
                <w:rStyle w:val="Hyperlink"/>
              </w:rPr>
              <w:t>Change Record-Keeping</w:t>
            </w:r>
            <w:r w:rsidR="008B14D0">
              <w:tab/>
            </w:r>
            <w:r w:rsidR="008B14D0">
              <w:fldChar w:fldCharType="begin"/>
            </w:r>
            <w:r w:rsidR="008B14D0">
              <w:instrText xml:space="preserve"> PAGEREF _Toc256000101 \h </w:instrText>
            </w:r>
            <w:r w:rsidR="008B14D0">
              <w:fldChar w:fldCharType="separate"/>
            </w:r>
            <w:r w:rsidR="008B14D0">
              <w:t>7</w:t>
            </w:r>
            <w:r w:rsidR="008B14D0">
              <w:fldChar w:fldCharType="end"/>
            </w:r>
          </w:hyperlink>
        </w:p>
        <w:p w:rsidR="006A53EF" w:rsidRDefault="00B84E59">
          <w:pPr>
            <w:pStyle w:val="TOC2"/>
            <w:tabs>
              <w:tab w:val="left" w:pos="880"/>
              <w:tab w:val="right" w:leader="dot" w:pos="9016"/>
            </w:tabs>
            <w:rPr>
              <w:rFonts w:asciiTheme="minorHAnsi" w:hAnsiTheme="minorHAnsi"/>
              <w:noProof/>
            </w:rPr>
          </w:pPr>
          <w:hyperlink w:anchor="_Toc256000112" w:history="1">
            <w:r w:rsidR="008B14D0">
              <w:rPr>
                <w:rStyle w:val="Hyperlink"/>
              </w:rPr>
              <w:t>4.9.</w:t>
            </w:r>
            <w:r w:rsidR="008B14D0">
              <w:rPr>
                <w:rFonts w:asciiTheme="minorHAnsi" w:hAnsiTheme="minorHAnsi"/>
                <w:noProof/>
              </w:rPr>
              <w:tab/>
            </w:r>
            <w:r w:rsidR="008B14D0">
              <w:rPr>
                <w:rStyle w:val="Hyperlink"/>
              </w:rPr>
              <w:t>Performing Changes to the TRE</w:t>
            </w:r>
            <w:r w:rsidR="008B14D0">
              <w:tab/>
            </w:r>
            <w:r w:rsidR="008B14D0">
              <w:fldChar w:fldCharType="begin"/>
            </w:r>
            <w:r w:rsidR="008B14D0">
              <w:instrText xml:space="preserve"> PAGEREF _Toc256000112 \h </w:instrText>
            </w:r>
            <w:r w:rsidR="008B14D0">
              <w:fldChar w:fldCharType="separate"/>
            </w:r>
            <w:r w:rsidR="008B14D0">
              <w:t>8</w:t>
            </w:r>
            <w:r w:rsidR="008B14D0">
              <w:fldChar w:fldCharType="end"/>
            </w:r>
          </w:hyperlink>
        </w:p>
        <w:p w:rsidR="006A53EF" w:rsidRDefault="00B84E59">
          <w:pPr>
            <w:pStyle w:val="TOC1"/>
            <w:tabs>
              <w:tab w:val="left" w:pos="480"/>
              <w:tab w:val="right" w:leader="dot" w:pos="9016"/>
            </w:tabs>
            <w:rPr>
              <w:rFonts w:asciiTheme="minorHAnsi" w:hAnsiTheme="minorHAnsi"/>
              <w:noProof/>
            </w:rPr>
          </w:pPr>
          <w:hyperlink w:anchor="_Toc256000113" w:history="1">
            <w:r w:rsidR="008B14D0">
              <w:rPr>
                <w:rStyle w:val="Hyperlink"/>
              </w:rPr>
              <w:t>5.</w:t>
            </w:r>
            <w:r w:rsidR="008B14D0">
              <w:rPr>
                <w:rFonts w:asciiTheme="minorHAnsi" w:hAnsiTheme="minorHAnsi"/>
                <w:noProof/>
              </w:rPr>
              <w:tab/>
            </w:r>
            <w:r w:rsidR="008B14D0">
              <w:rPr>
                <w:rStyle w:val="Hyperlink"/>
              </w:rPr>
              <w:t>Cross-referenced ISMS Documents</w:t>
            </w:r>
            <w:r w:rsidR="008B14D0">
              <w:tab/>
            </w:r>
            <w:r w:rsidR="008B14D0">
              <w:fldChar w:fldCharType="begin"/>
            </w:r>
            <w:r w:rsidR="008B14D0">
              <w:instrText xml:space="preserve"> PAGEREF _Toc256000113 \h </w:instrText>
            </w:r>
            <w:r w:rsidR="008B14D0">
              <w:fldChar w:fldCharType="separate"/>
            </w:r>
            <w:r w:rsidR="008B14D0">
              <w:t>9</w:t>
            </w:r>
            <w:r w:rsidR="008B14D0">
              <w:fldChar w:fldCharType="end"/>
            </w:r>
          </w:hyperlink>
        </w:p>
        <w:p w:rsidR="006A53EF" w:rsidRDefault="00B84E59">
          <w:pPr>
            <w:pStyle w:val="TOC1"/>
            <w:tabs>
              <w:tab w:val="left" w:pos="480"/>
              <w:tab w:val="right" w:leader="dot" w:pos="9016"/>
            </w:tabs>
            <w:rPr>
              <w:rFonts w:asciiTheme="minorHAnsi" w:hAnsiTheme="minorHAnsi"/>
              <w:noProof/>
            </w:rPr>
          </w:pPr>
          <w:hyperlink w:anchor="_Toc256000114" w:history="1">
            <w:r w:rsidR="008B14D0">
              <w:rPr>
                <w:rStyle w:val="Hyperlink"/>
              </w:rPr>
              <w:t>6.</w:t>
            </w:r>
            <w:r w:rsidR="008B14D0">
              <w:rPr>
                <w:rFonts w:asciiTheme="minorHAnsi" w:hAnsiTheme="minorHAnsi"/>
                <w:noProof/>
              </w:rPr>
              <w:tab/>
            </w:r>
            <w:r w:rsidR="008B14D0" w:rsidRPr="009D002B">
              <w:rPr>
                <w:rStyle w:val="Hyperlink"/>
              </w:rPr>
              <w:t>Appendices</w:t>
            </w:r>
            <w:r w:rsidR="008B14D0">
              <w:tab/>
            </w:r>
            <w:r w:rsidR="008B14D0">
              <w:fldChar w:fldCharType="begin"/>
            </w:r>
            <w:r w:rsidR="008B14D0">
              <w:instrText xml:space="preserve"> PAGEREF _Toc256000114 \h </w:instrText>
            </w:r>
            <w:r w:rsidR="008B14D0">
              <w:fldChar w:fldCharType="separate"/>
            </w:r>
            <w:r w:rsidR="008B14D0">
              <w:t>9</w:t>
            </w:r>
            <w:r w:rsidR="008B14D0">
              <w:fldChar w:fldCharType="end"/>
            </w:r>
          </w:hyperlink>
        </w:p>
        <w:p w:rsidR="006A53EF" w:rsidRDefault="008B14D0" w:rsidP="006735AF">
          <w:pPr>
            <w:pStyle w:val="TOCHeading"/>
            <w:jc w:val="left"/>
          </w:pPr>
          <w:r>
            <w:fldChar w:fldCharType="end"/>
          </w:r>
        </w:p>
      </w:sdtContent>
    </w:sdt>
    <w:p w:rsidR="005C3AF3" w:rsidRPr="001D5F3B" w:rsidRDefault="008B14D0" w:rsidP="005C3AF3">
      <w:pPr>
        <w:pStyle w:val="ISMSHeading1"/>
      </w:pPr>
      <w:r>
        <w:br w:type="page"/>
      </w:r>
      <w:bookmarkStart w:id="0" w:name="_Toc256000059"/>
      <w:bookmarkStart w:id="1" w:name="_Toc256000011"/>
      <w:bookmarkStart w:id="2" w:name="_Toc256000006"/>
      <w:bookmarkStart w:id="3" w:name="_Toc256000004"/>
      <w:bookmarkStart w:id="4" w:name="_Toc256000128"/>
      <w:bookmarkStart w:id="5" w:name="_Toc256000108"/>
      <w:bookmarkStart w:id="6" w:name="_Toc256000089"/>
      <w:bookmarkStart w:id="7" w:name="_Toc256000070"/>
      <w:bookmarkStart w:id="8" w:name="_Toc256000051"/>
      <w:bookmarkStart w:id="9" w:name="_Toc256000032"/>
      <w:bookmarkStart w:id="10" w:name="_Toc256000000"/>
      <w:bookmarkStart w:id="11" w:name="_Toc490656246"/>
      <w:bookmarkStart w:id="12" w:name="_Toc963579"/>
      <w:r w:rsidRPr="001D5F3B">
        <w:lastRenderedPageBreak/>
        <w:t>Purpose</w:t>
      </w:r>
      <w:bookmarkEnd w:id="0"/>
      <w:bookmarkEnd w:id="1"/>
      <w:bookmarkEnd w:id="2"/>
      <w:bookmarkEnd w:id="3"/>
      <w:bookmarkEnd w:id="4"/>
      <w:bookmarkEnd w:id="5"/>
      <w:bookmarkEnd w:id="6"/>
      <w:bookmarkEnd w:id="7"/>
      <w:bookmarkEnd w:id="8"/>
      <w:bookmarkEnd w:id="9"/>
      <w:bookmarkEnd w:id="10"/>
      <w:bookmarkEnd w:id="11"/>
      <w:bookmarkEnd w:id="12"/>
    </w:p>
    <w:p w:rsidR="00BF7AD4" w:rsidRDefault="008B14D0" w:rsidP="00BF7AD4">
      <w:pPr>
        <w:pStyle w:val="ISMSNormal"/>
      </w:pPr>
      <w:r>
        <w:t xml:space="preserve">Changes to the organization, business processes, information processing facilities and systems that affect information security should be controlled. </w:t>
      </w:r>
    </w:p>
    <w:p w:rsidR="00BF7AD4" w:rsidRDefault="00B84E59" w:rsidP="00BF7AD4">
      <w:pPr>
        <w:pStyle w:val="ISMSNormal"/>
      </w:pPr>
    </w:p>
    <w:p w:rsidR="005C3AF3" w:rsidRDefault="008B14D0" w:rsidP="005C3AF3">
      <w:pPr>
        <w:pStyle w:val="ISMSNormal"/>
      </w:pPr>
      <w:r w:rsidRPr="00560FD1">
        <w:t>Th</w:t>
      </w:r>
      <w:r>
        <w:t>is document defines the process for managing changes to the Trustworthy Research Environment</w:t>
      </w:r>
      <w:r w:rsidRPr="00560FD1">
        <w:t xml:space="preserve">. </w:t>
      </w:r>
    </w:p>
    <w:p w:rsidR="005C3AF3" w:rsidRDefault="00B84E59" w:rsidP="005C3AF3">
      <w:pPr>
        <w:pStyle w:val="ISMSNormal"/>
      </w:pPr>
    </w:p>
    <w:p w:rsidR="005C3AF3" w:rsidRPr="001D5F3B" w:rsidRDefault="008B14D0" w:rsidP="005C3AF3">
      <w:pPr>
        <w:pStyle w:val="ISMSHeading1"/>
      </w:pPr>
      <w:bookmarkStart w:id="13" w:name="_Toc256000080"/>
      <w:bookmarkStart w:id="14" w:name="_Toc256000055"/>
      <w:bookmarkStart w:id="15" w:name="_Toc256000007"/>
      <w:bookmarkStart w:id="16" w:name="_Toc256000005"/>
      <w:bookmarkStart w:id="17" w:name="_Toc256000129"/>
      <w:bookmarkStart w:id="18" w:name="_Toc256000109"/>
      <w:bookmarkStart w:id="19" w:name="_Toc256000090"/>
      <w:bookmarkStart w:id="20" w:name="_Toc256000071"/>
      <w:bookmarkStart w:id="21" w:name="_Toc256000052"/>
      <w:bookmarkStart w:id="22" w:name="_Toc256000033"/>
      <w:bookmarkStart w:id="23" w:name="_Toc256000001"/>
      <w:bookmarkStart w:id="24" w:name="_Toc490656247"/>
      <w:bookmarkStart w:id="25" w:name="_Toc963580"/>
      <w:r w:rsidRPr="001D5F3B">
        <w:t>Scope</w:t>
      </w:r>
      <w:bookmarkEnd w:id="13"/>
      <w:bookmarkEnd w:id="14"/>
      <w:bookmarkEnd w:id="15"/>
      <w:bookmarkEnd w:id="16"/>
      <w:bookmarkEnd w:id="17"/>
      <w:bookmarkEnd w:id="18"/>
      <w:bookmarkEnd w:id="19"/>
      <w:bookmarkEnd w:id="20"/>
      <w:bookmarkEnd w:id="21"/>
      <w:bookmarkEnd w:id="22"/>
      <w:bookmarkEnd w:id="23"/>
      <w:bookmarkEnd w:id="24"/>
      <w:bookmarkEnd w:id="25"/>
    </w:p>
    <w:p w:rsidR="005C3AF3" w:rsidRDefault="008B14D0" w:rsidP="005C3AF3">
      <w:pPr>
        <w:pStyle w:val="ISMSNormal"/>
      </w:pPr>
      <w:r>
        <w:t>The TRE system, including all supporting infrastructure within the data room at Vaughan House. This includes all server, network, power and cooling hardware. It also includes all software installed to operate the infrastructure, and to support the transfer of data into the TRE.</w:t>
      </w:r>
    </w:p>
    <w:p w:rsidR="005C3AF3" w:rsidRDefault="00B84E59" w:rsidP="005C3AF3">
      <w:pPr>
        <w:pStyle w:val="ISMSNormal"/>
      </w:pPr>
    </w:p>
    <w:p w:rsidR="005C3AF3" w:rsidRPr="00BF66AF" w:rsidRDefault="008B14D0" w:rsidP="005C3AF3">
      <w:pPr>
        <w:pStyle w:val="ISMSNormal"/>
      </w:pPr>
      <w:r>
        <w:t>Only 3</w:t>
      </w:r>
      <w:r w:rsidRPr="00B425C9">
        <w:rPr>
          <w:vertAlign w:val="superscript"/>
        </w:rPr>
        <w:t>rd</w:t>
      </w:r>
      <w:r>
        <w:t xml:space="preserve"> party software is installed in TRE </w:t>
      </w:r>
      <w:proofErr w:type="gramStart"/>
      <w:r>
        <w:t>system,</w:t>
      </w:r>
      <w:proofErr w:type="gramEnd"/>
      <w:r>
        <w:t xml:space="preserve"> therefore software development is not within the scope of this procedure.</w:t>
      </w:r>
    </w:p>
    <w:p w:rsidR="005C3AF3" w:rsidRPr="009D002B" w:rsidRDefault="00B84E59" w:rsidP="005C3AF3">
      <w:pPr>
        <w:pStyle w:val="ISMSNormal"/>
      </w:pPr>
    </w:p>
    <w:p w:rsidR="005C3AF3" w:rsidRDefault="008B14D0" w:rsidP="005C3AF3">
      <w:pPr>
        <w:pStyle w:val="ISMSHeading1"/>
      </w:pPr>
      <w:bookmarkStart w:id="26" w:name="_Toc256000081"/>
      <w:bookmarkStart w:id="27" w:name="_Toc256000056"/>
      <w:bookmarkStart w:id="28" w:name="_Toc256000008"/>
      <w:bookmarkStart w:id="29" w:name="_Toc256000130"/>
      <w:bookmarkStart w:id="30" w:name="_Toc256000110"/>
      <w:bookmarkStart w:id="31" w:name="_Toc256000091"/>
      <w:bookmarkStart w:id="32" w:name="_Toc256000072"/>
      <w:bookmarkStart w:id="33" w:name="_Toc256000053"/>
      <w:bookmarkStart w:id="34" w:name="_Toc256000034"/>
      <w:bookmarkStart w:id="35" w:name="_Toc256000002"/>
      <w:bookmarkStart w:id="36" w:name="_Toc490656248"/>
      <w:bookmarkStart w:id="37" w:name="_Toc963581"/>
      <w:r w:rsidRPr="001D5F3B">
        <w:t>Responsibilities</w:t>
      </w:r>
      <w:bookmarkEnd w:id="26"/>
      <w:bookmarkEnd w:id="27"/>
      <w:bookmarkEnd w:id="28"/>
      <w:bookmarkEnd w:id="29"/>
      <w:bookmarkEnd w:id="30"/>
      <w:bookmarkEnd w:id="31"/>
      <w:bookmarkEnd w:id="32"/>
      <w:bookmarkEnd w:id="33"/>
      <w:bookmarkEnd w:id="34"/>
      <w:bookmarkEnd w:id="35"/>
      <w:bookmarkEnd w:id="36"/>
      <w:bookmarkEnd w:id="37"/>
    </w:p>
    <w:p w:rsidR="005C3AF3" w:rsidRDefault="008B14D0" w:rsidP="005C3AF3">
      <w:pPr>
        <w:pStyle w:val="ISMSNormal"/>
      </w:pPr>
      <w:r>
        <w:t>The TRE Infrastructure and Security Management Process Owner is responsible for:</w:t>
      </w:r>
    </w:p>
    <w:p w:rsidR="005C3AF3" w:rsidRPr="00F15356" w:rsidRDefault="008B14D0" w:rsidP="005C3AF3">
      <w:pPr>
        <w:pStyle w:val="ListParagraph"/>
        <w:numPr>
          <w:ilvl w:val="0"/>
          <w:numId w:val="6"/>
        </w:numPr>
      </w:pPr>
      <w:r>
        <w:t>Approving change requests</w:t>
      </w:r>
    </w:p>
    <w:p w:rsidR="005C3AF3" w:rsidRDefault="00B84E59" w:rsidP="005C3AF3">
      <w:pPr>
        <w:pStyle w:val="ISMSNormal"/>
      </w:pPr>
    </w:p>
    <w:p w:rsidR="005C3AF3" w:rsidRPr="008E03BD" w:rsidRDefault="008B14D0" w:rsidP="005C3AF3">
      <w:pPr>
        <w:pStyle w:val="ISMSNormal"/>
      </w:pPr>
      <w:r>
        <w:t>The TRE Operations Manager is responsible for:</w:t>
      </w:r>
    </w:p>
    <w:p w:rsidR="005C3AF3" w:rsidRPr="001E3E10" w:rsidRDefault="008B14D0" w:rsidP="005C3AF3">
      <w:pPr>
        <w:pStyle w:val="ListParagraph"/>
        <w:numPr>
          <w:ilvl w:val="0"/>
          <w:numId w:val="6"/>
        </w:numPr>
      </w:pPr>
      <w:r>
        <w:t xml:space="preserve">Approving change requests when deputising TRE Infrastructure and Security Management Process </w:t>
      </w:r>
    </w:p>
    <w:p w:rsidR="005C3AF3" w:rsidRPr="00B20D05" w:rsidRDefault="00B84E59" w:rsidP="005C3AF3">
      <w:pPr>
        <w:pStyle w:val="ISMSNormal"/>
      </w:pPr>
    </w:p>
    <w:p w:rsidR="005C3AF3" w:rsidRDefault="008B14D0" w:rsidP="005C3AF3">
      <w:pPr>
        <w:pStyle w:val="ISMSNormal"/>
      </w:pPr>
      <w:r>
        <w:t>The TRE Operations Team are responsible for:</w:t>
      </w:r>
    </w:p>
    <w:p w:rsidR="005C3AF3" w:rsidRDefault="008B14D0" w:rsidP="005C3AF3">
      <w:pPr>
        <w:pStyle w:val="ListParagraph"/>
        <w:numPr>
          <w:ilvl w:val="0"/>
          <w:numId w:val="5"/>
        </w:numPr>
      </w:pPr>
      <w:r>
        <w:t>Receiving and processing request for change</w:t>
      </w:r>
    </w:p>
    <w:p w:rsidR="005C3AF3" w:rsidRPr="001D39F4" w:rsidRDefault="008B14D0" w:rsidP="005C3AF3">
      <w:pPr>
        <w:pStyle w:val="ListParagraph"/>
        <w:numPr>
          <w:ilvl w:val="0"/>
          <w:numId w:val="5"/>
        </w:numPr>
      </w:pPr>
      <w:r>
        <w:t>Ensuring all change request correspondence is adequately recorded</w:t>
      </w:r>
    </w:p>
    <w:p w:rsidR="005C3AF3" w:rsidRDefault="00B84E59" w:rsidP="005C3AF3"/>
    <w:p w:rsidR="005C3AF3" w:rsidRDefault="008B14D0" w:rsidP="005C3AF3">
      <w:pPr>
        <w:pStyle w:val="ISMSNormal"/>
      </w:pPr>
      <w:r>
        <w:t>The TRE System Administrator is responsible for:</w:t>
      </w:r>
    </w:p>
    <w:p w:rsidR="005C3AF3" w:rsidRDefault="008B14D0" w:rsidP="005C3AF3">
      <w:pPr>
        <w:pStyle w:val="ListParagraph"/>
        <w:numPr>
          <w:ilvl w:val="0"/>
          <w:numId w:val="5"/>
        </w:numPr>
      </w:pPr>
      <w:r>
        <w:t>Only acting upon changes specified in the TRE Infrastructure Record (exceptions are made for emergency situations)</w:t>
      </w:r>
    </w:p>
    <w:p w:rsidR="005C3AF3" w:rsidRPr="00C462DB" w:rsidRDefault="008B14D0" w:rsidP="005C3AF3">
      <w:pPr>
        <w:pStyle w:val="ListParagraph"/>
        <w:numPr>
          <w:ilvl w:val="0"/>
          <w:numId w:val="5"/>
        </w:numPr>
      </w:pPr>
      <w:r>
        <w:t>Ensuring all changes to the TRE are adequately recorded in the TRE Infrastructure Record</w:t>
      </w:r>
    </w:p>
    <w:p w:rsidR="005C3AF3" w:rsidRPr="009D002B" w:rsidRDefault="00B84E59" w:rsidP="005C3AF3">
      <w:pPr>
        <w:pStyle w:val="ISMSNormal"/>
      </w:pPr>
    </w:p>
    <w:p w:rsidR="005C3AF3" w:rsidRDefault="008B14D0" w:rsidP="005C3AF3">
      <w:pPr>
        <w:pStyle w:val="ISMSHeading1"/>
      </w:pPr>
      <w:bookmarkStart w:id="38" w:name="_Toc256000082"/>
      <w:bookmarkStart w:id="39" w:name="_Toc256000057"/>
      <w:bookmarkStart w:id="40" w:name="_Toc256000009"/>
      <w:bookmarkStart w:id="41" w:name="_Toc256000013"/>
      <w:bookmarkStart w:id="42" w:name="_Toc256000131"/>
      <w:bookmarkStart w:id="43" w:name="_Toc256000111"/>
      <w:bookmarkStart w:id="44" w:name="_Toc256000092"/>
      <w:bookmarkStart w:id="45" w:name="_Toc256000073"/>
      <w:bookmarkStart w:id="46" w:name="_Toc256000054"/>
      <w:bookmarkStart w:id="47" w:name="_Toc256000035"/>
      <w:bookmarkStart w:id="48" w:name="_Toc256000012"/>
      <w:bookmarkStart w:id="49" w:name="_Toc256000003"/>
      <w:bookmarkStart w:id="50" w:name="_Toc490656249"/>
      <w:bookmarkStart w:id="51" w:name="_Toc963582"/>
      <w:r w:rsidRPr="001D5F3B">
        <w:t>Procedure</w:t>
      </w:r>
      <w:bookmarkEnd w:id="38"/>
      <w:bookmarkEnd w:id="39"/>
      <w:bookmarkEnd w:id="40"/>
      <w:bookmarkEnd w:id="41"/>
      <w:bookmarkEnd w:id="42"/>
      <w:bookmarkEnd w:id="43"/>
      <w:bookmarkEnd w:id="44"/>
      <w:bookmarkEnd w:id="45"/>
      <w:bookmarkEnd w:id="46"/>
      <w:bookmarkEnd w:id="47"/>
      <w:bookmarkEnd w:id="48"/>
      <w:bookmarkEnd w:id="49"/>
      <w:bookmarkEnd w:id="50"/>
      <w:bookmarkEnd w:id="51"/>
    </w:p>
    <w:p w:rsidR="005C3AF3" w:rsidRPr="0066751A" w:rsidRDefault="008B14D0" w:rsidP="005C3AF3">
      <w:pPr>
        <w:pStyle w:val="ISMSNormal"/>
        <w:rPr>
          <w:lang w:val="en-GB"/>
        </w:rPr>
      </w:pPr>
      <w:r>
        <w:rPr>
          <w:lang w:val="en-GB"/>
        </w:rPr>
        <w:t>Changes made to the TRE infrastructure must be controlled and conducted in a consistent manner. This helps lower the risks associated with making changes.</w:t>
      </w:r>
    </w:p>
    <w:p w:rsidR="005C3AF3" w:rsidRDefault="008B14D0" w:rsidP="005C3AF3">
      <w:pPr>
        <w:pStyle w:val="ISMSHeading2"/>
      </w:pPr>
      <w:bookmarkStart w:id="52" w:name="_Toc256000093"/>
      <w:bookmarkStart w:id="53" w:name="_Toc256000058"/>
      <w:bookmarkStart w:id="54" w:name="_Toc256000010"/>
      <w:bookmarkStart w:id="55" w:name="_Toc256000014"/>
      <w:bookmarkStart w:id="56" w:name="_Toc963583"/>
      <w:r>
        <w:t>Change Control workflow</w:t>
      </w:r>
      <w:bookmarkEnd w:id="52"/>
      <w:bookmarkEnd w:id="53"/>
      <w:bookmarkEnd w:id="54"/>
      <w:bookmarkEnd w:id="55"/>
      <w:bookmarkEnd w:id="56"/>
    </w:p>
    <w:p w:rsidR="005C3AF3" w:rsidRDefault="008B14D0" w:rsidP="005C3AF3">
      <w:pPr>
        <w:pStyle w:val="ISMSNormal"/>
        <w:rPr>
          <w:lang w:val="en-GB"/>
        </w:rPr>
      </w:pPr>
      <w:r>
        <w:rPr>
          <w:lang w:val="en-GB"/>
        </w:rPr>
        <w:t>The standard Change workflow comprises the following:</w:t>
      </w:r>
    </w:p>
    <w:p w:rsidR="005C3AF3" w:rsidRDefault="00B84E59" w:rsidP="005C3AF3">
      <w:pPr>
        <w:pStyle w:val="ISMSNormal"/>
        <w:rPr>
          <w:lang w:val="en-GB"/>
        </w:rPr>
      </w:pPr>
    </w:p>
    <w:p w:rsidR="005C3AF3" w:rsidRDefault="008B14D0" w:rsidP="005C3AF3">
      <w:pPr>
        <w:pStyle w:val="ISMSNormal"/>
        <w:numPr>
          <w:ilvl w:val="0"/>
          <w:numId w:val="10"/>
        </w:numPr>
        <w:spacing w:line="240" w:lineRule="auto"/>
        <w:rPr>
          <w:lang w:val="en-GB"/>
        </w:rPr>
      </w:pPr>
      <w:r>
        <w:rPr>
          <w:lang w:val="en-GB"/>
        </w:rPr>
        <w:t>Receive request</w:t>
      </w:r>
    </w:p>
    <w:p w:rsidR="005C3AF3" w:rsidRDefault="008B14D0" w:rsidP="005C3AF3">
      <w:pPr>
        <w:pStyle w:val="ISMSNormal"/>
        <w:numPr>
          <w:ilvl w:val="0"/>
          <w:numId w:val="10"/>
        </w:numPr>
        <w:spacing w:line="240" w:lineRule="auto"/>
        <w:rPr>
          <w:lang w:val="en-GB"/>
        </w:rPr>
      </w:pPr>
      <w:r>
        <w:rPr>
          <w:lang w:val="en-GB"/>
        </w:rPr>
        <w:t>Create a record of the request</w:t>
      </w:r>
    </w:p>
    <w:p w:rsidR="005C3AF3" w:rsidRDefault="008B14D0" w:rsidP="005C3AF3">
      <w:pPr>
        <w:pStyle w:val="ISMSNormal"/>
        <w:numPr>
          <w:ilvl w:val="0"/>
          <w:numId w:val="10"/>
        </w:numPr>
        <w:spacing w:line="240" w:lineRule="auto"/>
        <w:rPr>
          <w:lang w:val="en-GB"/>
        </w:rPr>
      </w:pPr>
      <w:r>
        <w:rPr>
          <w:lang w:val="en-GB"/>
        </w:rPr>
        <w:t>Triage the request</w:t>
      </w:r>
    </w:p>
    <w:p w:rsidR="005C3AF3" w:rsidRDefault="008B14D0" w:rsidP="005C3AF3">
      <w:pPr>
        <w:pStyle w:val="ISMSNormal"/>
        <w:numPr>
          <w:ilvl w:val="0"/>
          <w:numId w:val="10"/>
        </w:numPr>
        <w:spacing w:line="240" w:lineRule="auto"/>
        <w:rPr>
          <w:lang w:val="en-GB"/>
        </w:rPr>
      </w:pPr>
      <w:r>
        <w:rPr>
          <w:lang w:val="en-GB"/>
        </w:rPr>
        <w:t>Conduct risk assessment for the request</w:t>
      </w:r>
    </w:p>
    <w:p w:rsidR="005C3AF3" w:rsidRDefault="008B14D0" w:rsidP="005C3AF3">
      <w:pPr>
        <w:pStyle w:val="ISMSNormal"/>
        <w:numPr>
          <w:ilvl w:val="0"/>
          <w:numId w:val="10"/>
        </w:numPr>
        <w:spacing w:line="240" w:lineRule="auto"/>
        <w:rPr>
          <w:lang w:val="en-GB"/>
        </w:rPr>
      </w:pPr>
      <w:r>
        <w:rPr>
          <w:lang w:val="en-GB"/>
        </w:rPr>
        <w:t>Devise ‘backout plan’ if necessary</w:t>
      </w:r>
    </w:p>
    <w:p w:rsidR="005C3AF3" w:rsidRDefault="008B14D0" w:rsidP="005C3AF3">
      <w:pPr>
        <w:pStyle w:val="ISMSNormal"/>
        <w:numPr>
          <w:ilvl w:val="0"/>
          <w:numId w:val="10"/>
        </w:numPr>
        <w:spacing w:line="240" w:lineRule="auto"/>
        <w:rPr>
          <w:lang w:val="en-GB"/>
        </w:rPr>
      </w:pPr>
      <w:r>
        <w:rPr>
          <w:lang w:val="en-GB"/>
        </w:rPr>
        <w:t>Raise a Request for Change (RFC) if necessary</w:t>
      </w:r>
    </w:p>
    <w:p w:rsidR="005C3AF3" w:rsidRDefault="008B14D0" w:rsidP="005C3AF3">
      <w:pPr>
        <w:pStyle w:val="ISMSNormal"/>
        <w:numPr>
          <w:ilvl w:val="0"/>
          <w:numId w:val="10"/>
        </w:numPr>
        <w:spacing w:line="240" w:lineRule="auto"/>
        <w:rPr>
          <w:lang w:val="en-GB"/>
        </w:rPr>
      </w:pPr>
      <w:r>
        <w:rPr>
          <w:lang w:val="en-GB"/>
        </w:rPr>
        <w:t>Approve the change</w:t>
      </w:r>
    </w:p>
    <w:p w:rsidR="005C3AF3" w:rsidRDefault="008B14D0" w:rsidP="005C3AF3">
      <w:pPr>
        <w:pStyle w:val="ISMSNormal"/>
        <w:numPr>
          <w:ilvl w:val="0"/>
          <w:numId w:val="10"/>
        </w:numPr>
        <w:spacing w:line="240" w:lineRule="auto"/>
        <w:rPr>
          <w:lang w:val="en-GB"/>
        </w:rPr>
      </w:pPr>
      <w:r>
        <w:rPr>
          <w:lang w:val="en-GB"/>
        </w:rPr>
        <w:lastRenderedPageBreak/>
        <w:t>Implement the change</w:t>
      </w:r>
    </w:p>
    <w:p w:rsidR="005C3AF3" w:rsidRDefault="008B14D0" w:rsidP="005C3AF3">
      <w:pPr>
        <w:pStyle w:val="ISMSNormal"/>
        <w:numPr>
          <w:ilvl w:val="0"/>
          <w:numId w:val="10"/>
        </w:numPr>
        <w:spacing w:line="240" w:lineRule="auto"/>
        <w:rPr>
          <w:lang w:val="en-GB"/>
        </w:rPr>
      </w:pPr>
      <w:r>
        <w:rPr>
          <w:lang w:val="en-GB"/>
        </w:rPr>
        <w:t>Post-implementation review</w:t>
      </w:r>
    </w:p>
    <w:p w:rsidR="005C3AF3" w:rsidRDefault="00B84E59" w:rsidP="004A3AD9">
      <w:pPr>
        <w:pStyle w:val="ISMSHeading2"/>
        <w:numPr>
          <w:ilvl w:val="0"/>
          <w:numId w:val="0"/>
        </w:numPr>
        <w:ind w:left="510" w:hanging="510"/>
      </w:pPr>
    </w:p>
    <w:p w:rsidR="005C3AF3" w:rsidRDefault="008B14D0" w:rsidP="005C3AF3">
      <w:pPr>
        <w:pStyle w:val="ISMSHeading2"/>
      </w:pPr>
      <w:bookmarkStart w:id="57" w:name="_Toc256000095"/>
      <w:bookmarkStart w:id="58" w:name="_Toc256000060"/>
      <w:bookmarkStart w:id="59" w:name="_Toc256000015"/>
      <w:bookmarkStart w:id="60" w:name="_Toc256000016"/>
      <w:bookmarkStart w:id="61" w:name="_Toc963584"/>
      <w:r>
        <w:t>Source of Change</w:t>
      </w:r>
      <w:bookmarkEnd w:id="57"/>
      <w:bookmarkEnd w:id="58"/>
      <w:bookmarkEnd w:id="59"/>
      <w:bookmarkEnd w:id="60"/>
      <w:bookmarkEnd w:id="61"/>
    </w:p>
    <w:p w:rsidR="005C3AF3" w:rsidRDefault="008B14D0" w:rsidP="005C3AF3">
      <w:pPr>
        <w:pStyle w:val="ISMSNormal"/>
      </w:pPr>
      <w:r>
        <w:t>A change may involve any of the following:</w:t>
      </w:r>
    </w:p>
    <w:p w:rsidR="005C3AF3" w:rsidRDefault="00B84E59" w:rsidP="005C3AF3">
      <w:pPr>
        <w:pStyle w:val="ISMSNormal"/>
      </w:pPr>
    </w:p>
    <w:p w:rsidR="005C3AF3" w:rsidRDefault="008B14D0" w:rsidP="005C3AF3">
      <w:pPr>
        <w:pStyle w:val="ListParagraph"/>
        <w:numPr>
          <w:ilvl w:val="0"/>
          <w:numId w:val="9"/>
        </w:numPr>
      </w:pPr>
      <w:r>
        <w:t>The initial setup of a new TRE Project virtual working environment</w:t>
      </w:r>
    </w:p>
    <w:p w:rsidR="005C3AF3" w:rsidRDefault="008B14D0" w:rsidP="005C3AF3">
      <w:pPr>
        <w:pStyle w:val="ListParagraph"/>
        <w:numPr>
          <w:ilvl w:val="0"/>
          <w:numId w:val="9"/>
        </w:numPr>
      </w:pPr>
      <w:r>
        <w:t>System upgrade (e.g. routine software updates/patches)</w:t>
      </w:r>
    </w:p>
    <w:p w:rsidR="005C3AF3" w:rsidRDefault="008B14D0" w:rsidP="005C3AF3">
      <w:pPr>
        <w:pStyle w:val="ListParagraph"/>
        <w:numPr>
          <w:ilvl w:val="0"/>
          <w:numId w:val="9"/>
        </w:numPr>
      </w:pPr>
      <w:r>
        <w:t>System development (modification)</w:t>
      </w:r>
    </w:p>
    <w:p w:rsidR="005C3AF3" w:rsidRDefault="008B14D0" w:rsidP="005C3AF3">
      <w:pPr>
        <w:pStyle w:val="ListParagraph"/>
        <w:numPr>
          <w:ilvl w:val="0"/>
          <w:numId w:val="9"/>
        </w:numPr>
      </w:pPr>
      <w:r>
        <w:t>Bug fixes (software)</w:t>
      </w:r>
    </w:p>
    <w:p w:rsidR="005C3AF3" w:rsidRDefault="008B14D0" w:rsidP="005C3AF3">
      <w:pPr>
        <w:pStyle w:val="ListParagraph"/>
        <w:numPr>
          <w:ilvl w:val="0"/>
          <w:numId w:val="9"/>
        </w:numPr>
      </w:pPr>
      <w:r>
        <w:t>Relocation of assets</w:t>
      </w:r>
    </w:p>
    <w:p w:rsidR="005C3AF3" w:rsidRDefault="008B14D0" w:rsidP="005C3AF3">
      <w:pPr>
        <w:pStyle w:val="ListParagraph"/>
        <w:numPr>
          <w:ilvl w:val="0"/>
          <w:numId w:val="9"/>
        </w:numPr>
      </w:pPr>
      <w:r>
        <w:t>Adding or removing software or hardware components</w:t>
      </w:r>
    </w:p>
    <w:p w:rsidR="005C3AF3" w:rsidRDefault="008B14D0" w:rsidP="005C3AF3">
      <w:pPr>
        <w:pStyle w:val="ListParagraph"/>
        <w:numPr>
          <w:ilvl w:val="0"/>
          <w:numId w:val="9"/>
        </w:numPr>
      </w:pPr>
      <w:r>
        <w:t xml:space="preserve">Planned/Unplanned hardware maintenance </w:t>
      </w:r>
    </w:p>
    <w:p w:rsidR="005C3AF3" w:rsidRDefault="008B14D0" w:rsidP="005C3AF3">
      <w:pPr>
        <w:pStyle w:val="ListParagraph"/>
        <w:numPr>
          <w:ilvl w:val="0"/>
          <w:numId w:val="9"/>
        </w:numPr>
      </w:pPr>
      <w:r>
        <w:t>Replacing assets following failure or end-of-life</w:t>
      </w:r>
    </w:p>
    <w:p w:rsidR="005C3AF3" w:rsidRDefault="008B14D0" w:rsidP="005C3AF3">
      <w:pPr>
        <w:pStyle w:val="ListParagraph"/>
        <w:numPr>
          <w:ilvl w:val="0"/>
          <w:numId w:val="9"/>
        </w:numPr>
      </w:pPr>
      <w:r>
        <w:t>Altering configurations (server and/or network devices)</w:t>
      </w:r>
    </w:p>
    <w:p w:rsidR="005C3AF3" w:rsidRDefault="00B84E59" w:rsidP="005C3AF3">
      <w:pPr>
        <w:pStyle w:val="ListParagraph"/>
        <w:numPr>
          <w:ilvl w:val="0"/>
          <w:numId w:val="0"/>
        </w:numPr>
        <w:ind w:left="420"/>
      </w:pPr>
    </w:p>
    <w:p w:rsidR="005C3AF3" w:rsidRDefault="008B14D0" w:rsidP="005C3AF3">
      <w:r>
        <w:t>There are two sources of change request:</w:t>
      </w:r>
    </w:p>
    <w:p w:rsidR="005C3AF3" w:rsidRPr="00502CF1" w:rsidRDefault="00B84E59" w:rsidP="005C3AF3"/>
    <w:p w:rsidR="005C3AF3" w:rsidRDefault="008B14D0" w:rsidP="005C3AF3">
      <w:pPr>
        <w:pStyle w:val="ISMSNormal"/>
        <w:numPr>
          <w:ilvl w:val="0"/>
          <w:numId w:val="8"/>
        </w:numPr>
        <w:spacing w:line="240" w:lineRule="auto"/>
      </w:pPr>
      <w:r>
        <w:t xml:space="preserve">Internal: Changes to infrastructure as a result of planned and unplanned development, upgrades, maintenance, patching, renewal and replacement. </w:t>
      </w:r>
    </w:p>
    <w:p w:rsidR="005C3AF3" w:rsidRDefault="008B14D0" w:rsidP="005C3AF3">
      <w:pPr>
        <w:pStyle w:val="ISMSNormal"/>
        <w:numPr>
          <w:ilvl w:val="0"/>
          <w:numId w:val="8"/>
        </w:numPr>
        <w:spacing w:line="240" w:lineRule="auto"/>
      </w:pPr>
      <w:r>
        <w:t xml:space="preserve">External: Changes to the specification and/or magnitude of computational and data storage resources provided to TRE users, usually in response to formal requests made to live projects, or when first setting up a TRE project. </w:t>
      </w:r>
    </w:p>
    <w:p w:rsidR="005C3AF3" w:rsidRDefault="00B84E59" w:rsidP="005C3AF3">
      <w:pPr>
        <w:pStyle w:val="ISMSNormal"/>
      </w:pPr>
    </w:p>
    <w:p w:rsidR="005C3AF3" w:rsidRDefault="008B14D0" w:rsidP="005C3AF3">
      <w:pPr>
        <w:pStyle w:val="ISMSNormal"/>
      </w:pPr>
      <w:r>
        <w:t>All of the above changes may introduce new issues that could impact on the ability of the TRE to provide reliable and secure services. This could be caused by a vulnerability inherent within the new or modified component or control. This can be termed a ‘post-implementation’ risk.</w:t>
      </w:r>
    </w:p>
    <w:p w:rsidR="005C3AF3" w:rsidRDefault="00B84E59" w:rsidP="005C3AF3">
      <w:pPr>
        <w:pStyle w:val="ISMSNormal"/>
      </w:pPr>
    </w:p>
    <w:p w:rsidR="005C3AF3" w:rsidRDefault="008B14D0" w:rsidP="005C3AF3">
      <w:pPr>
        <w:pStyle w:val="ISMSNormal"/>
      </w:pPr>
      <w:r>
        <w:t>There is also the risk that an issue may occur during, and as a direct result of the work being carried out to implement the change. These can be termed an ‘implementation’ risk.</w:t>
      </w:r>
    </w:p>
    <w:p w:rsidR="005C3AF3" w:rsidRDefault="00B84E59" w:rsidP="005C3AF3">
      <w:pPr>
        <w:pStyle w:val="ISMSNormal"/>
      </w:pPr>
    </w:p>
    <w:p w:rsidR="005C3AF3" w:rsidRDefault="008B14D0" w:rsidP="005C3AF3">
      <w:pPr>
        <w:pStyle w:val="ISMSNormal"/>
      </w:pPr>
      <w:r>
        <w:t>Some changes are very risky to implement, but once completed, they provide benefits that outweigh the implementation risks. Conversely, some changes are quite easy to implement, but they could introduce new risks, and therefore it is essential to avoid the temptation to make such changes without first anticipating any new threats that will arise. Formal risk assessment is the methodology for anticipating threats.</w:t>
      </w:r>
    </w:p>
    <w:p w:rsidR="005C3AF3" w:rsidRDefault="00B84E59" w:rsidP="005C3AF3">
      <w:pPr>
        <w:pStyle w:val="ISMSNormal"/>
      </w:pPr>
    </w:p>
    <w:p w:rsidR="005C3AF3" w:rsidRDefault="008B14D0" w:rsidP="005C3AF3">
      <w:pPr>
        <w:pStyle w:val="ISMSHeading2"/>
      </w:pPr>
      <w:bookmarkStart w:id="62" w:name="_Toc256000096"/>
      <w:bookmarkStart w:id="63" w:name="_Toc256000061"/>
      <w:bookmarkStart w:id="64" w:name="_Toc256000036"/>
      <w:bookmarkStart w:id="65" w:name="_Toc256000017"/>
      <w:bookmarkStart w:id="66" w:name="_Toc963585"/>
      <w:r>
        <w:t>Change Risk Assessment</w:t>
      </w:r>
      <w:bookmarkEnd w:id="62"/>
      <w:bookmarkEnd w:id="63"/>
      <w:bookmarkEnd w:id="64"/>
      <w:bookmarkEnd w:id="65"/>
      <w:bookmarkEnd w:id="66"/>
    </w:p>
    <w:p w:rsidR="005C3AF3" w:rsidRDefault="008B14D0" w:rsidP="005C3AF3">
      <w:pPr>
        <w:pStyle w:val="ISMSNormal"/>
      </w:pPr>
      <w:r w:rsidRPr="00770223">
        <w:t xml:space="preserve">The first stage of risk assessment is to identify the threats to the </w:t>
      </w:r>
      <w:r>
        <w:t>Confidentiality, Integrity and Availability (</w:t>
      </w:r>
      <w:r w:rsidRPr="00770223">
        <w:t>CIA</w:t>
      </w:r>
      <w:r>
        <w:t>)</w:t>
      </w:r>
      <w:r w:rsidRPr="00770223">
        <w:t xml:space="preserve"> of TRE data </w:t>
      </w:r>
      <w:r>
        <w:t>that could occur during and after the change is conducted. In accordance with ISMS-02-05 Risk Management Process, it is necessary to determine the impact of these threats, and also the likelihood of them occurring, representing them as numerical values to calculate an overall risk factor, or score:</w:t>
      </w:r>
    </w:p>
    <w:p w:rsidR="005C3AF3" w:rsidRDefault="00B84E59" w:rsidP="005C3AF3">
      <w:pPr>
        <w:pStyle w:val="ISMSNormal"/>
      </w:pPr>
    </w:p>
    <w:p w:rsidR="005C3AF3" w:rsidRPr="00FF23CB" w:rsidRDefault="008B14D0" w:rsidP="005C3AF3">
      <w:pPr>
        <w:pStyle w:val="ISMSNormal"/>
      </w:pPr>
      <w:r>
        <w:t xml:space="preserve">Risk Impact </w:t>
      </w:r>
      <w:r>
        <w:tab/>
        <w:t>= Maximum of Confidentiality, Integrity or Availability</w:t>
      </w:r>
    </w:p>
    <w:p w:rsidR="005C3AF3" w:rsidRPr="00FF23CB" w:rsidRDefault="008B14D0" w:rsidP="005C3AF3">
      <w:pPr>
        <w:pStyle w:val="ISMSNormal"/>
      </w:pPr>
      <w:r>
        <w:lastRenderedPageBreak/>
        <w:t xml:space="preserve">Risk Score </w:t>
      </w:r>
      <w:r>
        <w:tab/>
        <w:t xml:space="preserve">= Risk Impact x Likelihood </w:t>
      </w:r>
    </w:p>
    <w:p w:rsidR="005C3AF3" w:rsidRDefault="00B84E59" w:rsidP="005C3AF3">
      <w:pPr>
        <w:pStyle w:val="ISMSNormal"/>
      </w:pPr>
    </w:p>
    <w:p w:rsidR="005C3AF3" w:rsidRPr="003E3E76" w:rsidRDefault="008B14D0" w:rsidP="005C3AF3">
      <w:pPr>
        <w:pStyle w:val="ISMSNormal"/>
      </w:pPr>
      <w:r w:rsidRPr="003E3E76">
        <w:t>Example:</w:t>
      </w:r>
      <w:r w:rsidRPr="00FF23CB">
        <w:rPr>
          <w:b/>
        </w:rPr>
        <w:tab/>
      </w:r>
      <w:r w:rsidRPr="00FF23CB">
        <w:rPr>
          <w:b/>
        </w:rPr>
        <w:tab/>
      </w:r>
      <w:r>
        <w:t>Confidentiality</w:t>
      </w:r>
      <w:r w:rsidRPr="003E3E76">
        <w:tab/>
      </w:r>
      <w:r>
        <w:tab/>
      </w:r>
      <w:r>
        <w:tab/>
      </w:r>
      <w:r w:rsidRPr="003E3E76">
        <w:t>= 3</w:t>
      </w:r>
    </w:p>
    <w:p w:rsidR="005C3AF3" w:rsidRPr="003E3E76" w:rsidRDefault="008B14D0" w:rsidP="005C3AF3">
      <w:pPr>
        <w:pStyle w:val="ISMSNormal"/>
        <w:ind w:left="2160"/>
      </w:pPr>
      <w:r w:rsidRPr="003E3E76">
        <w:t>Int</w:t>
      </w:r>
      <w:r>
        <w:t>egrity</w:t>
      </w:r>
      <w:r w:rsidRPr="003E3E76">
        <w:tab/>
      </w:r>
      <w:r w:rsidRPr="003E3E76">
        <w:tab/>
      </w:r>
      <w:r>
        <w:tab/>
      </w:r>
      <w:r w:rsidRPr="003E3E76">
        <w:t>= 2</w:t>
      </w:r>
    </w:p>
    <w:p w:rsidR="005C3AF3" w:rsidRPr="003E3E76" w:rsidRDefault="008B14D0" w:rsidP="005C3AF3">
      <w:pPr>
        <w:pStyle w:val="ISMSNormal"/>
        <w:ind w:left="2160"/>
      </w:pPr>
      <w:r w:rsidRPr="003E3E76">
        <w:t>Availability</w:t>
      </w:r>
      <w:r w:rsidRPr="003E3E76">
        <w:tab/>
      </w:r>
      <w:r w:rsidRPr="003E3E76">
        <w:tab/>
      </w:r>
      <w:r>
        <w:tab/>
      </w:r>
      <w:r w:rsidRPr="003E3E76">
        <w:t>= 5</w:t>
      </w:r>
    </w:p>
    <w:p w:rsidR="005C3AF3" w:rsidRPr="003E3E76" w:rsidRDefault="008B14D0" w:rsidP="005C3AF3">
      <w:pPr>
        <w:pStyle w:val="ISMSNormal"/>
        <w:ind w:left="2160"/>
      </w:pPr>
      <w:r w:rsidRPr="003E3E76">
        <w:t xml:space="preserve">Likelihood     </w:t>
      </w:r>
      <w:r w:rsidRPr="003E3E76">
        <w:tab/>
      </w:r>
      <w:r w:rsidRPr="003E3E76">
        <w:tab/>
      </w:r>
      <w:r w:rsidRPr="003E3E76">
        <w:tab/>
      </w:r>
      <w:r>
        <w:t>= 4</w:t>
      </w:r>
    </w:p>
    <w:p w:rsidR="005C3AF3" w:rsidRDefault="00B84E59" w:rsidP="005C3AF3">
      <w:pPr>
        <w:pStyle w:val="ISMSNormal"/>
      </w:pPr>
    </w:p>
    <w:p w:rsidR="005C3AF3" w:rsidRPr="00FF23CB" w:rsidRDefault="008B14D0" w:rsidP="005C3AF3">
      <w:pPr>
        <w:pStyle w:val="ISMSNormal"/>
      </w:pPr>
      <w:r>
        <w:t>Risk Score = 5 x 4 = 20</w:t>
      </w:r>
    </w:p>
    <w:p w:rsidR="005C3AF3" w:rsidRPr="00A33043" w:rsidRDefault="00B84E59" w:rsidP="005C3AF3">
      <w:pPr>
        <w:pStyle w:val="ISMSNormal"/>
        <w:rPr>
          <w:b/>
        </w:rPr>
      </w:pPr>
    </w:p>
    <w:p w:rsidR="005C3AF3" w:rsidRDefault="008B14D0" w:rsidP="005C3AF3">
      <w:pPr>
        <w:pStyle w:val="ISMSNormal"/>
      </w:pPr>
      <w:r w:rsidRPr="00A33043">
        <w:rPr>
          <w:b/>
        </w:rPr>
        <w:t xml:space="preserve">Table </w:t>
      </w:r>
      <w:r>
        <w:rPr>
          <w:b/>
        </w:rPr>
        <w:t>1</w:t>
      </w:r>
      <w:r w:rsidRPr="00A33043">
        <w:rPr>
          <w:b/>
        </w:rPr>
        <w:t>: Risk Level</w:t>
      </w:r>
      <w:r>
        <w:rPr>
          <w:b/>
        </w:rPr>
        <w:t xml:space="preserve"> and Approval</w:t>
      </w:r>
    </w:p>
    <w:tbl>
      <w:tblPr>
        <w:tblStyle w:val="TableGrid"/>
        <w:tblpPr w:leftFromText="180" w:rightFromText="180" w:vertAnchor="text" w:horzAnchor="page" w:tblpXSpec="center" w:tblpY="1"/>
        <w:tblW w:w="5265" w:type="pct"/>
        <w:tblLook w:val="04A0" w:firstRow="1" w:lastRow="0" w:firstColumn="1" w:lastColumn="0" w:noHBand="0" w:noVBand="1"/>
      </w:tblPr>
      <w:tblGrid>
        <w:gridCol w:w="950"/>
        <w:gridCol w:w="1272"/>
        <w:gridCol w:w="1109"/>
        <w:gridCol w:w="2115"/>
        <w:gridCol w:w="1787"/>
        <w:gridCol w:w="2261"/>
      </w:tblGrid>
      <w:tr w:rsidR="006A53EF" w:rsidTr="00203D50">
        <w:tc>
          <w:tcPr>
            <w:tcW w:w="500" w:type="pct"/>
            <w:tcBorders>
              <w:bottom w:val="single" w:sz="4" w:space="0" w:color="auto"/>
            </w:tcBorders>
            <w:shd w:val="clear" w:color="auto" w:fill="D9D9D9" w:themeFill="background1" w:themeFillShade="D9"/>
          </w:tcPr>
          <w:p w:rsidR="005C3AF3" w:rsidRPr="004A3AD9" w:rsidRDefault="008B14D0" w:rsidP="00203D50">
            <w:pPr>
              <w:jc w:val="center"/>
              <w:rPr>
                <w:rFonts w:ascii="Calibri" w:hAnsi="Calibri" w:cs="Calibri"/>
                <w:b/>
                <w:sz w:val="22"/>
                <w:szCs w:val="22"/>
              </w:rPr>
            </w:pPr>
            <w:bookmarkStart w:id="67" w:name="_Hlk529352185"/>
            <w:r w:rsidRPr="004A3AD9">
              <w:rPr>
                <w:rFonts w:ascii="Calibri" w:hAnsi="Calibri" w:cs="Calibri"/>
                <w:b/>
                <w:sz w:val="22"/>
                <w:szCs w:val="22"/>
              </w:rPr>
              <w:t>Score Range</w:t>
            </w:r>
          </w:p>
        </w:tc>
        <w:tc>
          <w:tcPr>
            <w:tcW w:w="670" w:type="pct"/>
            <w:tcBorders>
              <w:bottom w:val="single" w:sz="4" w:space="0" w:color="auto"/>
            </w:tcBorders>
            <w:shd w:val="clear" w:color="auto" w:fill="D9D9D9" w:themeFill="background1" w:themeFillShade="D9"/>
          </w:tcPr>
          <w:p w:rsidR="005C3AF3" w:rsidRPr="004A3AD9" w:rsidRDefault="008B14D0" w:rsidP="00203D50">
            <w:pPr>
              <w:jc w:val="center"/>
              <w:rPr>
                <w:rFonts w:ascii="Calibri" w:hAnsi="Calibri" w:cs="Calibri"/>
                <w:b/>
                <w:sz w:val="22"/>
                <w:szCs w:val="22"/>
              </w:rPr>
            </w:pPr>
            <w:r w:rsidRPr="004A3AD9">
              <w:rPr>
                <w:rFonts w:ascii="Calibri" w:hAnsi="Calibri" w:cs="Calibri"/>
                <w:b/>
                <w:sz w:val="22"/>
                <w:szCs w:val="22"/>
              </w:rPr>
              <w:t>Risk level</w:t>
            </w:r>
          </w:p>
        </w:tc>
        <w:tc>
          <w:tcPr>
            <w:tcW w:w="584" w:type="pct"/>
            <w:tcBorders>
              <w:bottom w:val="single" w:sz="4" w:space="0" w:color="auto"/>
            </w:tcBorders>
            <w:shd w:val="clear" w:color="auto" w:fill="D9D9D9" w:themeFill="background1" w:themeFillShade="D9"/>
          </w:tcPr>
          <w:p w:rsidR="005C3AF3" w:rsidRPr="004A3AD9" w:rsidRDefault="008B14D0" w:rsidP="00203D50">
            <w:pPr>
              <w:jc w:val="center"/>
              <w:rPr>
                <w:rFonts w:ascii="Calibri" w:hAnsi="Calibri" w:cs="Calibri"/>
                <w:b/>
                <w:sz w:val="22"/>
                <w:szCs w:val="22"/>
              </w:rPr>
            </w:pPr>
            <w:r w:rsidRPr="004A3AD9">
              <w:rPr>
                <w:rFonts w:ascii="Calibri" w:hAnsi="Calibri" w:cs="Calibri"/>
                <w:b/>
                <w:sz w:val="22"/>
                <w:szCs w:val="22"/>
              </w:rPr>
              <w:t>Change</w:t>
            </w:r>
          </w:p>
          <w:p w:rsidR="005C3AF3" w:rsidRPr="004A3AD9" w:rsidRDefault="008B14D0" w:rsidP="00203D50">
            <w:pPr>
              <w:jc w:val="center"/>
              <w:rPr>
                <w:rFonts w:ascii="Calibri" w:hAnsi="Calibri" w:cs="Calibri"/>
                <w:b/>
                <w:sz w:val="22"/>
                <w:szCs w:val="22"/>
              </w:rPr>
            </w:pPr>
            <w:r w:rsidRPr="004A3AD9">
              <w:rPr>
                <w:rFonts w:ascii="Calibri" w:hAnsi="Calibri" w:cs="Calibri"/>
                <w:b/>
                <w:sz w:val="22"/>
                <w:szCs w:val="22"/>
              </w:rPr>
              <w:t>Type</w:t>
            </w:r>
          </w:p>
        </w:tc>
        <w:tc>
          <w:tcPr>
            <w:tcW w:w="1114" w:type="pct"/>
            <w:tcBorders>
              <w:bottom w:val="single" w:sz="4" w:space="0" w:color="auto"/>
            </w:tcBorders>
            <w:shd w:val="clear" w:color="auto" w:fill="D9D9D9" w:themeFill="background1" w:themeFillShade="D9"/>
          </w:tcPr>
          <w:p w:rsidR="005C3AF3" w:rsidRPr="004A3AD9" w:rsidRDefault="008B14D0" w:rsidP="00203D50">
            <w:pPr>
              <w:jc w:val="center"/>
              <w:rPr>
                <w:rFonts w:ascii="Calibri" w:hAnsi="Calibri" w:cs="Calibri"/>
                <w:b/>
                <w:sz w:val="22"/>
                <w:szCs w:val="22"/>
              </w:rPr>
            </w:pPr>
            <w:r w:rsidRPr="004A3AD9">
              <w:rPr>
                <w:rFonts w:ascii="Calibri" w:hAnsi="Calibri" w:cs="Calibri"/>
                <w:b/>
                <w:sz w:val="22"/>
                <w:szCs w:val="22"/>
              </w:rPr>
              <w:t>Risk Assessment</w:t>
            </w:r>
          </w:p>
        </w:tc>
        <w:tc>
          <w:tcPr>
            <w:tcW w:w="941" w:type="pct"/>
            <w:tcBorders>
              <w:bottom w:val="single" w:sz="4" w:space="0" w:color="auto"/>
            </w:tcBorders>
            <w:shd w:val="clear" w:color="auto" w:fill="D9D9D9" w:themeFill="background1" w:themeFillShade="D9"/>
          </w:tcPr>
          <w:p w:rsidR="005C3AF3" w:rsidRPr="004A3AD9" w:rsidRDefault="008B14D0" w:rsidP="00203D50">
            <w:pPr>
              <w:jc w:val="center"/>
              <w:rPr>
                <w:rFonts w:ascii="Calibri" w:hAnsi="Calibri" w:cs="Calibri"/>
                <w:b/>
                <w:sz w:val="22"/>
                <w:szCs w:val="22"/>
              </w:rPr>
            </w:pPr>
            <w:r w:rsidRPr="004A3AD9">
              <w:rPr>
                <w:rFonts w:ascii="Calibri" w:hAnsi="Calibri" w:cs="Calibri"/>
                <w:b/>
                <w:sz w:val="22"/>
                <w:szCs w:val="22"/>
              </w:rPr>
              <w:t>Approval Action</w:t>
            </w:r>
          </w:p>
        </w:tc>
        <w:tc>
          <w:tcPr>
            <w:tcW w:w="1191" w:type="pct"/>
            <w:tcBorders>
              <w:bottom w:val="single" w:sz="4" w:space="0" w:color="auto"/>
            </w:tcBorders>
            <w:shd w:val="clear" w:color="auto" w:fill="D9D9D9" w:themeFill="background1" w:themeFillShade="D9"/>
          </w:tcPr>
          <w:p w:rsidR="005C3AF3" w:rsidRPr="004A3AD9" w:rsidRDefault="008B14D0" w:rsidP="00203D50">
            <w:pPr>
              <w:jc w:val="center"/>
              <w:rPr>
                <w:rFonts w:ascii="Calibri" w:hAnsi="Calibri" w:cs="Calibri"/>
                <w:b/>
                <w:sz w:val="22"/>
                <w:szCs w:val="22"/>
              </w:rPr>
            </w:pPr>
            <w:r w:rsidRPr="004A3AD9">
              <w:rPr>
                <w:rFonts w:ascii="Calibri" w:hAnsi="Calibri" w:cs="Calibri"/>
                <w:b/>
                <w:sz w:val="22"/>
                <w:szCs w:val="22"/>
              </w:rPr>
              <w:t>Method of recording work activity</w:t>
            </w:r>
          </w:p>
        </w:tc>
      </w:tr>
      <w:tr w:rsidR="006A53EF" w:rsidTr="00203D50">
        <w:trPr>
          <w:trHeight w:val="283"/>
        </w:trPr>
        <w:tc>
          <w:tcPr>
            <w:tcW w:w="500" w:type="pct"/>
            <w:shd w:val="clear" w:color="auto" w:fill="92D050"/>
          </w:tcPr>
          <w:p w:rsidR="005C3AF3" w:rsidRPr="004A3AD9" w:rsidRDefault="008B14D0" w:rsidP="00203D50">
            <w:pPr>
              <w:jc w:val="center"/>
              <w:rPr>
                <w:rFonts w:ascii="Calibri" w:hAnsi="Calibri" w:cs="Calibri"/>
                <w:sz w:val="22"/>
                <w:szCs w:val="22"/>
              </w:rPr>
            </w:pPr>
            <w:r w:rsidRPr="004A3AD9">
              <w:rPr>
                <w:rFonts w:ascii="Calibri" w:hAnsi="Calibri" w:cs="Calibri"/>
                <w:sz w:val="22"/>
                <w:szCs w:val="22"/>
              </w:rPr>
              <w:t>1-5</w:t>
            </w:r>
          </w:p>
        </w:tc>
        <w:tc>
          <w:tcPr>
            <w:tcW w:w="670" w:type="pct"/>
            <w:shd w:val="clear" w:color="auto" w:fill="92D050"/>
          </w:tcPr>
          <w:p w:rsidR="005C3AF3" w:rsidRPr="004A3AD9" w:rsidRDefault="008B14D0" w:rsidP="00203D50">
            <w:pPr>
              <w:rPr>
                <w:rFonts w:ascii="Calibri" w:hAnsi="Calibri" w:cs="Calibri"/>
                <w:sz w:val="22"/>
                <w:szCs w:val="22"/>
              </w:rPr>
            </w:pPr>
            <w:r w:rsidRPr="004A3AD9">
              <w:rPr>
                <w:rFonts w:ascii="Calibri" w:hAnsi="Calibri" w:cs="Calibri"/>
                <w:sz w:val="22"/>
                <w:szCs w:val="22"/>
              </w:rPr>
              <w:t>Low</w:t>
            </w:r>
          </w:p>
        </w:tc>
        <w:tc>
          <w:tcPr>
            <w:tcW w:w="584" w:type="pct"/>
            <w:shd w:val="clear" w:color="auto" w:fill="92D050"/>
          </w:tcPr>
          <w:p w:rsidR="005C3AF3" w:rsidRPr="004A3AD9" w:rsidRDefault="008B14D0" w:rsidP="00203D50">
            <w:pPr>
              <w:rPr>
                <w:rFonts w:ascii="Calibri" w:hAnsi="Calibri" w:cs="Calibri"/>
                <w:color w:val="000000"/>
                <w:sz w:val="22"/>
                <w:szCs w:val="22"/>
              </w:rPr>
            </w:pPr>
            <w:r w:rsidRPr="004A3AD9">
              <w:rPr>
                <w:rFonts w:ascii="Calibri" w:hAnsi="Calibri" w:cs="Calibri"/>
                <w:color w:val="000000"/>
                <w:sz w:val="22"/>
                <w:szCs w:val="22"/>
              </w:rPr>
              <w:t>BAU</w:t>
            </w:r>
          </w:p>
        </w:tc>
        <w:tc>
          <w:tcPr>
            <w:tcW w:w="1114" w:type="pct"/>
            <w:shd w:val="clear" w:color="auto" w:fill="92D050"/>
          </w:tcPr>
          <w:p w:rsidR="005C3AF3" w:rsidRPr="004A3AD9" w:rsidRDefault="008B14D0" w:rsidP="00203D50">
            <w:pPr>
              <w:rPr>
                <w:rFonts w:ascii="Calibri" w:hAnsi="Calibri" w:cs="Calibri"/>
                <w:color w:val="000000"/>
                <w:sz w:val="22"/>
                <w:szCs w:val="22"/>
              </w:rPr>
            </w:pPr>
            <w:r w:rsidRPr="004A3AD9">
              <w:rPr>
                <w:rFonts w:ascii="Calibri" w:hAnsi="Calibri" w:cs="Calibri"/>
                <w:color w:val="000000"/>
                <w:sz w:val="22"/>
                <w:szCs w:val="22"/>
              </w:rPr>
              <w:t>Pre-determined with a level of ‘Low’</w:t>
            </w:r>
          </w:p>
          <w:p w:rsidR="005C3AF3" w:rsidRPr="004A3AD9" w:rsidRDefault="00B84E59" w:rsidP="00203D50">
            <w:pPr>
              <w:jc w:val="center"/>
              <w:rPr>
                <w:rFonts w:ascii="Calibri" w:hAnsi="Calibri" w:cs="Calibri"/>
                <w:sz w:val="22"/>
                <w:szCs w:val="22"/>
              </w:rPr>
            </w:pPr>
          </w:p>
        </w:tc>
        <w:tc>
          <w:tcPr>
            <w:tcW w:w="941" w:type="pct"/>
            <w:shd w:val="clear" w:color="auto" w:fill="92D050"/>
            <w:vAlign w:val="center"/>
          </w:tcPr>
          <w:p w:rsidR="005C3AF3" w:rsidRPr="004A3AD9" w:rsidRDefault="008B14D0" w:rsidP="00203D50">
            <w:pPr>
              <w:rPr>
                <w:rFonts w:ascii="Calibri" w:hAnsi="Calibri" w:cs="Calibri"/>
                <w:color w:val="000000"/>
                <w:sz w:val="22"/>
                <w:szCs w:val="22"/>
              </w:rPr>
            </w:pPr>
            <w:r w:rsidRPr="004A3AD9">
              <w:rPr>
                <w:rFonts w:ascii="Calibri" w:hAnsi="Calibri" w:cs="Calibri"/>
                <w:color w:val="000000"/>
                <w:sz w:val="22"/>
                <w:szCs w:val="22"/>
              </w:rPr>
              <w:t>RFC not required, automatic approval</w:t>
            </w:r>
          </w:p>
        </w:tc>
        <w:tc>
          <w:tcPr>
            <w:tcW w:w="1191" w:type="pct"/>
            <w:shd w:val="clear" w:color="auto" w:fill="92D050"/>
          </w:tcPr>
          <w:p w:rsidR="005C3AF3" w:rsidRPr="004A3AD9" w:rsidRDefault="008B14D0" w:rsidP="00203D50">
            <w:pPr>
              <w:rPr>
                <w:rFonts w:ascii="Calibri" w:hAnsi="Calibri" w:cs="Calibri"/>
                <w:color w:val="000000"/>
                <w:sz w:val="22"/>
                <w:szCs w:val="22"/>
              </w:rPr>
            </w:pPr>
            <w:r w:rsidRPr="004A3AD9">
              <w:rPr>
                <w:rFonts w:ascii="Calibri" w:hAnsi="Calibri" w:cs="Calibri"/>
                <w:color w:val="000000"/>
                <w:sz w:val="22"/>
                <w:szCs w:val="22"/>
              </w:rPr>
              <w:t>N/A</w:t>
            </w:r>
          </w:p>
        </w:tc>
      </w:tr>
      <w:tr w:rsidR="006A53EF" w:rsidTr="00203D50">
        <w:trPr>
          <w:trHeight w:val="283"/>
        </w:trPr>
        <w:tc>
          <w:tcPr>
            <w:tcW w:w="500" w:type="pct"/>
            <w:shd w:val="clear" w:color="auto" w:fill="92D050"/>
          </w:tcPr>
          <w:p w:rsidR="005C3AF3" w:rsidRPr="004A3AD9" w:rsidRDefault="008B14D0" w:rsidP="00203D50">
            <w:pPr>
              <w:jc w:val="center"/>
              <w:rPr>
                <w:rFonts w:ascii="Calibri" w:hAnsi="Calibri" w:cs="Calibri"/>
                <w:sz w:val="22"/>
                <w:szCs w:val="22"/>
              </w:rPr>
            </w:pPr>
            <w:r w:rsidRPr="004A3AD9">
              <w:rPr>
                <w:rFonts w:ascii="Calibri" w:hAnsi="Calibri" w:cs="Calibri"/>
                <w:sz w:val="22"/>
                <w:szCs w:val="22"/>
              </w:rPr>
              <w:t>1-5</w:t>
            </w:r>
          </w:p>
        </w:tc>
        <w:tc>
          <w:tcPr>
            <w:tcW w:w="670" w:type="pct"/>
            <w:shd w:val="clear" w:color="auto" w:fill="92D050"/>
          </w:tcPr>
          <w:p w:rsidR="005C3AF3" w:rsidRPr="004A3AD9" w:rsidRDefault="008B14D0" w:rsidP="00203D50">
            <w:pPr>
              <w:rPr>
                <w:rFonts w:ascii="Calibri" w:hAnsi="Calibri" w:cs="Calibri"/>
                <w:sz w:val="22"/>
                <w:szCs w:val="22"/>
              </w:rPr>
            </w:pPr>
            <w:r w:rsidRPr="004A3AD9">
              <w:rPr>
                <w:rFonts w:ascii="Calibri" w:hAnsi="Calibri" w:cs="Calibri"/>
                <w:sz w:val="22"/>
                <w:szCs w:val="22"/>
              </w:rPr>
              <w:t>Low</w:t>
            </w:r>
          </w:p>
        </w:tc>
        <w:tc>
          <w:tcPr>
            <w:tcW w:w="584" w:type="pct"/>
            <w:shd w:val="clear" w:color="auto" w:fill="92D050"/>
          </w:tcPr>
          <w:p w:rsidR="005C3AF3" w:rsidRPr="004A3AD9" w:rsidRDefault="008B14D0" w:rsidP="00203D50">
            <w:pPr>
              <w:rPr>
                <w:rFonts w:ascii="Calibri" w:hAnsi="Calibri" w:cs="Calibri"/>
                <w:color w:val="000000"/>
                <w:sz w:val="22"/>
                <w:szCs w:val="22"/>
              </w:rPr>
            </w:pPr>
            <w:r w:rsidRPr="004A3AD9">
              <w:rPr>
                <w:rFonts w:ascii="Calibri" w:hAnsi="Calibri" w:cs="Calibri"/>
                <w:color w:val="000000"/>
                <w:sz w:val="22"/>
                <w:szCs w:val="22"/>
              </w:rPr>
              <w:t>Standard</w:t>
            </w:r>
          </w:p>
        </w:tc>
        <w:tc>
          <w:tcPr>
            <w:tcW w:w="1114" w:type="pct"/>
            <w:shd w:val="clear" w:color="auto" w:fill="92D050"/>
          </w:tcPr>
          <w:p w:rsidR="005C3AF3" w:rsidRPr="004A3AD9" w:rsidRDefault="008B14D0" w:rsidP="00203D50">
            <w:pPr>
              <w:rPr>
                <w:rFonts w:ascii="Calibri" w:hAnsi="Calibri" w:cs="Calibri"/>
                <w:color w:val="000000"/>
                <w:sz w:val="22"/>
                <w:szCs w:val="22"/>
              </w:rPr>
            </w:pPr>
            <w:r w:rsidRPr="004A3AD9">
              <w:rPr>
                <w:rFonts w:ascii="Calibri" w:hAnsi="Calibri" w:cs="Calibri"/>
                <w:color w:val="000000"/>
                <w:sz w:val="22"/>
                <w:szCs w:val="22"/>
              </w:rPr>
              <w:t>Pre-determined with a level of ‘Low’</w:t>
            </w:r>
          </w:p>
        </w:tc>
        <w:tc>
          <w:tcPr>
            <w:tcW w:w="941" w:type="pct"/>
            <w:shd w:val="clear" w:color="auto" w:fill="92D050"/>
            <w:vAlign w:val="center"/>
          </w:tcPr>
          <w:p w:rsidR="005C3AF3" w:rsidRPr="004A3AD9" w:rsidRDefault="008B14D0" w:rsidP="00203D50">
            <w:pPr>
              <w:rPr>
                <w:rFonts w:ascii="Calibri" w:hAnsi="Calibri" w:cs="Calibri"/>
                <w:color w:val="000000"/>
                <w:sz w:val="22"/>
                <w:szCs w:val="22"/>
              </w:rPr>
            </w:pPr>
            <w:r w:rsidRPr="004A3AD9">
              <w:rPr>
                <w:rFonts w:ascii="Calibri" w:hAnsi="Calibri" w:cs="Calibri"/>
                <w:color w:val="000000"/>
                <w:sz w:val="22"/>
                <w:szCs w:val="22"/>
              </w:rPr>
              <w:t>RFC not required, approval by ISM</w:t>
            </w:r>
          </w:p>
        </w:tc>
        <w:tc>
          <w:tcPr>
            <w:tcW w:w="1191" w:type="pct"/>
            <w:shd w:val="clear" w:color="auto" w:fill="92D050"/>
          </w:tcPr>
          <w:p w:rsidR="005C3AF3" w:rsidRPr="004A3AD9" w:rsidRDefault="008B14D0" w:rsidP="00203D50">
            <w:pPr>
              <w:rPr>
                <w:rFonts w:ascii="Calibri" w:hAnsi="Calibri" w:cs="Calibri"/>
                <w:color w:val="000000"/>
                <w:sz w:val="22"/>
                <w:szCs w:val="22"/>
              </w:rPr>
            </w:pPr>
            <w:r w:rsidRPr="004A3AD9">
              <w:rPr>
                <w:rFonts w:ascii="Calibri" w:hAnsi="Calibri" w:cs="Calibri"/>
                <w:color w:val="000000"/>
                <w:sz w:val="22"/>
                <w:szCs w:val="22"/>
              </w:rPr>
              <w:t>TRE Infrastructure Record</w:t>
            </w:r>
          </w:p>
        </w:tc>
      </w:tr>
      <w:tr w:rsidR="006A53EF" w:rsidTr="00203D50">
        <w:trPr>
          <w:trHeight w:val="283"/>
        </w:trPr>
        <w:tc>
          <w:tcPr>
            <w:tcW w:w="500" w:type="pct"/>
            <w:shd w:val="clear" w:color="auto" w:fill="FFFF00"/>
          </w:tcPr>
          <w:p w:rsidR="005C3AF3" w:rsidRPr="004A3AD9" w:rsidRDefault="008B14D0" w:rsidP="00203D50">
            <w:pPr>
              <w:jc w:val="center"/>
              <w:rPr>
                <w:rFonts w:ascii="Calibri" w:hAnsi="Calibri" w:cs="Calibri"/>
                <w:sz w:val="22"/>
                <w:szCs w:val="22"/>
              </w:rPr>
            </w:pPr>
            <w:r w:rsidRPr="004A3AD9">
              <w:rPr>
                <w:rFonts w:ascii="Calibri" w:hAnsi="Calibri" w:cs="Calibri"/>
                <w:sz w:val="22"/>
                <w:szCs w:val="22"/>
              </w:rPr>
              <w:t>6-12</w:t>
            </w:r>
          </w:p>
        </w:tc>
        <w:tc>
          <w:tcPr>
            <w:tcW w:w="670" w:type="pct"/>
            <w:shd w:val="clear" w:color="auto" w:fill="FFFF00"/>
          </w:tcPr>
          <w:p w:rsidR="005C3AF3" w:rsidRPr="004A3AD9" w:rsidRDefault="008B14D0" w:rsidP="00203D50">
            <w:pPr>
              <w:rPr>
                <w:rFonts w:ascii="Calibri" w:hAnsi="Calibri" w:cs="Calibri"/>
                <w:sz w:val="22"/>
                <w:szCs w:val="22"/>
              </w:rPr>
            </w:pPr>
            <w:r w:rsidRPr="004A3AD9">
              <w:rPr>
                <w:rFonts w:ascii="Calibri" w:hAnsi="Calibri" w:cs="Calibri"/>
                <w:sz w:val="22"/>
                <w:szCs w:val="22"/>
                <w:highlight w:val="yellow"/>
              </w:rPr>
              <w:t>Low</w:t>
            </w:r>
          </w:p>
        </w:tc>
        <w:tc>
          <w:tcPr>
            <w:tcW w:w="584" w:type="pct"/>
            <w:shd w:val="clear" w:color="auto" w:fill="FFFF00"/>
          </w:tcPr>
          <w:p w:rsidR="005C3AF3" w:rsidRPr="004A3AD9" w:rsidRDefault="008B14D0" w:rsidP="00203D50">
            <w:pPr>
              <w:rPr>
                <w:rFonts w:ascii="Calibri" w:hAnsi="Calibri" w:cs="Calibri"/>
                <w:color w:val="000000"/>
                <w:sz w:val="22"/>
                <w:szCs w:val="22"/>
              </w:rPr>
            </w:pPr>
            <w:r w:rsidRPr="004A3AD9">
              <w:rPr>
                <w:rFonts w:ascii="Calibri" w:hAnsi="Calibri" w:cs="Calibri"/>
                <w:color w:val="000000"/>
                <w:sz w:val="22"/>
                <w:szCs w:val="22"/>
              </w:rPr>
              <w:t>Normal</w:t>
            </w:r>
          </w:p>
        </w:tc>
        <w:tc>
          <w:tcPr>
            <w:tcW w:w="1114" w:type="pct"/>
            <w:shd w:val="clear" w:color="auto" w:fill="FFFF00"/>
          </w:tcPr>
          <w:p w:rsidR="005C3AF3" w:rsidRPr="004A3AD9" w:rsidRDefault="008B14D0" w:rsidP="00203D50">
            <w:pPr>
              <w:rPr>
                <w:rFonts w:ascii="Calibri" w:hAnsi="Calibri" w:cs="Calibri"/>
                <w:color w:val="000000"/>
                <w:sz w:val="22"/>
                <w:szCs w:val="22"/>
              </w:rPr>
            </w:pPr>
            <w:r w:rsidRPr="004A3AD9">
              <w:rPr>
                <w:rFonts w:ascii="Calibri" w:hAnsi="Calibri" w:cs="Calibri"/>
                <w:color w:val="000000"/>
                <w:sz w:val="22"/>
                <w:szCs w:val="22"/>
              </w:rPr>
              <w:t>Risk assessment required</w:t>
            </w:r>
          </w:p>
        </w:tc>
        <w:tc>
          <w:tcPr>
            <w:tcW w:w="941" w:type="pct"/>
            <w:shd w:val="clear" w:color="auto" w:fill="FFFF00"/>
            <w:vAlign w:val="center"/>
          </w:tcPr>
          <w:p w:rsidR="005C3AF3" w:rsidRPr="004A3AD9" w:rsidRDefault="008B14D0" w:rsidP="00203D50">
            <w:pPr>
              <w:rPr>
                <w:rFonts w:ascii="Calibri" w:hAnsi="Calibri" w:cs="Calibri"/>
                <w:color w:val="000000"/>
                <w:sz w:val="22"/>
                <w:szCs w:val="22"/>
              </w:rPr>
            </w:pPr>
            <w:r w:rsidRPr="004A3AD9">
              <w:rPr>
                <w:rFonts w:ascii="Calibri" w:hAnsi="Calibri" w:cs="Calibri"/>
                <w:color w:val="000000"/>
                <w:sz w:val="22"/>
                <w:szCs w:val="22"/>
              </w:rPr>
              <w:t>RFC not required, approval by ISM</w:t>
            </w:r>
          </w:p>
        </w:tc>
        <w:tc>
          <w:tcPr>
            <w:tcW w:w="1191" w:type="pct"/>
            <w:shd w:val="clear" w:color="auto" w:fill="FFFF00"/>
          </w:tcPr>
          <w:p w:rsidR="005C3AF3" w:rsidRPr="004A3AD9" w:rsidRDefault="008B14D0" w:rsidP="00203D50">
            <w:pPr>
              <w:rPr>
                <w:rFonts w:ascii="Calibri" w:hAnsi="Calibri" w:cs="Calibri"/>
                <w:color w:val="000000"/>
                <w:sz w:val="22"/>
                <w:szCs w:val="22"/>
              </w:rPr>
            </w:pPr>
            <w:r w:rsidRPr="004A3AD9">
              <w:rPr>
                <w:rFonts w:ascii="Calibri" w:hAnsi="Calibri" w:cs="Calibri"/>
                <w:color w:val="000000"/>
                <w:sz w:val="22"/>
                <w:szCs w:val="22"/>
              </w:rPr>
              <w:t>TRE Infrastructure Record</w:t>
            </w:r>
          </w:p>
        </w:tc>
      </w:tr>
      <w:tr w:rsidR="006A53EF" w:rsidTr="00203D50">
        <w:trPr>
          <w:trHeight w:val="283"/>
        </w:trPr>
        <w:tc>
          <w:tcPr>
            <w:tcW w:w="500" w:type="pct"/>
            <w:shd w:val="clear" w:color="auto" w:fill="FFC000"/>
          </w:tcPr>
          <w:p w:rsidR="005C3AF3" w:rsidRPr="004A3AD9" w:rsidRDefault="008B14D0" w:rsidP="00203D50">
            <w:pPr>
              <w:jc w:val="center"/>
              <w:rPr>
                <w:rFonts w:ascii="Calibri" w:hAnsi="Calibri" w:cs="Calibri"/>
                <w:sz w:val="22"/>
                <w:szCs w:val="22"/>
              </w:rPr>
            </w:pPr>
            <w:r w:rsidRPr="004A3AD9">
              <w:rPr>
                <w:rFonts w:ascii="Calibri" w:hAnsi="Calibri" w:cs="Calibri"/>
                <w:sz w:val="22"/>
                <w:szCs w:val="22"/>
              </w:rPr>
              <w:t>6-12</w:t>
            </w:r>
          </w:p>
        </w:tc>
        <w:tc>
          <w:tcPr>
            <w:tcW w:w="670" w:type="pct"/>
            <w:shd w:val="clear" w:color="auto" w:fill="FFC000"/>
          </w:tcPr>
          <w:p w:rsidR="005C3AF3" w:rsidRPr="004A3AD9" w:rsidRDefault="008B14D0" w:rsidP="00203D50">
            <w:pPr>
              <w:rPr>
                <w:rFonts w:ascii="Calibri" w:hAnsi="Calibri" w:cs="Calibri"/>
                <w:sz w:val="22"/>
                <w:szCs w:val="22"/>
              </w:rPr>
            </w:pPr>
            <w:r w:rsidRPr="004A3AD9">
              <w:rPr>
                <w:rFonts w:ascii="Calibri" w:hAnsi="Calibri" w:cs="Calibri"/>
                <w:sz w:val="22"/>
                <w:szCs w:val="22"/>
              </w:rPr>
              <w:t>Medium</w:t>
            </w:r>
          </w:p>
        </w:tc>
        <w:tc>
          <w:tcPr>
            <w:tcW w:w="584" w:type="pct"/>
            <w:shd w:val="clear" w:color="auto" w:fill="FFC000"/>
          </w:tcPr>
          <w:p w:rsidR="005C3AF3" w:rsidRPr="004A3AD9" w:rsidRDefault="008B14D0" w:rsidP="00203D50">
            <w:pPr>
              <w:rPr>
                <w:rFonts w:ascii="Calibri" w:hAnsi="Calibri" w:cs="Calibri"/>
                <w:color w:val="000000"/>
                <w:sz w:val="22"/>
                <w:szCs w:val="22"/>
              </w:rPr>
            </w:pPr>
            <w:r w:rsidRPr="004A3AD9">
              <w:rPr>
                <w:rFonts w:ascii="Calibri" w:hAnsi="Calibri" w:cs="Calibri"/>
                <w:color w:val="000000"/>
                <w:sz w:val="22"/>
                <w:szCs w:val="22"/>
              </w:rPr>
              <w:t>Normal</w:t>
            </w:r>
          </w:p>
        </w:tc>
        <w:tc>
          <w:tcPr>
            <w:tcW w:w="1114" w:type="pct"/>
            <w:shd w:val="clear" w:color="auto" w:fill="FFC000"/>
          </w:tcPr>
          <w:p w:rsidR="005C3AF3" w:rsidRPr="004A3AD9" w:rsidRDefault="008B14D0" w:rsidP="00203D50">
            <w:pPr>
              <w:rPr>
                <w:rFonts w:ascii="Calibri" w:hAnsi="Calibri" w:cs="Calibri"/>
                <w:color w:val="000000"/>
                <w:sz w:val="22"/>
                <w:szCs w:val="22"/>
              </w:rPr>
            </w:pPr>
            <w:r w:rsidRPr="004A3AD9">
              <w:rPr>
                <w:rFonts w:ascii="Calibri" w:hAnsi="Calibri" w:cs="Calibri"/>
                <w:color w:val="000000"/>
                <w:sz w:val="22"/>
                <w:szCs w:val="22"/>
              </w:rPr>
              <w:t>Risk assessment required</w:t>
            </w:r>
          </w:p>
        </w:tc>
        <w:tc>
          <w:tcPr>
            <w:tcW w:w="941" w:type="pct"/>
            <w:shd w:val="clear" w:color="auto" w:fill="FFC000"/>
            <w:vAlign w:val="center"/>
          </w:tcPr>
          <w:p w:rsidR="005C3AF3" w:rsidRPr="004A3AD9" w:rsidRDefault="008B14D0" w:rsidP="00203D50">
            <w:pPr>
              <w:rPr>
                <w:rFonts w:ascii="Calibri" w:hAnsi="Calibri" w:cs="Calibri"/>
                <w:color w:val="000000"/>
                <w:sz w:val="22"/>
                <w:szCs w:val="22"/>
              </w:rPr>
            </w:pPr>
            <w:r w:rsidRPr="004A3AD9">
              <w:rPr>
                <w:rFonts w:ascii="Calibri" w:hAnsi="Calibri" w:cs="Calibri"/>
                <w:color w:val="000000"/>
                <w:sz w:val="22"/>
                <w:szCs w:val="22"/>
              </w:rPr>
              <w:t>RFC required approval by TRE Project Board</w:t>
            </w:r>
          </w:p>
        </w:tc>
        <w:tc>
          <w:tcPr>
            <w:tcW w:w="1191" w:type="pct"/>
            <w:shd w:val="clear" w:color="auto" w:fill="FFC000"/>
          </w:tcPr>
          <w:p w:rsidR="005C3AF3" w:rsidRPr="004A3AD9" w:rsidRDefault="008B14D0" w:rsidP="00203D50">
            <w:pPr>
              <w:rPr>
                <w:rFonts w:ascii="Calibri" w:hAnsi="Calibri" w:cs="Calibri"/>
                <w:color w:val="000000"/>
                <w:sz w:val="22"/>
                <w:szCs w:val="22"/>
              </w:rPr>
            </w:pPr>
            <w:r w:rsidRPr="004A3AD9">
              <w:rPr>
                <w:rFonts w:ascii="Calibri" w:hAnsi="Calibri" w:cs="Calibri"/>
                <w:color w:val="000000"/>
                <w:sz w:val="22"/>
                <w:szCs w:val="22"/>
              </w:rPr>
              <w:t>TRE Infrastructure Record and RFC</w:t>
            </w:r>
          </w:p>
        </w:tc>
      </w:tr>
      <w:tr w:rsidR="006A53EF" w:rsidTr="00203D50">
        <w:trPr>
          <w:trHeight w:val="283"/>
        </w:trPr>
        <w:tc>
          <w:tcPr>
            <w:tcW w:w="500" w:type="pct"/>
            <w:shd w:val="clear" w:color="auto" w:fill="FF0000"/>
          </w:tcPr>
          <w:p w:rsidR="005C3AF3" w:rsidRPr="004A3AD9" w:rsidRDefault="008B14D0" w:rsidP="00203D50">
            <w:pPr>
              <w:jc w:val="center"/>
              <w:rPr>
                <w:rFonts w:ascii="Calibri" w:hAnsi="Calibri" w:cs="Calibri"/>
                <w:sz w:val="22"/>
                <w:szCs w:val="22"/>
              </w:rPr>
            </w:pPr>
            <w:r w:rsidRPr="004A3AD9">
              <w:rPr>
                <w:rFonts w:ascii="Calibri" w:hAnsi="Calibri" w:cs="Calibri"/>
                <w:sz w:val="22"/>
                <w:szCs w:val="22"/>
              </w:rPr>
              <w:t>13-25</w:t>
            </w:r>
          </w:p>
        </w:tc>
        <w:tc>
          <w:tcPr>
            <w:tcW w:w="670" w:type="pct"/>
            <w:shd w:val="clear" w:color="auto" w:fill="FF0000"/>
          </w:tcPr>
          <w:p w:rsidR="005C3AF3" w:rsidRPr="004A3AD9" w:rsidRDefault="008B14D0" w:rsidP="00203D50">
            <w:pPr>
              <w:rPr>
                <w:rFonts w:ascii="Calibri" w:hAnsi="Calibri" w:cs="Calibri"/>
                <w:sz w:val="22"/>
                <w:szCs w:val="22"/>
              </w:rPr>
            </w:pPr>
            <w:r w:rsidRPr="004A3AD9">
              <w:rPr>
                <w:rFonts w:ascii="Calibri" w:hAnsi="Calibri" w:cs="Calibri"/>
                <w:sz w:val="22"/>
                <w:szCs w:val="22"/>
              </w:rPr>
              <w:t>High and Very High</w:t>
            </w:r>
          </w:p>
        </w:tc>
        <w:tc>
          <w:tcPr>
            <w:tcW w:w="584" w:type="pct"/>
            <w:shd w:val="clear" w:color="auto" w:fill="FF0000"/>
          </w:tcPr>
          <w:p w:rsidR="005C3AF3" w:rsidRPr="004A3AD9" w:rsidRDefault="008B14D0" w:rsidP="00203D50">
            <w:pPr>
              <w:rPr>
                <w:rFonts w:ascii="Calibri" w:hAnsi="Calibri" w:cs="Calibri"/>
                <w:color w:val="000000"/>
                <w:sz w:val="22"/>
                <w:szCs w:val="22"/>
              </w:rPr>
            </w:pPr>
            <w:r w:rsidRPr="004A3AD9">
              <w:rPr>
                <w:rFonts w:ascii="Calibri" w:hAnsi="Calibri" w:cs="Calibri"/>
                <w:color w:val="000000"/>
                <w:sz w:val="22"/>
                <w:szCs w:val="22"/>
              </w:rPr>
              <w:t>Normal</w:t>
            </w:r>
          </w:p>
        </w:tc>
        <w:tc>
          <w:tcPr>
            <w:tcW w:w="1114" w:type="pct"/>
            <w:shd w:val="clear" w:color="auto" w:fill="FF0000"/>
          </w:tcPr>
          <w:p w:rsidR="005C3AF3" w:rsidRPr="004A3AD9" w:rsidRDefault="008B14D0" w:rsidP="00203D50">
            <w:pPr>
              <w:rPr>
                <w:rFonts w:ascii="Calibri" w:hAnsi="Calibri" w:cs="Calibri"/>
                <w:color w:val="000000"/>
                <w:sz w:val="22"/>
                <w:szCs w:val="22"/>
              </w:rPr>
            </w:pPr>
            <w:r w:rsidRPr="004A3AD9">
              <w:rPr>
                <w:rFonts w:ascii="Calibri" w:hAnsi="Calibri" w:cs="Calibri"/>
                <w:color w:val="000000"/>
                <w:sz w:val="22"/>
                <w:szCs w:val="22"/>
              </w:rPr>
              <w:t>Risk assessment required</w:t>
            </w:r>
          </w:p>
        </w:tc>
        <w:tc>
          <w:tcPr>
            <w:tcW w:w="941" w:type="pct"/>
            <w:shd w:val="clear" w:color="auto" w:fill="FF0000"/>
            <w:vAlign w:val="center"/>
          </w:tcPr>
          <w:p w:rsidR="005C3AF3" w:rsidRPr="004A3AD9" w:rsidRDefault="008B14D0" w:rsidP="00203D50">
            <w:pPr>
              <w:rPr>
                <w:rFonts w:ascii="Calibri" w:hAnsi="Calibri" w:cs="Calibri"/>
                <w:color w:val="000000"/>
                <w:sz w:val="22"/>
                <w:szCs w:val="22"/>
              </w:rPr>
            </w:pPr>
            <w:r w:rsidRPr="004A3AD9">
              <w:rPr>
                <w:rFonts w:ascii="Calibri" w:hAnsi="Calibri" w:cs="Calibri"/>
                <w:color w:val="000000"/>
                <w:sz w:val="22"/>
                <w:szCs w:val="22"/>
              </w:rPr>
              <w:t>RFC required approval by ISSG</w:t>
            </w:r>
          </w:p>
        </w:tc>
        <w:tc>
          <w:tcPr>
            <w:tcW w:w="1191" w:type="pct"/>
            <w:shd w:val="clear" w:color="auto" w:fill="FF0000"/>
          </w:tcPr>
          <w:p w:rsidR="005C3AF3" w:rsidRPr="004A3AD9" w:rsidRDefault="008B14D0" w:rsidP="00203D50">
            <w:pPr>
              <w:rPr>
                <w:rFonts w:ascii="Calibri" w:hAnsi="Calibri" w:cs="Calibri"/>
                <w:color w:val="000000"/>
                <w:sz w:val="22"/>
                <w:szCs w:val="22"/>
              </w:rPr>
            </w:pPr>
            <w:r w:rsidRPr="004A3AD9">
              <w:rPr>
                <w:rFonts w:ascii="Calibri" w:hAnsi="Calibri" w:cs="Calibri"/>
                <w:color w:val="000000"/>
                <w:sz w:val="22"/>
                <w:szCs w:val="22"/>
              </w:rPr>
              <w:t>TRE Infrastructure Record and RFC</w:t>
            </w:r>
          </w:p>
        </w:tc>
      </w:tr>
      <w:bookmarkEnd w:id="67"/>
    </w:tbl>
    <w:p w:rsidR="005C3AF3" w:rsidRDefault="00B84E59" w:rsidP="00203D50">
      <w:pPr>
        <w:pStyle w:val="ISMSNormal"/>
      </w:pPr>
    </w:p>
    <w:p w:rsidR="005C3AF3" w:rsidRDefault="008B14D0" w:rsidP="00203D50">
      <w:pPr>
        <w:pStyle w:val="ISMSNormal"/>
      </w:pPr>
      <w:r>
        <w:t>Details of the risk assessment are recorded within the applicable worksheet of the TRE Infrastructure Record. A copy of the risk description is copied into the RFC form.</w:t>
      </w:r>
    </w:p>
    <w:p w:rsidR="005C3AF3" w:rsidRDefault="00B84E59" w:rsidP="00203D50">
      <w:pPr>
        <w:pStyle w:val="ISMSNormal"/>
      </w:pPr>
    </w:p>
    <w:p w:rsidR="005C3AF3" w:rsidRDefault="008B14D0" w:rsidP="00203D50">
      <w:pPr>
        <w:pStyle w:val="ISMSNormal"/>
      </w:pPr>
      <w:r>
        <w:t>When calculating the risks associated with carrying out the work to implement the change, it is important to consider whether it is possible to revert back to the last known working state. This is often termed the ‘backout plan’. If a backout plan exists, the likelihood associated with a particular risk can usually be given a lower score.</w:t>
      </w:r>
    </w:p>
    <w:p w:rsidR="005C3AF3" w:rsidRDefault="00B84E59" w:rsidP="00203D50">
      <w:pPr>
        <w:pStyle w:val="ISMSNormal"/>
      </w:pPr>
    </w:p>
    <w:p w:rsidR="005C3AF3" w:rsidRDefault="008B14D0" w:rsidP="00203D50">
      <w:pPr>
        <w:pStyle w:val="ISMSNormal"/>
      </w:pPr>
      <w:r>
        <w:t xml:space="preserve">If the change has been successfully carried out on previous occasions, this can also determine the likelihood associated with the overall risk of conducting a change. The consequence of having made a change before also allows a change ‘type’ to be determined. </w:t>
      </w:r>
    </w:p>
    <w:p w:rsidR="005C3AF3" w:rsidRDefault="00B84E59" w:rsidP="00203D50">
      <w:pPr>
        <w:pStyle w:val="ISMSNormal"/>
      </w:pPr>
    </w:p>
    <w:p w:rsidR="005C3AF3" w:rsidRPr="00130C67" w:rsidRDefault="008B14D0" w:rsidP="005C3AF3">
      <w:pPr>
        <w:pStyle w:val="ISMSHeading2"/>
      </w:pPr>
      <w:bookmarkStart w:id="68" w:name="_Toc256000097"/>
      <w:bookmarkStart w:id="69" w:name="_Toc256000062"/>
      <w:bookmarkStart w:id="70" w:name="_Toc256000037"/>
      <w:bookmarkStart w:id="71" w:name="_Toc256000018"/>
      <w:bookmarkStart w:id="72" w:name="_Toc963586"/>
      <w:r>
        <w:t>Change Type</w:t>
      </w:r>
      <w:bookmarkEnd w:id="68"/>
      <w:bookmarkEnd w:id="69"/>
      <w:bookmarkEnd w:id="70"/>
      <w:bookmarkEnd w:id="71"/>
      <w:bookmarkEnd w:id="72"/>
    </w:p>
    <w:p w:rsidR="005C3AF3" w:rsidRDefault="008B14D0" w:rsidP="00203D50">
      <w:pPr>
        <w:pStyle w:val="ISMSNormal"/>
      </w:pPr>
      <w:r>
        <w:t xml:space="preserve">Some changes are conducted </w:t>
      </w:r>
      <w:proofErr w:type="gramStart"/>
      <w:r>
        <w:t>routinely, and</w:t>
      </w:r>
      <w:proofErr w:type="gramEnd"/>
      <w:r>
        <w:t xml:space="preserve"> can be described as ‘Business as Usual (BAU).</w:t>
      </w:r>
    </w:p>
    <w:p w:rsidR="005C3AF3" w:rsidRDefault="00B84E59" w:rsidP="00203D50">
      <w:pPr>
        <w:pStyle w:val="ISMSNormal"/>
      </w:pPr>
    </w:p>
    <w:p w:rsidR="005C3AF3" w:rsidRDefault="008B14D0" w:rsidP="00203D50">
      <w:pPr>
        <w:pStyle w:val="ISMSNormal"/>
      </w:pPr>
      <w:r>
        <w:t>As shown in Table 1, BAU changes do not require approval, and there is no formal request record within the TRE Infrastructure Record. BAU changes have a pre-determined risk level of ‘Low’.</w:t>
      </w:r>
    </w:p>
    <w:p w:rsidR="005C3AF3" w:rsidRDefault="00B84E59" w:rsidP="00203D50">
      <w:pPr>
        <w:pStyle w:val="ISMSNormal"/>
      </w:pPr>
    </w:p>
    <w:p w:rsidR="005C3AF3" w:rsidRDefault="008B14D0" w:rsidP="00203D50">
      <w:pPr>
        <w:pStyle w:val="ISMSNormal"/>
      </w:pPr>
      <w:r>
        <w:t>A ‘Standard’ change also has a pre-determined risk level of ‘Low’ but requires approval by the ISM, and the request details must be recorded in the TRE Infrastructure Record.</w:t>
      </w:r>
    </w:p>
    <w:p w:rsidR="005C3AF3" w:rsidRDefault="00B84E59" w:rsidP="00203D50">
      <w:pPr>
        <w:pStyle w:val="ISMSNormal"/>
      </w:pPr>
    </w:p>
    <w:p w:rsidR="005C3AF3" w:rsidRDefault="008B14D0" w:rsidP="00203D50">
      <w:pPr>
        <w:pStyle w:val="ISMSNormal"/>
      </w:pPr>
      <w:r>
        <w:lastRenderedPageBreak/>
        <w:t>All other changes are considered to be ‘Normal’, which means there is some uncertainty about the likelihood of a successful implementation, and therefore risk assessment must be conducted. If the resulting risk level is ‘Low’, the ISM can approve the change. If the risk level is above ‘Low’, approval requires more input, as defined in Table 1.</w:t>
      </w:r>
    </w:p>
    <w:p w:rsidR="005C3AF3" w:rsidRDefault="00B84E59" w:rsidP="00203D50">
      <w:pPr>
        <w:pStyle w:val="ISMSNormal"/>
      </w:pPr>
    </w:p>
    <w:p w:rsidR="005C3AF3" w:rsidRDefault="008B14D0" w:rsidP="00203D50">
      <w:pPr>
        <w:pStyle w:val="ISMSNormal"/>
      </w:pPr>
      <w:r>
        <w:t>Apart from BAU, all changes must be described within the TRE Infrastructure Record using the worksheet corresponding with the nature of the change request.</w:t>
      </w:r>
    </w:p>
    <w:p w:rsidR="005C3AF3" w:rsidRDefault="00B84E59" w:rsidP="00203D50">
      <w:pPr>
        <w:pStyle w:val="ISMSNormal"/>
      </w:pPr>
    </w:p>
    <w:p w:rsidR="005C3AF3" w:rsidRDefault="008B14D0" w:rsidP="005C3AF3">
      <w:pPr>
        <w:pStyle w:val="ISMSHeading2"/>
      </w:pPr>
      <w:bookmarkStart w:id="73" w:name="_Toc256000026"/>
      <w:bookmarkStart w:id="74" w:name="_Toc256000098"/>
      <w:bookmarkStart w:id="75" w:name="_Toc256000063"/>
      <w:bookmarkStart w:id="76" w:name="_Toc256000038"/>
      <w:bookmarkStart w:id="77" w:name="_Toc256000019"/>
      <w:bookmarkStart w:id="78" w:name="_Toc256000141"/>
      <w:bookmarkStart w:id="79" w:name="_Toc256000121"/>
      <w:bookmarkStart w:id="80" w:name="_Toc256000102"/>
      <w:bookmarkStart w:id="81" w:name="_Toc256000083"/>
      <w:bookmarkStart w:id="82" w:name="_Toc256000064"/>
      <w:bookmarkStart w:id="83" w:name="_Toc256000045"/>
      <w:bookmarkStart w:id="84" w:name="_Toc963587"/>
      <w:r>
        <w:t>Change Review, Assessment, Approval</w:t>
      </w:r>
      <w:bookmarkEnd w:id="73"/>
      <w:r>
        <w:t xml:space="preserve"> and Action</w:t>
      </w:r>
      <w:bookmarkEnd w:id="74"/>
      <w:bookmarkEnd w:id="75"/>
      <w:bookmarkEnd w:id="76"/>
      <w:bookmarkEnd w:id="77"/>
      <w:bookmarkEnd w:id="78"/>
      <w:bookmarkEnd w:id="79"/>
      <w:bookmarkEnd w:id="80"/>
      <w:bookmarkEnd w:id="81"/>
      <w:bookmarkEnd w:id="82"/>
      <w:bookmarkEnd w:id="83"/>
      <w:bookmarkEnd w:id="84"/>
    </w:p>
    <w:p w:rsidR="005C3AF3" w:rsidRDefault="008B14D0" w:rsidP="00203D50">
      <w:pPr>
        <w:pStyle w:val="ISMSNormal"/>
        <w:rPr>
          <w:lang w:val="en-GB"/>
        </w:rPr>
      </w:pPr>
      <w:r>
        <w:rPr>
          <w:lang w:val="en-GB"/>
        </w:rPr>
        <w:t>The triage stage of change control is conducted by the ISM, and if the ISM is not available, this task can be delegated to a CHI Information Systems Programme manager. The triage stage determines if the proposed change comes from a valid source (section 4.2 can be used as a guideline).</w:t>
      </w:r>
    </w:p>
    <w:p w:rsidR="005C3AF3" w:rsidRDefault="00B84E59" w:rsidP="00203D50">
      <w:pPr>
        <w:pStyle w:val="ISMSNormal"/>
        <w:rPr>
          <w:lang w:val="en-GB"/>
        </w:rPr>
      </w:pPr>
    </w:p>
    <w:p w:rsidR="005C3AF3" w:rsidRDefault="008B14D0" w:rsidP="00203D50">
      <w:pPr>
        <w:pStyle w:val="ISMSNormal"/>
        <w:rPr>
          <w:lang w:val="en-GB"/>
        </w:rPr>
      </w:pPr>
      <w:r>
        <w:rPr>
          <w:lang w:val="en-GB"/>
        </w:rPr>
        <w:t>The ISM or a CHI Information Systems Programme manager then conducts the risk assessment, which determines whether an RFC must be completed and who must approve the RFC.</w:t>
      </w:r>
    </w:p>
    <w:p w:rsidR="005C3AF3" w:rsidRPr="00F175E9" w:rsidRDefault="00B84E59" w:rsidP="00203D50">
      <w:pPr>
        <w:pStyle w:val="ISMSNormal"/>
        <w:rPr>
          <w:lang w:val="en-GB"/>
        </w:rPr>
      </w:pPr>
    </w:p>
    <w:p w:rsidR="005C3AF3" w:rsidRDefault="008B14D0" w:rsidP="00203D50">
      <w:pPr>
        <w:pStyle w:val="ISMSNormal"/>
        <w:rPr>
          <w:lang w:val="en-GB"/>
        </w:rPr>
      </w:pPr>
      <w:r>
        <w:rPr>
          <w:lang w:val="en-GB"/>
        </w:rPr>
        <w:t>Table 1 defines which person or group is responsible for approval. The TRE Project Board meeting in person every 2 weeks, but approval can be sought via email for more urgent matters. At least one member of the CHI Senior Management Team (SMT) must participate in the approval process when the TRE Project Board are conducting the RFC review.</w:t>
      </w:r>
    </w:p>
    <w:p w:rsidR="005C3AF3" w:rsidRDefault="00B84E59" w:rsidP="00203D50">
      <w:pPr>
        <w:pStyle w:val="ISMSNormal"/>
        <w:rPr>
          <w:lang w:val="en-GB"/>
        </w:rPr>
      </w:pPr>
    </w:p>
    <w:p w:rsidR="005C3AF3" w:rsidRDefault="008B14D0" w:rsidP="00203D50">
      <w:pPr>
        <w:pStyle w:val="ISMSNormal"/>
        <w:rPr>
          <w:lang w:val="en-GB"/>
        </w:rPr>
      </w:pPr>
      <w:r>
        <w:rPr>
          <w:lang w:val="en-GB"/>
        </w:rPr>
        <w:t>The ISSG only meet every 2 months, so in most cases, approval for RFCs will most likely be conducted via email, and not face to face meetings. ISSG review and approval can be conducted if there are no more than 2 members unable to participate.</w:t>
      </w:r>
    </w:p>
    <w:p w:rsidR="005C3AF3" w:rsidRDefault="00B84E59" w:rsidP="00203D50">
      <w:pPr>
        <w:pStyle w:val="ISMSNormal"/>
        <w:rPr>
          <w:lang w:val="en-GB"/>
        </w:rPr>
      </w:pPr>
    </w:p>
    <w:p w:rsidR="005C3AF3" w:rsidRDefault="008B14D0" w:rsidP="00203D50">
      <w:pPr>
        <w:pStyle w:val="ISMSNormal"/>
        <w:rPr>
          <w:lang w:val="en-GB"/>
        </w:rPr>
      </w:pPr>
      <w:r>
        <w:rPr>
          <w:lang w:val="en-GB"/>
        </w:rPr>
        <w:t>The TRE Operations team meet each week to review and either approve or reject formal change requests, or to agree change such as planned maintenance, or to discuss, review and schedule unplanned maintenance or incidents. Time critical issues are discussed via email in between meetings.</w:t>
      </w:r>
    </w:p>
    <w:p w:rsidR="005C3AF3" w:rsidRDefault="00B84E59" w:rsidP="00203D50">
      <w:pPr>
        <w:pStyle w:val="ISMSNormal"/>
        <w:rPr>
          <w:lang w:val="en-GB"/>
        </w:rPr>
      </w:pPr>
    </w:p>
    <w:p w:rsidR="005C3AF3" w:rsidRDefault="008B14D0" w:rsidP="00203D50">
      <w:pPr>
        <w:pStyle w:val="ISMSNormal"/>
        <w:rPr>
          <w:lang w:val="en-GB"/>
        </w:rPr>
      </w:pPr>
      <w:r>
        <w:rPr>
          <w:lang w:val="en-GB"/>
        </w:rPr>
        <w:t xml:space="preserve">The TRE System Administrator may only respond to requests to carry out change to the TRE that have been communicated to the </w:t>
      </w:r>
      <w:hyperlink r:id="rId10" w:history="1">
        <w:r w:rsidRPr="00BA1E60">
          <w:rPr>
            <w:rStyle w:val="Hyperlink"/>
            <w:lang w:val="en-GB"/>
          </w:rPr>
          <w:t>tre-admin@manchester.ac.uk</w:t>
        </w:r>
      </w:hyperlink>
      <w:r>
        <w:rPr>
          <w:lang w:val="en-GB"/>
        </w:rPr>
        <w:t xml:space="preserve"> mail box, and have been sent by either the ISM or a CHI Information Systems Programme manager. This is an internal </w:t>
      </w:r>
      <w:proofErr w:type="gramStart"/>
      <w:r>
        <w:rPr>
          <w:lang w:val="en-GB"/>
        </w:rPr>
        <w:t>mail box</w:t>
      </w:r>
      <w:proofErr w:type="gramEnd"/>
      <w:r>
        <w:rPr>
          <w:lang w:val="en-GB"/>
        </w:rPr>
        <w:t xml:space="preserve">. Messages sent to this address provide the context of the required change and reference the applicable section of the TRE Infrastructure Record that contains the full details of the change. For Standard changes, all the required information is stored in the applicable worksheet and the RFC field will be marked ‘N/A’. For Normal changes, the required information is stored </w:t>
      </w:r>
      <w:r w:rsidRPr="00EB762A">
        <w:rPr>
          <w:lang w:val="en-GB"/>
        </w:rPr>
        <w:t>within the ‘Project Tasks’ or ‘Core Infrastructure’ worksheets</w:t>
      </w:r>
      <w:r>
        <w:rPr>
          <w:lang w:val="en-GB"/>
        </w:rPr>
        <w:t xml:space="preserve"> within the TRE Infrastructure Record, and further details are specified within the RFC form.</w:t>
      </w:r>
    </w:p>
    <w:p w:rsidR="005C3AF3" w:rsidRDefault="00B84E59" w:rsidP="00203D50">
      <w:pPr>
        <w:pStyle w:val="ISMSNormal"/>
        <w:rPr>
          <w:lang w:val="en-GB"/>
        </w:rPr>
      </w:pPr>
    </w:p>
    <w:p w:rsidR="005C3AF3" w:rsidRDefault="008B14D0" w:rsidP="00203D50">
      <w:pPr>
        <w:pStyle w:val="ISMSNormal"/>
        <w:rPr>
          <w:lang w:val="en-GB"/>
        </w:rPr>
      </w:pPr>
      <w:r>
        <w:rPr>
          <w:lang w:val="en-GB"/>
        </w:rPr>
        <w:t>Only the ISM or a CHI Information Systems Programme manager can modify the TRE Infrastructure Record. Any member of TRE Staff can fill in an RFC, but only the ISM or a CHI Information Systems Programme manager can submit an RFC for approval.</w:t>
      </w:r>
    </w:p>
    <w:p w:rsidR="005C3AF3" w:rsidRDefault="00B84E59" w:rsidP="00203D50">
      <w:pPr>
        <w:pStyle w:val="ISMSNormal"/>
        <w:rPr>
          <w:lang w:val="en-GB"/>
        </w:rPr>
      </w:pPr>
    </w:p>
    <w:p w:rsidR="005C3AF3" w:rsidRDefault="008B14D0" w:rsidP="00203D50">
      <w:pPr>
        <w:pStyle w:val="ISMSNormal"/>
        <w:rPr>
          <w:lang w:val="en-GB"/>
        </w:rPr>
      </w:pPr>
      <w:r>
        <w:rPr>
          <w:lang w:val="en-GB"/>
        </w:rPr>
        <w:lastRenderedPageBreak/>
        <w:t>The exception is if an emergency change must be immediately carried out to prevent serious risk to TRE data and end-users, but it is still necessary to update the Infrastructure Record retrospectively after the event.</w:t>
      </w:r>
    </w:p>
    <w:p w:rsidR="00BF7AD4" w:rsidRDefault="00B84E59" w:rsidP="00203D50">
      <w:pPr>
        <w:pStyle w:val="ISMSNormal"/>
        <w:rPr>
          <w:lang w:val="en-GB"/>
        </w:rPr>
      </w:pPr>
    </w:p>
    <w:p w:rsidR="005C3AF3" w:rsidRDefault="008B14D0" w:rsidP="005C3AF3">
      <w:pPr>
        <w:pStyle w:val="ISMSHeading2"/>
      </w:pPr>
      <w:bookmarkStart w:id="85" w:name="_Toc256000099"/>
      <w:bookmarkStart w:id="86" w:name="_Toc256000074"/>
      <w:bookmarkStart w:id="87" w:name="_Toc256000039"/>
      <w:bookmarkStart w:id="88" w:name="_Toc256000020"/>
      <w:bookmarkStart w:id="89" w:name="_Toc256000142"/>
      <w:bookmarkStart w:id="90" w:name="_Toc256000122"/>
      <w:bookmarkStart w:id="91" w:name="_Toc963588"/>
      <w:r>
        <w:t>Emergency Change</w:t>
      </w:r>
      <w:bookmarkEnd w:id="85"/>
      <w:bookmarkEnd w:id="86"/>
      <w:bookmarkEnd w:id="87"/>
      <w:bookmarkEnd w:id="88"/>
      <w:bookmarkEnd w:id="89"/>
      <w:bookmarkEnd w:id="90"/>
      <w:bookmarkEnd w:id="91"/>
    </w:p>
    <w:p w:rsidR="005C3AF3" w:rsidRDefault="008B14D0" w:rsidP="00203D50">
      <w:pPr>
        <w:pStyle w:val="ISMSNormal"/>
        <w:rPr>
          <w:lang w:val="en-GB"/>
        </w:rPr>
      </w:pPr>
      <w:r>
        <w:rPr>
          <w:lang w:val="en-GB"/>
        </w:rPr>
        <w:t>In the event of an emergency situation and where both the ISM and a CHI Information Systems Programme manager are unavailable to approve the change, the ISMS Sponsor has the authority to provide approval.</w:t>
      </w:r>
    </w:p>
    <w:p w:rsidR="004A3AD9" w:rsidRDefault="00B84E59" w:rsidP="00203D50">
      <w:pPr>
        <w:pStyle w:val="ISMSNormal"/>
        <w:rPr>
          <w:lang w:val="en-GB"/>
        </w:rPr>
      </w:pPr>
    </w:p>
    <w:p w:rsidR="005C3AF3" w:rsidRDefault="008B14D0" w:rsidP="005C3AF3">
      <w:pPr>
        <w:pStyle w:val="ISMSHeading2"/>
      </w:pPr>
      <w:bookmarkStart w:id="92" w:name="_Toc256000100"/>
      <w:bookmarkStart w:id="93" w:name="_Toc256000075"/>
      <w:bookmarkStart w:id="94" w:name="_Toc256000040"/>
      <w:bookmarkStart w:id="95" w:name="_Toc256000021"/>
      <w:bookmarkStart w:id="96" w:name="_Toc256000143"/>
      <w:bookmarkStart w:id="97" w:name="_Toc256000123"/>
      <w:bookmarkStart w:id="98" w:name="_Toc256000103"/>
      <w:bookmarkStart w:id="99" w:name="_Toc256000084"/>
      <w:bookmarkStart w:id="100" w:name="_Toc256000065"/>
      <w:bookmarkStart w:id="101" w:name="_Toc256000046"/>
      <w:bookmarkStart w:id="102" w:name="_Toc256000027"/>
      <w:bookmarkStart w:id="103" w:name="_Toc963589"/>
      <w:r>
        <w:t>Change Notification</w:t>
      </w:r>
      <w:bookmarkEnd w:id="92"/>
      <w:bookmarkEnd w:id="93"/>
      <w:bookmarkEnd w:id="94"/>
      <w:bookmarkEnd w:id="95"/>
      <w:bookmarkEnd w:id="96"/>
      <w:bookmarkEnd w:id="97"/>
      <w:bookmarkEnd w:id="98"/>
      <w:bookmarkEnd w:id="99"/>
      <w:bookmarkEnd w:id="100"/>
      <w:bookmarkEnd w:id="101"/>
      <w:bookmarkEnd w:id="102"/>
      <w:bookmarkEnd w:id="103"/>
    </w:p>
    <w:p w:rsidR="005C3AF3" w:rsidRDefault="008B14D0" w:rsidP="00203D50">
      <w:pPr>
        <w:pStyle w:val="ISMSNormal"/>
      </w:pPr>
      <w:r>
        <w:t xml:space="preserve">TRE stakeholders only require immediate notification of change if it is unplanned. In such cases, for example an unplanned service outage, a best efforts approach is carried out to inform TRE users and other affected individuals via email messages sent manually by the TRE Operations team via the </w:t>
      </w:r>
      <w:hyperlink r:id="rId11" w:history="1">
        <w:r w:rsidRPr="00BA1E60">
          <w:rPr>
            <w:rStyle w:val="Hyperlink"/>
          </w:rPr>
          <w:t>tre-support@manchester.ac.uk</w:t>
        </w:r>
      </w:hyperlink>
      <w:r>
        <w:t xml:space="preserve"> mail box.</w:t>
      </w:r>
    </w:p>
    <w:p w:rsidR="005C3AF3" w:rsidRDefault="00B84E59" w:rsidP="00203D50">
      <w:pPr>
        <w:pStyle w:val="ISMSNormal"/>
      </w:pPr>
    </w:p>
    <w:p w:rsidR="005C3AF3" w:rsidRDefault="008B14D0" w:rsidP="00203D50">
      <w:pPr>
        <w:pStyle w:val="ISMSNormal"/>
      </w:pPr>
      <w:r>
        <w:t>TRE users who have made a request to the TRE Operations team will be kept informed of progress.</w:t>
      </w:r>
    </w:p>
    <w:p w:rsidR="005C3AF3" w:rsidRDefault="00B84E59" w:rsidP="00203D50">
      <w:pPr>
        <w:pStyle w:val="ISMSNormal"/>
      </w:pPr>
    </w:p>
    <w:p w:rsidR="005C3AF3" w:rsidRDefault="008B14D0" w:rsidP="005C3AF3">
      <w:pPr>
        <w:pStyle w:val="ISMSHeading2"/>
      </w:pPr>
      <w:bookmarkStart w:id="104" w:name="_Toc256000101"/>
      <w:bookmarkStart w:id="105" w:name="_Toc256000076"/>
      <w:bookmarkStart w:id="106" w:name="_Toc256000041"/>
      <w:bookmarkStart w:id="107" w:name="_Toc256000022"/>
      <w:bookmarkStart w:id="108" w:name="_Toc256000144"/>
      <w:bookmarkStart w:id="109" w:name="_Toc256000124"/>
      <w:bookmarkStart w:id="110" w:name="_Toc256000104"/>
      <w:bookmarkStart w:id="111" w:name="_Toc256000085"/>
      <w:bookmarkStart w:id="112" w:name="_Toc256000066"/>
      <w:bookmarkStart w:id="113" w:name="_Toc256000047"/>
      <w:bookmarkStart w:id="114" w:name="_Toc256000028"/>
      <w:bookmarkStart w:id="115" w:name="_Toc963590"/>
      <w:r>
        <w:t>Change Record-Keeping</w:t>
      </w:r>
      <w:bookmarkEnd w:id="104"/>
      <w:bookmarkEnd w:id="105"/>
      <w:bookmarkEnd w:id="106"/>
      <w:bookmarkEnd w:id="107"/>
      <w:bookmarkEnd w:id="108"/>
      <w:bookmarkEnd w:id="109"/>
      <w:bookmarkEnd w:id="110"/>
      <w:bookmarkEnd w:id="111"/>
      <w:bookmarkEnd w:id="112"/>
      <w:bookmarkEnd w:id="113"/>
      <w:bookmarkEnd w:id="114"/>
      <w:bookmarkEnd w:id="115"/>
    </w:p>
    <w:p w:rsidR="005C3AF3" w:rsidRDefault="008B14D0" w:rsidP="00203D50">
      <w:pPr>
        <w:pStyle w:val="ISMSNormal"/>
      </w:pPr>
      <w:r>
        <w:t>There are three separate information systems used to record all information related to TRE change, all of which require user account authentication for access:</w:t>
      </w:r>
    </w:p>
    <w:p w:rsidR="005C3AF3" w:rsidRDefault="00B84E59" w:rsidP="00203D50">
      <w:pPr>
        <w:pStyle w:val="ISMSNormal"/>
      </w:pPr>
    </w:p>
    <w:p w:rsidR="005C3AF3" w:rsidRDefault="008B14D0" w:rsidP="005C3AF3">
      <w:pPr>
        <w:pStyle w:val="ISMSNormal"/>
        <w:numPr>
          <w:ilvl w:val="0"/>
          <w:numId w:val="12"/>
        </w:numPr>
        <w:spacing w:line="240" w:lineRule="auto"/>
        <w:rPr>
          <w:i/>
        </w:rPr>
      </w:pPr>
      <w:r>
        <w:rPr>
          <w:i/>
        </w:rPr>
        <w:t>JIRA – TRE projects</w:t>
      </w:r>
    </w:p>
    <w:p w:rsidR="00656146" w:rsidRPr="00D90A4C" w:rsidRDefault="008B14D0" w:rsidP="005C3AF3">
      <w:pPr>
        <w:pStyle w:val="ISMSNormal"/>
        <w:numPr>
          <w:ilvl w:val="0"/>
          <w:numId w:val="12"/>
        </w:numPr>
        <w:spacing w:line="240" w:lineRule="auto"/>
        <w:rPr>
          <w:i/>
        </w:rPr>
      </w:pPr>
      <w:r>
        <w:rPr>
          <w:i/>
        </w:rPr>
        <w:t>Q-Pulse</w:t>
      </w:r>
    </w:p>
    <w:p w:rsidR="005C3AF3" w:rsidRDefault="00B84E59" w:rsidP="00203D50">
      <w:pPr>
        <w:pStyle w:val="ISMSNormal"/>
      </w:pPr>
    </w:p>
    <w:p w:rsidR="005C3AF3" w:rsidRDefault="008B14D0" w:rsidP="00203D50">
      <w:pPr>
        <w:pStyle w:val="ISMSNormal"/>
      </w:pPr>
      <w:r>
        <w:t>TRE users complete FORM-002 for the initial project request and FORM-007 for user-requested changes to existing TRE projects, including requests for data exports. Each TRE project is managed by a record within JIRA  (</w:t>
      </w:r>
      <w:hyperlink r:id="rId12" w:history="1">
        <w:r>
          <w:rPr>
            <w:rStyle w:val="Hyperlink"/>
            <w:rFonts w:eastAsiaTheme="majorEastAsia"/>
          </w:rPr>
          <w:t>Link to JIRA</w:t>
        </w:r>
      </w:hyperlink>
      <w:r>
        <w:t>). Copies of completed forms are attached to the corresponding project records.</w:t>
      </w:r>
    </w:p>
    <w:p w:rsidR="005C3AF3" w:rsidRDefault="00B84E59" w:rsidP="00203D50">
      <w:pPr>
        <w:pStyle w:val="ISMSNormal"/>
      </w:pPr>
    </w:p>
    <w:p w:rsidR="005C3AF3" w:rsidRDefault="008B14D0" w:rsidP="00203D50">
      <w:pPr>
        <w:pStyle w:val="ISMSNormal"/>
      </w:pPr>
      <w:r>
        <w:t>RFCs are recorded using FORM-008. These documents must only be made visible to TRE Staff, the TRE Project Board and the ISSG. RFC forms are stored in Q-Pulse as an attached object to the TRE asset most impacted by the change. In the event of a change that affects multiple assets, a best effort must be made to establish the primary ‘parent’ asset, whose Q-Pulse asset record will contain the RFC.</w:t>
      </w:r>
    </w:p>
    <w:p w:rsidR="005C3AF3" w:rsidRDefault="00B84E59" w:rsidP="00203D50">
      <w:pPr>
        <w:pStyle w:val="ISMSNormal"/>
      </w:pPr>
    </w:p>
    <w:p w:rsidR="005C3AF3" w:rsidRDefault="008B14D0" w:rsidP="00203D50">
      <w:pPr>
        <w:pStyle w:val="ISMSNormal"/>
      </w:pPr>
      <w:r>
        <w:t>Q-Pulse hosts numerous asset registers, each covering a particular aspect of the TRE infrastructure and TRE datasets. If a change to a component of the TRE infrastructure takes place, for example replacement of a fault CPU fan, a record of that change will be recorded in the corresponding asset record using the built in ‘Non-Conformance’ generator.</w:t>
      </w:r>
    </w:p>
    <w:p w:rsidR="005C3AF3" w:rsidRDefault="00B84E59" w:rsidP="00203D50">
      <w:pPr>
        <w:pStyle w:val="ISMSNormal"/>
      </w:pPr>
    </w:p>
    <w:p w:rsidR="005C3AF3" w:rsidRPr="008B3724" w:rsidRDefault="008B14D0" w:rsidP="005C3AF3">
      <w:pPr>
        <w:pStyle w:val="ISMSNormal"/>
        <w:numPr>
          <w:ilvl w:val="0"/>
          <w:numId w:val="13"/>
        </w:numPr>
        <w:spacing w:line="240" w:lineRule="auto"/>
        <w:rPr>
          <w:i/>
        </w:rPr>
      </w:pPr>
      <w:r w:rsidRPr="008B3724">
        <w:rPr>
          <w:i/>
        </w:rPr>
        <w:t>TRE Infrastructure Record</w:t>
      </w:r>
    </w:p>
    <w:p w:rsidR="005C3AF3" w:rsidRDefault="00B84E59" w:rsidP="00203D50">
      <w:pPr>
        <w:pStyle w:val="ISMSNormal"/>
      </w:pPr>
    </w:p>
    <w:p w:rsidR="005C3AF3" w:rsidRDefault="008B14D0" w:rsidP="00203D50">
      <w:pPr>
        <w:pStyle w:val="ISMSNormal"/>
      </w:pPr>
      <w:r>
        <w:t xml:space="preserve">The TRE Infrastructure Record is an Excel spreadsheet stored within the Centre for Health Informatics’ </w:t>
      </w:r>
      <w:proofErr w:type="spellStart"/>
      <w:r>
        <w:t>eLab</w:t>
      </w:r>
      <w:proofErr w:type="spellEnd"/>
      <w:r>
        <w:t xml:space="preserve"> system. The location on the </w:t>
      </w:r>
      <w:proofErr w:type="spellStart"/>
      <w:r>
        <w:t>eLab</w:t>
      </w:r>
      <w:proofErr w:type="spellEnd"/>
      <w:r>
        <w:t>* server is:</w:t>
      </w:r>
    </w:p>
    <w:p w:rsidR="005C3AF3" w:rsidRDefault="00B84E59" w:rsidP="00203D50">
      <w:pPr>
        <w:pStyle w:val="ISMSNormal"/>
      </w:pPr>
    </w:p>
    <w:p w:rsidR="005C3AF3" w:rsidRDefault="008B14D0" w:rsidP="00203D50">
      <w:pPr>
        <w:pStyle w:val="ISMSNormal"/>
      </w:pPr>
      <w:r>
        <w:t>Site: Trustworthy Research Environment</w:t>
      </w:r>
    </w:p>
    <w:p w:rsidR="005C3AF3" w:rsidRDefault="008B14D0" w:rsidP="00203D50">
      <w:pPr>
        <w:pStyle w:val="ISMSNormal"/>
      </w:pPr>
      <w:r>
        <w:t>Folder: Records</w:t>
      </w:r>
    </w:p>
    <w:p w:rsidR="005C3AF3" w:rsidRDefault="008B14D0" w:rsidP="00203D50">
      <w:pPr>
        <w:pStyle w:val="ISMSNormal"/>
      </w:pPr>
      <w:r>
        <w:t>File: TRE Infrastructure Record.xlsx</w:t>
      </w:r>
    </w:p>
    <w:p w:rsidR="005C3AF3" w:rsidRDefault="00B84E59" w:rsidP="00203D50">
      <w:pPr>
        <w:pStyle w:val="ISMSNormal"/>
      </w:pPr>
    </w:p>
    <w:p w:rsidR="005C3AF3" w:rsidRDefault="008B14D0" w:rsidP="00203D50">
      <w:pPr>
        <w:pStyle w:val="ISMSNormal"/>
      </w:pPr>
      <w:r>
        <w:t>The details of the request for change approved by the TRE Operations team must be typed into the TRE Infrastructure Record, such that the instructions for performing that change are made clear to the person carrying out those tasks. Depending the scale or complexity of the requested change added to the TRE Infrastructure Record, it may be necessary to create a JIRA record to provide supplementary information. Document SOP-03-20 describes this process in more detail.</w:t>
      </w:r>
    </w:p>
    <w:p w:rsidR="005C3AF3" w:rsidRDefault="00B84E59" w:rsidP="00203D50">
      <w:pPr>
        <w:pStyle w:val="ISMSNormal"/>
      </w:pPr>
    </w:p>
    <w:p w:rsidR="005C3AF3" w:rsidRDefault="008B14D0" w:rsidP="00203D50">
      <w:pPr>
        <w:pStyle w:val="ISMSNormal"/>
      </w:pPr>
      <w:r>
        <w:t xml:space="preserve">* The </w:t>
      </w:r>
      <w:proofErr w:type="spellStart"/>
      <w:r>
        <w:t>eLab</w:t>
      </w:r>
      <w:proofErr w:type="spellEnd"/>
      <w:r>
        <w:t xml:space="preserve"> server is a Centre for Health Informatics built and hosted secure repository of operational and research information. Access to the </w:t>
      </w:r>
      <w:proofErr w:type="spellStart"/>
      <w:r>
        <w:t>eLab</w:t>
      </w:r>
      <w:proofErr w:type="spellEnd"/>
      <w:r>
        <w:t xml:space="preserve"> server’s Trustworthy Research Environment site is only granted to members of the TRE Operations team.</w:t>
      </w:r>
    </w:p>
    <w:p w:rsidR="005C3AF3" w:rsidRDefault="00B84E59" w:rsidP="00203D50">
      <w:pPr>
        <w:pStyle w:val="ISMSNormal"/>
      </w:pPr>
    </w:p>
    <w:p w:rsidR="005C3AF3" w:rsidRPr="008B3724" w:rsidRDefault="008B14D0" w:rsidP="005C3AF3">
      <w:pPr>
        <w:pStyle w:val="ISMSNormal"/>
        <w:numPr>
          <w:ilvl w:val="0"/>
          <w:numId w:val="14"/>
        </w:numPr>
        <w:spacing w:line="240" w:lineRule="auto"/>
        <w:rPr>
          <w:i/>
        </w:rPr>
      </w:pPr>
      <w:r w:rsidRPr="008B3724">
        <w:rPr>
          <w:i/>
        </w:rPr>
        <w:t>Request for Change (RFC) form</w:t>
      </w:r>
    </w:p>
    <w:p w:rsidR="005C3AF3" w:rsidRDefault="00B84E59" w:rsidP="00203D50">
      <w:pPr>
        <w:pStyle w:val="ISMSNormal"/>
      </w:pPr>
    </w:p>
    <w:p w:rsidR="005C3AF3" w:rsidRDefault="008B14D0" w:rsidP="00203D50">
      <w:pPr>
        <w:pStyle w:val="ISMSNormal"/>
      </w:pPr>
      <w:r>
        <w:t>Document FORM-008 must be completed for each Request for Change. The form comprises three sections:</w:t>
      </w:r>
    </w:p>
    <w:p w:rsidR="005C3AF3" w:rsidRDefault="00B84E59" w:rsidP="00203D50">
      <w:pPr>
        <w:pStyle w:val="ISMSNormal"/>
      </w:pPr>
    </w:p>
    <w:p w:rsidR="005C3AF3" w:rsidRDefault="008B14D0" w:rsidP="005C3AF3">
      <w:pPr>
        <w:pStyle w:val="ISMSNormal"/>
        <w:numPr>
          <w:ilvl w:val="0"/>
          <w:numId w:val="11"/>
        </w:numPr>
        <w:spacing w:line="240" w:lineRule="auto"/>
      </w:pPr>
      <w:r>
        <w:t>Details of change request and risk assessment</w:t>
      </w:r>
    </w:p>
    <w:p w:rsidR="005C3AF3" w:rsidRDefault="008B14D0" w:rsidP="005C3AF3">
      <w:pPr>
        <w:pStyle w:val="ISMSNormal"/>
        <w:numPr>
          <w:ilvl w:val="0"/>
          <w:numId w:val="11"/>
        </w:numPr>
        <w:spacing w:line="240" w:lineRule="auto"/>
      </w:pPr>
      <w:r>
        <w:t>Change review and approval</w:t>
      </w:r>
    </w:p>
    <w:p w:rsidR="005C3AF3" w:rsidRDefault="008B14D0" w:rsidP="005C3AF3">
      <w:pPr>
        <w:pStyle w:val="ISMSNormal"/>
        <w:numPr>
          <w:ilvl w:val="0"/>
          <w:numId w:val="11"/>
        </w:numPr>
        <w:spacing w:line="240" w:lineRule="auto"/>
      </w:pPr>
      <w:r>
        <w:t>Change closure checklist</w:t>
      </w:r>
    </w:p>
    <w:p w:rsidR="005C3AF3" w:rsidRDefault="00B84E59" w:rsidP="00203D50">
      <w:pPr>
        <w:pStyle w:val="ISMSNormal"/>
      </w:pPr>
    </w:p>
    <w:p w:rsidR="005C3AF3" w:rsidRDefault="008B14D0" w:rsidP="005C3AF3">
      <w:pPr>
        <w:pStyle w:val="ISMSHeading2"/>
      </w:pPr>
      <w:bookmarkStart w:id="116" w:name="_Toc256000112"/>
      <w:bookmarkStart w:id="117" w:name="_Toc256000077"/>
      <w:bookmarkStart w:id="118" w:name="_Toc256000042"/>
      <w:bookmarkStart w:id="119" w:name="_Toc256000023"/>
      <w:bookmarkStart w:id="120" w:name="_Toc256000145"/>
      <w:bookmarkStart w:id="121" w:name="_Toc256000125"/>
      <w:bookmarkStart w:id="122" w:name="_Toc256000105"/>
      <w:bookmarkStart w:id="123" w:name="_Toc256000086"/>
      <w:bookmarkStart w:id="124" w:name="_Toc256000067"/>
      <w:bookmarkStart w:id="125" w:name="_Toc256000048"/>
      <w:bookmarkStart w:id="126" w:name="_Toc256000029"/>
      <w:bookmarkStart w:id="127" w:name="_Toc963591"/>
      <w:r>
        <w:t>Performing Changes to the TRE</w:t>
      </w:r>
      <w:bookmarkEnd w:id="116"/>
      <w:bookmarkEnd w:id="117"/>
      <w:bookmarkEnd w:id="118"/>
      <w:bookmarkEnd w:id="119"/>
      <w:bookmarkEnd w:id="120"/>
      <w:bookmarkEnd w:id="121"/>
      <w:bookmarkEnd w:id="122"/>
      <w:bookmarkEnd w:id="123"/>
      <w:bookmarkEnd w:id="124"/>
      <w:bookmarkEnd w:id="125"/>
      <w:bookmarkEnd w:id="126"/>
      <w:bookmarkEnd w:id="127"/>
    </w:p>
    <w:p w:rsidR="005C3AF3" w:rsidRDefault="008B14D0" w:rsidP="00203D50">
      <w:pPr>
        <w:pStyle w:val="ISMSNormal"/>
      </w:pPr>
      <w:r>
        <w:t xml:space="preserve">The TRE Infrastructure Record.xlsx acts as an intermediary between the approved requests for change, and the act of physically performing those changes to the TRE infrastructure. The TRE system administrator or any other member of the TRE Operations team </w:t>
      </w:r>
      <w:proofErr w:type="spellStart"/>
      <w:r>
        <w:t>authorised</w:t>
      </w:r>
      <w:proofErr w:type="spellEnd"/>
      <w:r>
        <w:t xml:space="preserve"> to perform changes to the TRE are only permitted to follow requests specified via the TRE Infrastructure Record. Changes to TRE infrastructure that have not been specified within the TRE Infrastructure Record are not </w:t>
      </w:r>
      <w:proofErr w:type="spellStart"/>
      <w:r>
        <w:t>authorised</w:t>
      </w:r>
      <w:proofErr w:type="spellEnd"/>
      <w:r>
        <w:t xml:space="preserve"> to be completed. The exception to this rule is emergency changes, which are described within the TRE Business Continuity Plan.</w:t>
      </w:r>
    </w:p>
    <w:p w:rsidR="005C3AF3" w:rsidRDefault="00B84E59" w:rsidP="00203D50">
      <w:pPr>
        <w:pStyle w:val="ISMSNormal"/>
      </w:pPr>
    </w:p>
    <w:p w:rsidR="005C3AF3" w:rsidRDefault="008B14D0" w:rsidP="00203D50">
      <w:pPr>
        <w:pStyle w:val="ISMSNormal"/>
      </w:pPr>
      <w:r>
        <w:t xml:space="preserve">The procedure for filling in the change request details are contained within the first worksheet of the TRE Infrastructure Record.xlsx file. This procedure can be </w:t>
      </w:r>
      <w:r w:rsidRPr="00A43362">
        <w:rPr>
          <w:lang w:val="en-GB"/>
        </w:rPr>
        <w:t>summarised</w:t>
      </w:r>
      <w:r>
        <w:t xml:space="preserve"> by stating that each field within the spreadsheet has a unique alphanumeric location defined by the parent column header and row number. The uniqueness of these locations ensures that a request to perform the change defined within a given field is clear and unambiguous, which means the likelihood of a TRE system administrator carrying out the wrong change is acceptably low. As each entry into the TRE Infrastructure Record must be timestamped, it also ensures that a historical and auditable account of all TRE change exists. </w:t>
      </w:r>
    </w:p>
    <w:p w:rsidR="005C3AF3" w:rsidRDefault="00B84E59" w:rsidP="00203D50">
      <w:pPr>
        <w:pStyle w:val="ISMSNormal"/>
      </w:pPr>
    </w:p>
    <w:p w:rsidR="005C3AF3" w:rsidRDefault="008B14D0" w:rsidP="00203D50">
      <w:pPr>
        <w:pStyle w:val="ISMSNormal"/>
      </w:pPr>
      <w:r>
        <w:t>The TRE System Administrator will fill out the applicable fields within the TRE Infrastructure Record to reflect the actual changes made to the TRE, including any specific technical details such as hardware and software identifiers.</w:t>
      </w:r>
    </w:p>
    <w:p w:rsidR="004A3AD9" w:rsidRPr="00EA2E08" w:rsidRDefault="00B84E59" w:rsidP="00203D50">
      <w:pPr>
        <w:pStyle w:val="ISMSNormal"/>
      </w:pPr>
    </w:p>
    <w:p w:rsidR="005C3AF3" w:rsidRDefault="008B14D0" w:rsidP="005C3AF3">
      <w:pPr>
        <w:pStyle w:val="ISMSHeading1"/>
      </w:pPr>
      <w:bookmarkStart w:id="128" w:name="_Toc256000113"/>
      <w:bookmarkStart w:id="129" w:name="_Toc256000078"/>
      <w:bookmarkStart w:id="130" w:name="_Toc256000043"/>
      <w:bookmarkStart w:id="131" w:name="_Toc256000024"/>
      <w:bookmarkStart w:id="132" w:name="_Toc256000146"/>
      <w:bookmarkStart w:id="133" w:name="_Toc256000126"/>
      <w:bookmarkStart w:id="134" w:name="_Toc256000106"/>
      <w:bookmarkStart w:id="135" w:name="_Toc256000087"/>
      <w:bookmarkStart w:id="136" w:name="_Toc256000068"/>
      <w:bookmarkStart w:id="137" w:name="_Toc256000049"/>
      <w:bookmarkStart w:id="138" w:name="_Toc256000030"/>
      <w:bookmarkStart w:id="139" w:name="_Toc481579866"/>
      <w:bookmarkStart w:id="140" w:name="_Toc489269495"/>
      <w:bookmarkStart w:id="141" w:name="_Toc490656647"/>
      <w:bookmarkStart w:id="142" w:name="_Toc963592"/>
      <w:r>
        <w:t>Cross-referenced ISMS Documents</w:t>
      </w:r>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p>
    <w:sdt>
      <w:sdtPr>
        <w:tag w:val="QPulse_DocRelatedDocuments"/>
        <w:id w:val="1931938206"/>
        <w:lock w:val="contentLocked"/>
      </w:sdtPr>
      <w:sdtEndPr/>
      <w:sdtContent>
        <w:p w:rsidR="005C3AF3" w:rsidRDefault="00B84E59" w:rsidP="00203D50"/>
        <w:tbl>
          <w:tblPr>
            <w:tblStyle w:val="TableProfessional"/>
            <w:tblW w:w="0" w:type="auto"/>
            <w:tblLayout w:type="fixed"/>
            <w:tblLook w:val="04A0" w:firstRow="1" w:lastRow="0" w:firstColumn="1" w:lastColumn="0" w:noHBand="0" w:noVBand="1"/>
          </w:tblPr>
          <w:tblGrid>
            <w:gridCol w:w="3080"/>
            <w:gridCol w:w="3081"/>
            <w:gridCol w:w="3081"/>
          </w:tblGrid>
          <w:tr w:rsidR="006A53EF" w:rsidTr="006A53EF">
            <w:trPr>
              <w:cnfStyle w:val="100000000000" w:firstRow="1" w:lastRow="0" w:firstColumn="0" w:lastColumn="0" w:oddVBand="0" w:evenVBand="0" w:oddHBand="0" w:evenHBand="0" w:firstRowFirstColumn="0" w:firstRowLastColumn="0" w:lastRowFirstColumn="0" w:lastRowLastColumn="0"/>
            </w:trPr>
            <w:tc>
              <w:tcPr>
                <w:tcW w:w="3080" w:type="dxa"/>
              </w:tcPr>
              <w:p w:rsidR="005C3AF3" w:rsidRPr="00705A1D" w:rsidRDefault="008B14D0" w:rsidP="00203D50">
                <w:r>
                  <w:t>Number</w:t>
                </w:r>
              </w:p>
            </w:tc>
            <w:tc>
              <w:tcPr>
                <w:tcW w:w="3081" w:type="dxa"/>
              </w:tcPr>
              <w:p w:rsidR="005C3AF3" w:rsidRPr="00705A1D" w:rsidRDefault="008B14D0" w:rsidP="00203D50">
                <w:r>
                  <w:t>Type</w:t>
                </w:r>
              </w:p>
            </w:tc>
            <w:tc>
              <w:tcPr>
                <w:tcW w:w="3081" w:type="dxa"/>
              </w:tcPr>
              <w:p w:rsidR="005C3AF3" w:rsidRPr="00705A1D" w:rsidRDefault="008B14D0" w:rsidP="00203D50">
                <w:r>
                  <w:t>Title</w:t>
                </w:r>
              </w:p>
            </w:tc>
          </w:tr>
          <w:tr w:rsidR="006A53EF" w:rsidTr="006A53E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60" w:type="dxa"/>
              </w:tcPr>
              <w:p w:rsidR="006A53EF" w:rsidRDefault="008B14D0">
                <w:r>
                  <w:t>FORM-008</w:t>
                </w:r>
              </w:p>
            </w:tc>
            <w:tc>
              <w:tcPr>
                <w:tcW w:w="360" w:type="dxa"/>
              </w:tcPr>
              <w:p w:rsidR="006A53EF" w:rsidRDefault="008B14D0">
                <w:r>
                  <w:t>ISMS\Forms</w:t>
                </w:r>
              </w:p>
            </w:tc>
            <w:tc>
              <w:tcPr>
                <w:tcW w:w="360" w:type="dxa"/>
              </w:tcPr>
              <w:p w:rsidR="006A53EF" w:rsidRDefault="008B14D0">
                <w:r>
                  <w:t>TRE Request for Change</w:t>
                </w:r>
              </w:p>
            </w:tc>
          </w:tr>
          <w:tr w:rsidR="006A53EF" w:rsidTr="006A53E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60" w:type="dxa"/>
              </w:tcPr>
              <w:p w:rsidR="006A53EF" w:rsidRDefault="008B14D0">
                <w:r>
                  <w:t>FORM-002</w:t>
                </w:r>
              </w:p>
            </w:tc>
            <w:tc>
              <w:tcPr>
                <w:tcW w:w="360" w:type="dxa"/>
              </w:tcPr>
              <w:p w:rsidR="006A53EF" w:rsidRDefault="008B14D0">
                <w:r>
                  <w:t>ISMS\Forms</w:t>
                </w:r>
              </w:p>
            </w:tc>
            <w:tc>
              <w:tcPr>
                <w:tcW w:w="360" w:type="dxa"/>
              </w:tcPr>
              <w:p w:rsidR="006A53EF" w:rsidRDefault="008B14D0">
                <w:r>
                  <w:t>TRE Project Application Form</w:t>
                </w:r>
              </w:p>
            </w:tc>
          </w:tr>
          <w:tr w:rsidR="006A53EF" w:rsidTr="006A53E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60" w:type="dxa"/>
              </w:tcPr>
              <w:p w:rsidR="006A53EF" w:rsidRDefault="008B14D0">
                <w:r>
                  <w:t>FORM-007</w:t>
                </w:r>
              </w:p>
            </w:tc>
            <w:tc>
              <w:tcPr>
                <w:tcW w:w="360" w:type="dxa"/>
              </w:tcPr>
              <w:p w:rsidR="006A53EF" w:rsidRDefault="008B14D0">
                <w:r>
                  <w:t>ISMS\Forms</w:t>
                </w:r>
              </w:p>
            </w:tc>
            <w:tc>
              <w:tcPr>
                <w:tcW w:w="360" w:type="dxa"/>
              </w:tcPr>
              <w:p w:rsidR="006A53EF" w:rsidRDefault="008B14D0">
                <w:r>
                  <w:t>TRE Project Service Request Form</w:t>
                </w:r>
              </w:p>
            </w:tc>
          </w:tr>
          <w:tr w:rsidR="006A53EF" w:rsidTr="006A53E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60" w:type="dxa"/>
              </w:tcPr>
              <w:p w:rsidR="006A53EF" w:rsidRDefault="008B14D0">
                <w:r>
                  <w:t>ISMS-02-05</w:t>
                </w:r>
              </w:p>
            </w:tc>
            <w:tc>
              <w:tcPr>
                <w:tcW w:w="360" w:type="dxa"/>
              </w:tcPr>
              <w:p w:rsidR="006A53EF" w:rsidRDefault="008B14D0">
                <w:r>
                  <w:t>ISMS\Policy &amp; Guidance\ISMS Management - policy &amp; guidance</w:t>
                </w:r>
              </w:p>
            </w:tc>
            <w:tc>
              <w:tcPr>
                <w:tcW w:w="360" w:type="dxa"/>
              </w:tcPr>
              <w:p w:rsidR="006A53EF" w:rsidRDefault="008B14D0">
                <w:r>
                  <w:t>Risk Management Process</w:t>
                </w:r>
              </w:p>
            </w:tc>
          </w:tr>
          <w:tr w:rsidR="006A53EF" w:rsidTr="006A53E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60" w:type="dxa"/>
              </w:tcPr>
              <w:p w:rsidR="006A53EF" w:rsidRDefault="008B14D0">
                <w:r>
                  <w:t>SOP-09-17</w:t>
                </w:r>
              </w:p>
            </w:tc>
            <w:tc>
              <w:tcPr>
                <w:tcW w:w="360" w:type="dxa"/>
              </w:tcPr>
              <w:p w:rsidR="006A53EF" w:rsidRDefault="008B14D0">
                <w:r>
                  <w:t>ISMS\SOP\TRE System Administration - SOP</w:t>
                </w:r>
              </w:p>
            </w:tc>
            <w:tc>
              <w:tcPr>
                <w:tcW w:w="360" w:type="dxa"/>
              </w:tcPr>
              <w:p w:rsidR="006A53EF" w:rsidRDefault="008B14D0">
                <w:r>
                  <w:t>Testing Continuity of TRE Security</w:t>
                </w:r>
              </w:p>
            </w:tc>
          </w:tr>
          <w:tr w:rsidR="006A53EF" w:rsidTr="006A53E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60" w:type="dxa"/>
              </w:tcPr>
              <w:p w:rsidR="006A53EF" w:rsidRDefault="008B14D0">
                <w:r>
                  <w:t>FORM-008</w:t>
                </w:r>
              </w:p>
            </w:tc>
            <w:tc>
              <w:tcPr>
                <w:tcW w:w="360" w:type="dxa"/>
              </w:tcPr>
              <w:p w:rsidR="006A53EF" w:rsidRDefault="008B14D0">
                <w:r>
                  <w:t>ISMS\Forms</w:t>
                </w:r>
              </w:p>
            </w:tc>
            <w:tc>
              <w:tcPr>
                <w:tcW w:w="360" w:type="dxa"/>
              </w:tcPr>
              <w:p w:rsidR="006A53EF" w:rsidRDefault="008B14D0">
                <w:r>
                  <w:t>TRE Request for Change</w:t>
                </w:r>
              </w:p>
            </w:tc>
          </w:tr>
          <w:tr w:rsidR="006A53EF" w:rsidTr="006A53E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60" w:type="dxa"/>
              </w:tcPr>
              <w:p w:rsidR="006A53EF" w:rsidRDefault="008B14D0">
                <w:r>
                  <w:t>SOP-05-01</w:t>
                </w:r>
              </w:p>
            </w:tc>
            <w:tc>
              <w:tcPr>
                <w:tcW w:w="360" w:type="dxa"/>
              </w:tcPr>
              <w:p w:rsidR="006A53EF" w:rsidRDefault="008B14D0">
                <w:r>
                  <w:t>ISMS\SOP\Asset and Supplier Management - SOP</w:t>
                </w:r>
              </w:p>
            </w:tc>
            <w:tc>
              <w:tcPr>
                <w:tcW w:w="360" w:type="dxa"/>
              </w:tcPr>
              <w:p w:rsidR="006A53EF" w:rsidRDefault="008B14D0">
                <w:r>
                  <w:t>Bringing Assets into the TRE</w:t>
                </w:r>
              </w:p>
            </w:tc>
          </w:tr>
          <w:tr w:rsidR="006A53EF" w:rsidTr="006A53E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60" w:type="dxa"/>
              </w:tcPr>
              <w:p w:rsidR="006A53EF" w:rsidRDefault="008B14D0">
                <w:r>
                  <w:t>SOP-03-24</w:t>
                </w:r>
              </w:p>
            </w:tc>
            <w:tc>
              <w:tcPr>
                <w:tcW w:w="360" w:type="dxa"/>
              </w:tcPr>
              <w:p w:rsidR="006A53EF" w:rsidRDefault="008B14D0">
                <w:r>
                  <w:t>ISMS\SOP\TRE Operations - SOP</w:t>
                </w:r>
              </w:p>
            </w:tc>
            <w:tc>
              <w:tcPr>
                <w:tcW w:w="360" w:type="dxa"/>
              </w:tcPr>
              <w:p w:rsidR="006A53EF" w:rsidRDefault="008B14D0">
                <w:r>
                  <w:t>Migrating Projects out of the TRE</w:t>
                </w:r>
              </w:p>
            </w:tc>
          </w:tr>
          <w:tr w:rsidR="006A53EF" w:rsidTr="006A53E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60" w:type="dxa"/>
              </w:tcPr>
              <w:p w:rsidR="006A53EF" w:rsidRDefault="008B14D0">
                <w:r>
                  <w:t>ISMS-03-03</w:t>
                </w:r>
              </w:p>
            </w:tc>
            <w:tc>
              <w:tcPr>
                <w:tcW w:w="360" w:type="dxa"/>
              </w:tcPr>
              <w:p w:rsidR="006A53EF" w:rsidRDefault="008B14D0">
                <w:r>
                  <w:t>ISMS\Policy &amp; Guidance\TRE Operations - policy &amp; guidance</w:t>
                </w:r>
              </w:p>
            </w:tc>
            <w:tc>
              <w:tcPr>
                <w:tcW w:w="360" w:type="dxa"/>
              </w:tcPr>
              <w:p w:rsidR="006A53EF" w:rsidRDefault="008B14D0">
                <w:r>
                  <w:t>TRE Disaster and Severe Incident Recovery Plan</w:t>
                </w:r>
              </w:p>
            </w:tc>
          </w:tr>
          <w:tr w:rsidR="006A53EF" w:rsidTr="006A53E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60" w:type="dxa"/>
              </w:tcPr>
              <w:p w:rsidR="006A53EF" w:rsidRDefault="008B14D0">
                <w:r>
                  <w:t>SOP-03-09</w:t>
                </w:r>
              </w:p>
            </w:tc>
            <w:tc>
              <w:tcPr>
                <w:tcW w:w="360" w:type="dxa"/>
              </w:tcPr>
              <w:p w:rsidR="006A53EF" w:rsidRDefault="008B14D0">
                <w:r>
                  <w:t>ISMS\SOP\TRE Operations - SOP</w:t>
                </w:r>
              </w:p>
            </w:tc>
            <w:tc>
              <w:tcPr>
                <w:tcW w:w="360" w:type="dxa"/>
              </w:tcPr>
              <w:p w:rsidR="006A53EF" w:rsidRDefault="008B14D0">
                <w:r>
                  <w:t>TRE Project Application Review</w:t>
                </w:r>
              </w:p>
            </w:tc>
          </w:tr>
          <w:tr w:rsidR="006A53EF" w:rsidTr="006A53E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60" w:type="dxa"/>
              </w:tcPr>
              <w:p w:rsidR="006A53EF" w:rsidRDefault="008B14D0">
                <w:r>
                  <w:t>SOP-03-20</w:t>
                </w:r>
              </w:p>
            </w:tc>
            <w:tc>
              <w:tcPr>
                <w:tcW w:w="360" w:type="dxa"/>
              </w:tcPr>
              <w:p w:rsidR="006A53EF" w:rsidRDefault="008B14D0">
                <w:r>
                  <w:t>ISMS\SOP\TRE Operations - SOP</w:t>
                </w:r>
              </w:p>
            </w:tc>
            <w:tc>
              <w:tcPr>
                <w:tcW w:w="360" w:type="dxa"/>
              </w:tcPr>
              <w:p w:rsidR="006A53EF" w:rsidRDefault="008B14D0">
                <w:r>
                  <w:t>Managing Security Development Tasks</w:t>
                </w:r>
              </w:p>
            </w:tc>
          </w:tr>
          <w:tr w:rsidR="006A53EF" w:rsidTr="006A53E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60" w:type="dxa"/>
              </w:tcPr>
              <w:p w:rsidR="006A53EF" w:rsidRDefault="008B14D0">
                <w:r>
                  <w:t>SOP-09-18</w:t>
                </w:r>
              </w:p>
            </w:tc>
            <w:tc>
              <w:tcPr>
                <w:tcW w:w="360" w:type="dxa"/>
              </w:tcPr>
              <w:p w:rsidR="006A53EF" w:rsidRDefault="008B14D0">
                <w:r>
                  <w:t>ISMS\SOP\TRE System Administration - SOP</w:t>
                </w:r>
              </w:p>
            </w:tc>
            <w:tc>
              <w:tcPr>
                <w:tcW w:w="360" w:type="dxa"/>
              </w:tcPr>
              <w:p w:rsidR="006A53EF" w:rsidRDefault="008B14D0">
                <w:r>
                  <w:t>Testing Segregation of TRE Projects</w:t>
                </w:r>
              </w:p>
            </w:tc>
          </w:tr>
        </w:tbl>
        <w:p w:rsidR="005C3AF3" w:rsidRPr="00CB5A5D" w:rsidRDefault="00B84E59" w:rsidP="00203D50">
          <w:pPr>
            <w:rPr>
              <w:rFonts w:eastAsia="Times New Roman"/>
              <w:lang w:val="en-US"/>
            </w:rPr>
          </w:pPr>
        </w:p>
      </w:sdtContent>
    </w:sdt>
    <w:p w:rsidR="005C3AF3" w:rsidRDefault="008B14D0" w:rsidP="005C3AF3">
      <w:pPr>
        <w:pStyle w:val="ISMSHeading1"/>
      </w:pPr>
      <w:bookmarkStart w:id="143" w:name="_Toc256000114"/>
      <w:bookmarkStart w:id="144" w:name="_Toc256000079"/>
      <w:bookmarkStart w:id="145" w:name="_Toc256000044"/>
      <w:bookmarkStart w:id="146" w:name="_Toc256000025"/>
      <w:bookmarkStart w:id="147" w:name="_Toc256000147"/>
      <w:bookmarkStart w:id="148" w:name="_Toc256000127"/>
      <w:bookmarkStart w:id="149" w:name="_Toc256000107"/>
      <w:bookmarkStart w:id="150" w:name="_Toc256000088"/>
      <w:bookmarkStart w:id="151" w:name="_Toc256000069"/>
      <w:bookmarkStart w:id="152" w:name="_Toc256000050"/>
      <w:bookmarkStart w:id="153" w:name="_Toc256000031"/>
      <w:bookmarkStart w:id="154" w:name="_Toc481579867"/>
      <w:bookmarkStart w:id="155" w:name="_Toc489269496"/>
      <w:bookmarkStart w:id="156" w:name="_Toc490656648"/>
      <w:bookmarkStart w:id="157" w:name="_Toc963593"/>
      <w:r w:rsidRPr="009D002B">
        <w:t>Appendices</w:t>
      </w:r>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p>
    <w:p w:rsidR="002C7566" w:rsidRDefault="008B14D0" w:rsidP="004A3AD9">
      <w:pPr>
        <w:pStyle w:val="ISMSNormal"/>
      </w:pPr>
      <w:r>
        <w:rPr>
          <w:rFonts w:eastAsiaTheme="minorHAnsi" w:cstheme="minorBidi"/>
          <w:szCs w:val="22"/>
          <w:lang w:val="en-GB"/>
        </w:rPr>
        <w:t>None</w:t>
      </w:r>
    </w:p>
    <w:sectPr w:rsidR="002C7566" w:rsidSect="00F64866">
      <w:headerReference w:type="even" r:id="rId13"/>
      <w:headerReference w:type="default" r:id="rId14"/>
      <w:footerReference w:type="even" r:id="rId15"/>
      <w:footerReference w:type="default" r:id="rId16"/>
      <w:headerReference w:type="first" r:id="rId17"/>
      <w:footerReference w:type="first" r:id="rId18"/>
      <w:pgSz w:w="11906" w:h="16838"/>
      <w:pgMar w:top="1440" w:right="1440" w:bottom="1440" w:left="1440" w:header="708" w:footer="708" w:gutter="0"/>
      <w:cols w:space="708"/>
      <w:titlePg/>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B84E59" w:rsidRDefault="00B84E59">
      <w:r>
        <w:separator/>
      </w:r>
    </w:p>
  </w:endnote>
  <w:endnote w:type="continuationSeparator" w:id="0">
    <w:p w:rsidR="00B84E59" w:rsidRDefault="00B84E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AC34D1" w:rsidRDefault="00B84E5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8C17CD" w:rsidRDefault="00B84E59" w:rsidP="008C17CD">
    <w:pPr>
      <w:pBdr>
        <w:bottom w:val="single" w:sz="6" w:space="1" w:color="auto"/>
      </w:pBdr>
      <w:spacing w:before="60"/>
      <w:rPr>
        <w:rFonts w:asciiTheme="minorHAnsi" w:hAnsiTheme="minorHAnsi" w:cstheme="minorHAnsi"/>
      </w:rPr>
    </w:pPr>
  </w:p>
  <w:p w:rsidR="008C17CD" w:rsidRPr="00823E00" w:rsidRDefault="008B14D0" w:rsidP="008C17CD">
    <w:pPr>
      <w:tabs>
        <w:tab w:val="right" w:pos="9072"/>
      </w:tabs>
      <w:spacing w:before="60"/>
      <w:rPr>
        <w:rStyle w:val="PageNumber"/>
        <w:rFonts w:asciiTheme="minorHAnsi" w:hAnsiTheme="minorHAnsi" w:cstheme="minorHAnsi"/>
      </w:rPr>
    </w:pPr>
    <w:r w:rsidRPr="00823E00">
      <w:rPr>
        <w:rFonts w:asciiTheme="minorHAnsi" w:hAnsiTheme="minorHAnsi" w:cstheme="minorHAnsi"/>
      </w:rPr>
      <w:fldChar w:fldCharType="begin"/>
    </w:r>
    <w:r w:rsidRPr="00823E00">
      <w:rPr>
        <w:rFonts w:asciiTheme="minorHAnsi" w:hAnsiTheme="minorHAnsi" w:cstheme="minorHAnsi"/>
      </w:rPr>
      <w:instrText xml:space="preserve"> DOCVARIABLE  QPulse_DocNumber \* MERGEFORMAT </w:instrText>
    </w:r>
    <w:r w:rsidRPr="00823E00">
      <w:rPr>
        <w:rFonts w:asciiTheme="minorHAnsi" w:hAnsiTheme="minorHAnsi" w:cstheme="minorHAnsi"/>
      </w:rPr>
      <w:fldChar w:fldCharType="separate"/>
    </w:r>
    <w:r>
      <w:rPr>
        <w:rFonts w:asciiTheme="minorHAnsi" w:hAnsiTheme="minorHAnsi" w:cstheme="minorHAnsi"/>
      </w:rPr>
      <w:t>SOP-03-08</w:t>
    </w:r>
    <w:r w:rsidRPr="00823E00">
      <w:rPr>
        <w:rFonts w:asciiTheme="minorHAnsi" w:hAnsiTheme="minorHAnsi" w:cstheme="minorHAnsi"/>
      </w:rPr>
      <w:fldChar w:fldCharType="end"/>
    </w:r>
    <w:r>
      <w:rPr>
        <w:rFonts w:asciiTheme="minorHAnsi" w:hAnsiTheme="minorHAnsi" w:cstheme="minorHAnsi"/>
      </w:rPr>
      <w:t xml:space="preserve"> - </w:t>
    </w:r>
    <w:r w:rsidRPr="00823E00">
      <w:rPr>
        <w:rFonts w:asciiTheme="minorHAnsi" w:hAnsiTheme="minorHAnsi" w:cstheme="minorHAnsi"/>
      </w:rPr>
      <w:fldChar w:fldCharType="begin"/>
    </w:r>
    <w:r w:rsidRPr="00823E00">
      <w:rPr>
        <w:rFonts w:asciiTheme="minorHAnsi" w:hAnsiTheme="minorHAnsi" w:cstheme="minorHAnsi"/>
      </w:rPr>
      <w:instrText xml:space="preserve"> DOCVARIABLE  QPulse_DocTitle \* MERGEFORMAT </w:instrText>
    </w:r>
    <w:r w:rsidRPr="00823E00">
      <w:rPr>
        <w:rFonts w:asciiTheme="minorHAnsi" w:hAnsiTheme="minorHAnsi" w:cstheme="minorHAnsi"/>
      </w:rPr>
      <w:fldChar w:fldCharType="separate"/>
    </w:r>
    <w:r>
      <w:rPr>
        <w:rFonts w:asciiTheme="minorHAnsi" w:hAnsiTheme="minorHAnsi" w:cstheme="minorHAnsi"/>
      </w:rPr>
      <w:t>TRE Change Control</w:t>
    </w:r>
    <w:r w:rsidRPr="00823E00">
      <w:rPr>
        <w:rFonts w:asciiTheme="minorHAnsi" w:hAnsiTheme="minorHAnsi" w:cstheme="minorHAnsi"/>
      </w:rPr>
      <w:fldChar w:fldCharType="end"/>
    </w:r>
    <w:r>
      <w:rPr>
        <w:rFonts w:asciiTheme="minorHAnsi" w:hAnsiTheme="minorHAnsi" w:cstheme="minorHAnsi"/>
      </w:rPr>
      <w:tab/>
    </w:r>
    <w:r w:rsidRPr="00823E00">
      <w:rPr>
        <w:rFonts w:asciiTheme="minorHAnsi" w:hAnsiTheme="minorHAnsi" w:cstheme="minorHAnsi"/>
      </w:rPr>
      <w:t xml:space="preserve">Version: </w:t>
    </w:r>
    <w:r w:rsidRPr="00823E00">
      <w:rPr>
        <w:rFonts w:asciiTheme="minorHAnsi" w:hAnsiTheme="minorHAnsi" w:cstheme="minorHAnsi"/>
      </w:rPr>
      <w:fldChar w:fldCharType="begin"/>
    </w:r>
    <w:r w:rsidRPr="00823E00">
      <w:rPr>
        <w:rFonts w:asciiTheme="minorHAnsi" w:hAnsiTheme="minorHAnsi" w:cstheme="minorHAnsi"/>
      </w:rPr>
      <w:instrText xml:space="preserve"> DOCVARIABLE  QPulse_DocRevisionNumber  \* MERGEFORMAT </w:instrText>
    </w:r>
    <w:r w:rsidRPr="00823E00">
      <w:rPr>
        <w:rFonts w:asciiTheme="minorHAnsi" w:hAnsiTheme="minorHAnsi" w:cstheme="minorHAnsi"/>
      </w:rPr>
      <w:fldChar w:fldCharType="separate"/>
    </w:r>
    <w:r>
      <w:rPr>
        <w:rFonts w:asciiTheme="minorHAnsi" w:hAnsiTheme="minorHAnsi" w:cstheme="minorHAnsi"/>
      </w:rPr>
      <w:t>3.0</w:t>
    </w:r>
    <w:r w:rsidRPr="00823E00">
      <w:rPr>
        <w:rFonts w:asciiTheme="minorHAnsi" w:hAnsiTheme="minorHAnsi" w:cstheme="minorHAnsi"/>
      </w:rPr>
      <w:fldChar w:fldCharType="end"/>
    </w:r>
    <w:r w:rsidRPr="00823E00">
      <w:rPr>
        <w:rStyle w:val="PageNumber"/>
        <w:rFonts w:asciiTheme="minorHAnsi" w:hAnsiTheme="minorHAnsi" w:cstheme="minorHAnsi"/>
      </w:rPr>
      <w:t xml:space="preserve"> </w:t>
    </w:r>
  </w:p>
  <w:p w:rsidR="008C17CD" w:rsidRDefault="008B14D0" w:rsidP="000A6195">
    <w:pPr>
      <w:tabs>
        <w:tab w:val="right" w:pos="9072"/>
      </w:tabs>
      <w:spacing w:before="60"/>
    </w:pPr>
    <w:r w:rsidRPr="00823E00">
      <w:rPr>
        <w:rFonts w:asciiTheme="minorHAnsi" w:hAnsiTheme="minorHAnsi" w:cstheme="minorHAnsi"/>
      </w:rPr>
      <w:t xml:space="preserve">Effective: </w:t>
    </w:r>
    <w:r w:rsidRPr="00823E00">
      <w:rPr>
        <w:rFonts w:asciiTheme="minorHAnsi" w:hAnsiTheme="minorHAnsi" w:cstheme="minorHAnsi"/>
      </w:rPr>
      <w:fldChar w:fldCharType="begin"/>
    </w:r>
    <w:r w:rsidRPr="00823E00">
      <w:rPr>
        <w:rFonts w:asciiTheme="minorHAnsi" w:hAnsiTheme="minorHAnsi" w:cstheme="minorHAnsi"/>
      </w:rPr>
      <w:instrText xml:space="preserve"> DOCVARIABLE  QPulse_DocActiveDate \@"dd MMM yyyy" \* MERGEFORMAT </w:instrText>
    </w:r>
    <w:r w:rsidRPr="00823E00">
      <w:rPr>
        <w:rFonts w:asciiTheme="minorHAnsi" w:hAnsiTheme="minorHAnsi" w:cstheme="minorHAnsi"/>
      </w:rPr>
      <w:fldChar w:fldCharType="separate"/>
    </w:r>
    <w:r>
      <w:rPr>
        <w:rFonts w:asciiTheme="minorHAnsi" w:hAnsiTheme="minorHAnsi" w:cstheme="minorHAnsi"/>
      </w:rPr>
      <w:t>22 Jul 2019</w:t>
    </w:r>
    <w:r w:rsidRPr="00823E00">
      <w:rPr>
        <w:rFonts w:asciiTheme="minorHAnsi" w:hAnsiTheme="minorHAnsi" w:cstheme="minorHAnsi"/>
      </w:rPr>
      <w:fldChar w:fldCharType="end"/>
    </w:r>
    <w:r>
      <w:rPr>
        <w:rFonts w:asciiTheme="minorHAnsi" w:hAnsiTheme="minorHAnsi" w:cstheme="minorHAnsi"/>
      </w:rPr>
      <w:tab/>
    </w:r>
    <w:r w:rsidRPr="00823E00">
      <w:rPr>
        <w:rFonts w:asciiTheme="minorHAnsi" w:hAnsiTheme="minorHAnsi" w:cstheme="minorHAnsi"/>
        <w:bCs/>
        <w:kern w:val="32"/>
      </w:rPr>
      <w:t>Page</w:t>
    </w:r>
    <w:r w:rsidRPr="00823E00">
      <w:rPr>
        <w:rFonts w:asciiTheme="minorHAnsi" w:hAnsiTheme="minorHAnsi" w:cstheme="minorHAnsi"/>
      </w:rPr>
      <w:t xml:space="preserve"> </w:t>
    </w:r>
    <w:r w:rsidRPr="00823E00">
      <w:rPr>
        <w:rStyle w:val="PageNumber"/>
        <w:rFonts w:asciiTheme="minorHAnsi" w:hAnsiTheme="minorHAnsi" w:cstheme="minorHAnsi"/>
      </w:rPr>
      <w:fldChar w:fldCharType="begin"/>
    </w:r>
    <w:r w:rsidRPr="00823E00">
      <w:rPr>
        <w:rStyle w:val="PageNumber"/>
        <w:rFonts w:asciiTheme="minorHAnsi" w:hAnsiTheme="minorHAnsi" w:cstheme="minorHAnsi"/>
      </w:rPr>
      <w:instrText xml:space="preserve"> PAGE </w:instrText>
    </w:r>
    <w:r w:rsidRPr="00823E00">
      <w:rPr>
        <w:rStyle w:val="PageNumber"/>
        <w:rFonts w:asciiTheme="minorHAnsi" w:hAnsiTheme="minorHAnsi" w:cstheme="minorHAnsi"/>
      </w:rPr>
      <w:fldChar w:fldCharType="separate"/>
    </w:r>
    <w:r>
      <w:rPr>
        <w:rStyle w:val="PageNumber"/>
        <w:rFonts w:asciiTheme="minorHAnsi" w:hAnsiTheme="minorHAnsi" w:cstheme="minorHAnsi"/>
        <w:noProof/>
      </w:rPr>
      <w:t>2</w:t>
    </w:r>
    <w:r w:rsidRPr="00823E00">
      <w:rPr>
        <w:rStyle w:val="PageNumber"/>
        <w:rFonts w:asciiTheme="minorHAnsi" w:hAnsiTheme="minorHAnsi" w:cstheme="minorHAnsi"/>
      </w:rPr>
      <w:fldChar w:fldCharType="end"/>
    </w:r>
    <w:r w:rsidRPr="00823E00">
      <w:rPr>
        <w:rStyle w:val="PageNumber"/>
        <w:rFonts w:asciiTheme="minorHAnsi" w:hAnsiTheme="minorHAnsi" w:cstheme="minorHAnsi"/>
      </w:rPr>
      <w:t xml:space="preserve"> </w:t>
    </w:r>
    <w:r w:rsidRPr="00823E00">
      <w:rPr>
        <w:rFonts w:asciiTheme="minorHAnsi" w:hAnsiTheme="minorHAnsi" w:cstheme="minorHAnsi"/>
      </w:rPr>
      <w:t xml:space="preserve">of </w:t>
    </w:r>
    <w:r w:rsidRPr="00823E00">
      <w:rPr>
        <w:rStyle w:val="PageNumber"/>
        <w:rFonts w:asciiTheme="minorHAnsi" w:hAnsiTheme="minorHAnsi" w:cstheme="minorHAnsi"/>
      </w:rPr>
      <w:fldChar w:fldCharType="begin"/>
    </w:r>
    <w:r w:rsidRPr="00823E00">
      <w:rPr>
        <w:rStyle w:val="PageNumber"/>
        <w:rFonts w:asciiTheme="minorHAnsi" w:hAnsiTheme="minorHAnsi" w:cstheme="minorHAnsi"/>
      </w:rPr>
      <w:instrText xml:space="preserve"> NUMPAGES </w:instrText>
    </w:r>
    <w:r w:rsidRPr="00823E00">
      <w:rPr>
        <w:rStyle w:val="PageNumber"/>
        <w:rFonts w:asciiTheme="minorHAnsi" w:hAnsiTheme="minorHAnsi" w:cstheme="minorHAnsi"/>
      </w:rPr>
      <w:fldChar w:fldCharType="separate"/>
    </w:r>
    <w:r>
      <w:rPr>
        <w:rStyle w:val="PageNumber"/>
        <w:rFonts w:asciiTheme="minorHAnsi" w:hAnsiTheme="minorHAnsi" w:cstheme="minorHAnsi"/>
        <w:noProof/>
      </w:rPr>
      <w:t>9</w:t>
    </w:r>
    <w:r w:rsidRPr="00823E00">
      <w:rPr>
        <w:rStyle w:val="PageNumber"/>
        <w:rFonts w:asciiTheme="minorHAnsi" w:hAnsiTheme="minorHAnsi" w:cstheme="minorHAnsi"/>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AC34D1" w:rsidRDefault="00B84E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B84E59" w:rsidRDefault="00B84E59">
      <w:r>
        <w:separator/>
      </w:r>
    </w:p>
  </w:footnote>
  <w:footnote w:type="continuationSeparator" w:id="0">
    <w:p w:rsidR="00B84E59" w:rsidRDefault="00B84E5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93143" w:rsidRDefault="00B84E59" w:rsidP="00A35784">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89499344" o:spid="_x0000_s2051" type="#_x0000_t136" alt="" style="position:absolute;margin-left:0;margin-top:0;width:587.25pt;height:48.9pt;rotation:315;z-index:-251657216;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Calibri&quot;;font-size:1pt" string="UNCONTROLLED IF STORED LOCALLY OR PRINTED"/>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AC34D1" w:rsidRDefault="00B84E59">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89499345" o:spid="_x0000_s2050" type="#_x0000_t136" alt="" style="position:absolute;margin-left:0;margin-top:0;width:587.25pt;height:48.9pt;rotation:315;z-index:-251656192;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Calibri&quot;;font-size:1pt" string="UNCONTROLLED IF STORED LOCALLY OR PRINTED"/>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AC34D1" w:rsidRDefault="00B84E59">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89499343" o:spid="_x0000_s2049" type="#_x0000_t136" alt="" style="position:absolute;margin-left:0;margin-top:0;width:587.25pt;height:48.9pt;rotation:315;z-index:-251658240;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Calibri&quot;;font-size:1pt" string="UNCONTROLLED IF STORED LOCALLY OR PRINTED"/>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EF77F7"/>
    <w:multiLevelType w:val="hybridMultilevel"/>
    <w:tmpl w:val="262CF06A"/>
    <w:lvl w:ilvl="0" w:tplc="95822BCE">
      <w:start w:val="1"/>
      <w:numFmt w:val="bullet"/>
      <w:lvlText w:val=""/>
      <w:lvlJc w:val="left"/>
      <w:pPr>
        <w:ind w:left="720" w:hanging="360"/>
      </w:pPr>
      <w:rPr>
        <w:rFonts w:ascii="Wingdings" w:hAnsi="Wingdings" w:hint="default"/>
      </w:rPr>
    </w:lvl>
    <w:lvl w:ilvl="1" w:tplc="EB14086E" w:tentative="1">
      <w:start w:val="1"/>
      <w:numFmt w:val="bullet"/>
      <w:lvlText w:val="o"/>
      <w:lvlJc w:val="left"/>
      <w:pPr>
        <w:ind w:left="1440" w:hanging="360"/>
      </w:pPr>
      <w:rPr>
        <w:rFonts w:ascii="Courier New" w:hAnsi="Courier New" w:cs="Courier New" w:hint="default"/>
      </w:rPr>
    </w:lvl>
    <w:lvl w:ilvl="2" w:tplc="C4684E72" w:tentative="1">
      <w:start w:val="1"/>
      <w:numFmt w:val="bullet"/>
      <w:lvlText w:val=""/>
      <w:lvlJc w:val="left"/>
      <w:pPr>
        <w:ind w:left="2160" w:hanging="360"/>
      </w:pPr>
      <w:rPr>
        <w:rFonts w:ascii="Wingdings" w:hAnsi="Wingdings" w:hint="default"/>
      </w:rPr>
    </w:lvl>
    <w:lvl w:ilvl="3" w:tplc="FDA2F08C" w:tentative="1">
      <w:start w:val="1"/>
      <w:numFmt w:val="bullet"/>
      <w:lvlText w:val=""/>
      <w:lvlJc w:val="left"/>
      <w:pPr>
        <w:ind w:left="2880" w:hanging="360"/>
      </w:pPr>
      <w:rPr>
        <w:rFonts w:ascii="Symbol" w:hAnsi="Symbol" w:hint="default"/>
      </w:rPr>
    </w:lvl>
    <w:lvl w:ilvl="4" w:tplc="C37CE484" w:tentative="1">
      <w:start w:val="1"/>
      <w:numFmt w:val="bullet"/>
      <w:lvlText w:val="o"/>
      <w:lvlJc w:val="left"/>
      <w:pPr>
        <w:ind w:left="3600" w:hanging="360"/>
      </w:pPr>
      <w:rPr>
        <w:rFonts w:ascii="Courier New" w:hAnsi="Courier New" w:cs="Courier New" w:hint="default"/>
      </w:rPr>
    </w:lvl>
    <w:lvl w:ilvl="5" w:tplc="25EC2336" w:tentative="1">
      <w:start w:val="1"/>
      <w:numFmt w:val="bullet"/>
      <w:lvlText w:val=""/>
      <w:lvlJc w:val="left"/>
      <w:pPr>
        <w:ind w:left="4320" w:hanging="360"/>
      </w:pPr>
      <w:rPr>
        <w:rFonts w:ascii="Wingdings" w:hAnsi="Wingdings" w:hint="default"/>
      </w:rPr>
    </w:lvl>
    <w:lvl w:ilvl="6" w:tplc="5114DA00" w:tentative="1">
      <w:start w:val="1"/>
      <w:numFmt w:val="bullet"/>
      <w:lvlText w:val=""/>
      <w:lvlJc w:val="left"/>
      <w:pPr>
        <w:ind w:left="5040" w:hanging="360"/>
      </w:pPr>
      <w:rPr>
        <w:rFonts w:ascii="Symbol" w:hAnsi="Symbol" w:hint="default"/>
      </w:rPr>
    </w:lvl>
    <w:lvl w:ilvl="7" w:tplc="E376BDCA" w:tentative="1">
      <w:start w:val="1"/>
      <w:numFmt w:val="bullet"/>
      <w:lvlText w:val="o"/>
      <w:lvlJc w:val="left"/>
      <w:pPr>
        <w:ind w:left="5760" w:hanging="360"/>
      </w:pPr>
      <w:rPr>
        <w:rFonts w:ascii="Courier New" w:hAnsi="Courier New" w:cs="Courier New" w:hint="default"/>
      </w:rPr>
    </w:lvl>
    <w:lvl w:ilvl="8" w:tplc="637C0F84" w:tentative="1">
      <w:start w:val="1"/>
      <w:numFmt w:val="bullet"/>
      <w:lvlText w:val=""/>
      <w:lvlJc w:val="left"/>
      <w:pPr>
        <w:ind w:left="6480" w:hanging="360"/>
      </w:pPr>
      <w:rPr>
        <w:rFonts w:ascii="Wingdings" w:hAnsi="Wingdings" w:hint="default"/>
      </w:rPr>
    </w:lvl>
  </w:abstractNum>
  <w:abstractNum w:abstractNumId="1" w15:restartNumberingAfterBreak="0">
    <w:nsid w:val="0D181581"/>
    <w:multiLevelType w:val="hybridMultilevel"/>
    <w:tmpl w:val="73588172"/>
    <w:lvl w:ilvl="0" w:tplc="23CA800A">
      <w:start w:val="1"/>
      <w:numFmt w:val="bullet"/>
      <w:lvlText w:val=""/>
      <w:lvlJc w:val="left"/>
      <w:pPr>
        <w:ind w:left="720" w:hanging="360"/>
      </w:pPr>
      <w:rPr>
        <w:rFonts w:ascii="Symbol" w:hAnsi="Symbol" w:hint="default"/>
      </w:rPr>
    </w:lvl>
    <w:lvl w:ilvl="1" w:tplc="84E8618E" w:tentative="1">
      <w:start w:val="1"/>
      <w:numFmt w:val="lowerLetter"/>
      <w:lvlText w:val="%2."/>
      <w:lvlJc w:val="left"/>
      <w:pPr>
        <w:ind w:left="1440" w:hanging="360"/>
      </w:pPr>
    </w:lvl>
    <w:lvl w:ilvl="2" w:tplc="E3C22E1E" w:tentative="1">
      <w:start w:val="1"/>
      <w:numFmt w:val="lowerRoman"/>
      <w:lvlText w:val="%3."/>
      <w:lvlJc w:val="right"/>
      <w:pPr>
        <w:ind w:left="2160" w:hanging="180"/>
      </w:pPr>
    </w:lvl>
    <w:lvl w:ilvl="3" w:tplc="BCFECEB0" w:tentative="1">
      <w:start w:val="1"/>
      <w:numFmt w:val="decimal"/>
      <w:lvlText w:val="%4."/>
      <w:lvlJc w:val="left"/>
      <w:pPr>
        <w:ind w:left="2880" w:hanging="360"/>
      </w:pPr>
    </w:lvl>
    <w:lvl w:ilvl="4" w:tplc="B3C87DE0" w:tentative="1">
      <w:start w:val="1"/>
      <w:numFmt w:val="lowerLetter"/>
      <w:lvlText w:val="%5."/>
      <w:lvlJc w:val="left"/>
      <w:pPr>
        <w:ind w:left="3600" w:hanging="360"/>
      </w:pPr>
    </w:lvl>
    <w:lvl w:ilvl="5" w:tplc="777AF142" w:tentative="1">
      <w:start w:val="1"/>
      <w:numFmt w:val="lowerRoman"/>
      <w:lvlText w:val="%6."/>
      <w:lvlJc w:val="right"/>
      <w:pPr>
        <w:ind w:left="4320" w:hanging="180"/>
      </w:pPr>
    </w:lvl>
    <w:lvl w:ilvl="6" w:tplc="F4A86B2E" w:tentative="1">
      <w:start w:val="1"/>
      <w:numFmt w:val="decimal"/>
      <w:lvlText w:val="%7."/>
      <w:lvlJc w:val="left"/>
      <w:pPr>
        <w:ind w:left="5040" w:hanging="360"/>
      </w:pPr>
    </w:lvl>
    <w:lvl w:ilvl="7" w:tplc="1E90D232" w:tentative="1">
      <w:start w:val="1"/>
      <w:numFmt w:val="lowerLetter"/>
      <w:lvlText w:val="%8."/>
      <w:lvlJc w:val="left"/>
      <w:pPr>
        <w:ind w:left="5760" w:hanging="360"/>
      </w:pPr>
    </w:lvl>
    <w:lvl w:ilvl="8" w:tplc="4C9674A8" w:tentative="1">
      <w:start w:val="1"/>
      <w:numFmt w:val="lowerRoman"/>
      <w:lvlText w:val="%9."/>
      <w:lvlJc w:val="right"/>
      <w:pPr>
        <w:ind w:left="6480" w:hanging="180"/>
      </w:pPr>
    </w:lvl>
  </w:abstractNum>
  <w:abstractNum w:abstractNumId="2" w15:restartNumberingAfterBreak="0">
    <w:nsid w:val="1C4C3BD1"/>
    <w:multiLevelType w:val="hybridMultilevel"/>
    <w:tmpl w:val="E15AD822"/>
    <w:lvl w:ilvl="0" w:tplc="51DE105C">
      <w:start w:val="1"/>
      <w:numFmt w:val="bullet"/>
      <w:lvlText w:val=""/>
      <w:lvlJc w:val="left"/>
      <w:pPr>
        <w:ind w:left="720" w:hanging="360"/>
      </w:pPr>
      <w:rPr>
        <w:rFonts w:ascii="Symbol" w:hAnsi="Symbol" w:hint="default"/>
      </w:rPr>
    </w:lvl>
    <w:lvl w:ilvl="1" w:tplc="00F2BF3C" w:tentative="1">
      <w:start w:val="1"/>
      <w:numFmt w:val="lowerLetter"/>
      <w:lvlText w:val="%2."/>
      <w:lvlJc w:val="left"/>
      <w:pPr>
        <w:ind w:left="1440" w:hanging="360"/>
      </w:pPr>
    </w:lvl>
    <w:lvl w:ilvl="2" w:tplc="1632C9B6" w:tentative="1">
      <w:start w:val="1"/>
      <w:numFmt w:val="lowerRoman"/>
      <w:lvlText w:val="%3."/>
      <w:lvlJc w:val="right"/>
      <w:pPr>
        <w:ind w:left="2160" w:hanging="180"/>
      </w:pPr>
    </w:lvl>
    <w:lvl w:ilvl="3" w:tplc="086EB59E" w:tentative="1">
      <w:start w:val="1"/>
      <w:numFmt w:val="decimal"/>
      <w:lvlText w:val="%4."/>
      <w:lvlJc w:val="left"/>
      <w:pPr>
        <w:ind w:left="2880" w:hanging="360"/>
      </w:pPr>
    </w:lvl>
    <w:lvl w:ilvl="4" w:tplc="09882994" w:tentative="1">
      <w:start w:val="1"/>
      <w:numFmt w:val="lowerLetter"/>
      <w:lvlText w:val="%5."/>
      <w:lvlJc w:val="left"/>
      <w:pPr>
        <w:ind w:left="3600" w:hanging="360"/>
      </w:pPr>
    </w:lvl>
    <w:lvl w:ilvl="5" w:tplc="56E26D56" w:tentative="1">
      <w:start w:val="1"/>
      <w:numFmt w:val="lowerRoman"/>
      <w:lvlText w:val="%6."/>
      <w:lvlJc w:val="right"/>
      <w:pPr>
        <w:ind w:left="4320" w:hanging="180"/>
      </w:pPr>
    </w:lvl>
    <w:lvl w:ilvl="6" w:tplc="0DC6E1F0" w:tentative="1">
      <w:start w:val="1"/>
      <w:numFmt w:val="decimal"/>
      <w:lvlText w:val="%7."/>
      <w:lvlJc w:val="left"/>
      <w:pPr>
        <w:ind w:left="5040" w:hanging="360"/>
      </w:pPr>
    </w:lvl>
    <w:lvl w:ilvl="7" w:tplc="3C563C50" w:tentative="1">
      <w:start w:val="1"/>
      <w:numFmt w:val="lowerLetter"/>
      <w:lvlText w:val="%8."/>
      <w:lvlJc w:val="left"/>
      <w:pPr>
        <w:ind w:left="5760" w:hanging="360"/>
      </w:pPr>
    </w:lvl>
    <w:lvl w:ilvl="8" w:tplc="1C4253C4" w:tentative="1">
      <w:start w:val="1"/>
      <w:numFmt w:val="lowerRoman"/>
      <w:lvlText w:val="%9."/>
      <w:lvlJc w:val="right"/>
      <w:pPr>
        <w:ind w:left="6480" w:hanging="180"/>
      </w:pPr>
    </w:lvl>
  </w:abstractNum>
  <w:abstractNum w:abstractNumId="3" w15:restartNumberingAfterBreak="0">
    <w:nsid w:val="211D7F36"/>
    <w:multiLevelType w:val="multilevel"/>
    <w:tmpl w:val="F202D3F4"/>
    <w:lvl w:ilvl="0">
      <w:start w:val="1"/>
      <w:numFmt w:val="decimal"/>
      <w:pStyle w:val="ISMSHeading1"/>
      <w:lvlText w:val="%1."/>
      <w:lvlJc w:val="left"/>
      <w:pPr>
        <w:ind w:left="360" w:hanging="360"/>
      </w:pPr>
    </w:lvl>
    <w:lvl w:ilvl="1">
      <w:start w:val="1"/>
      <w:numFmt w:val="decimal"/>
      <w:pStyle w:val="ISMSHeading2"/>
      <w:lvlText w:val="%1.%2."/>
      <w:lvlJc w:val="left"/>
      <w:pPr>
        <w:ind w:left="792" w:hanging="432"/>
      </w:pPr>
      <w:rPr>
        <w:rFonts w:hint="default"/>
      </w:rPr>
    </w:lvl>
    <w:lvl w:ilvl="2">
      <w:start w:val="1"/>
      <w:numFmt w:val="decimal"/>
      <w:pStyle w:val="ISMSHeading3"/>
      <w:lvlText w:val="%1.%2.%3."/>
      <w:lvlJc w:val="left"/>
      <w:pPr>
        <w:ind w:left="1224" w:hanging="504"/>
      </w:pPr>
    </w:lvl>
    <w:lvl w:ilvl="3">
      <w:start w:val="1"/>
      <w:numFmt w:val="decimal"/>
      <w:pStyle w:val="ISMSHeading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1625E2C"/>
    <w:multiLevelType w:val="hybridMultilevel"/>
    <w:tmpl w:val="08B8E4C6"/>
    <w:lvl w:ilvl="0" w:tplc="F4086ACE">
      <w:start w:val="1"/>
      <w:numFmt w:val="bullet"/>
      <w:lvlText w:val=""/>
      <w:lvlJc w:val="left"/>
      <w:pPr>
        <w:ind w:left="720" w:hanging="360"/>
      </w:pPr>
      <w:rPr>
        <w:rFonts w:ascii="Symbol" w:hAnsi="Symbol" w:hint="default"/>
      </w:rPr>
    </w:lvl>
    <w:lvl w:ilvl="1" w:tplc="C324EDFE" w:tentative="1">
      <w:start w:val="1"/>
      <w:numFmt w:val="bullet"/>
      <w:lvlText w:val="o"/>
      <w:lvlJc w:val="left"/>
      <w:pPr>
        <w:ind w:left="1440" w:hanging="360"/>
      </w:pPr>
      <w:rPr>
        <w:rFonts w:ascii="Courier New" w:hAnsi="Courier New" w:cs="Courier New" w:hint="default"/>
      </w:rPr>
    </w:lvl>
    <w:lvl w:ilvl="2" w:tplc="DDA6C4EE" w:tentative="1">
      <w:start w:val="1"/>
      <w:numFmt w:val="bullet"/>
      <w:lvlText w:val=""/>
      <w:lvlJc w:val="left"/>
      <w:pPr>
        <w:ind w:left="2160" w:hanging="360"/>
      </w:pPr>
      <w:rPr>
        <w:rFonts w:ascii="Wingdings" w:hAnsi="Wingdings" w:hint="default"/>
      </w:rPr>
    </w:lvl>
    <w:lvl w:ilvl="3" w:tplc="79982E40" w:tentative="1">
      <w:start w:val="1"/>
      <w:numFmt w:val="bullet"/>
      <w:lvlText w:val=""/>
      <w:lvlJc w:val="left"/>
      <w:pPr>
        <w:ind w:left="2880" w:hanging="360"/>
      </w:pPr>
      <w:rPr>
        <w:rFonts w:ascii="Symbol" w:hAnsi="Symbol" w:hint="default"/>
      </w:rPr>
    </w:lvl>
    <w:lvl w:ilvl="4" w:tplc="CBB474C0" w:tentative="1">
      <w:start w:val="1"/>
      <w:numFmt w:val="bullet"/>
      <w:lvlText w:val="o"/>
      <w:lvlJc w:val="left"/>
      <w:pPr>
        <w:ind w:left="3600" w:hanging="360"/>
      </w:pPr>
      <w:rPr>
        <w:rFonts w:ascii="Courier New" w:hAnsi="Courier New" w:cs="Courier New" w:hint="default"/>
      </w:rPr>
    </w:lvl>
    <w:lvl w:ilvl="5" w:tplc="7812CF2C" w:tentative="1">
      <w:start w:val="1"/>
      <w:numFmt w:val="bullet"/>
      <w:lvlText w:val=""/>
      <w:lvlJc w:val="left"/>
      <w:pPr>
        <w:ind w:left="4320" w:hanging="360"/>
      </w:pPr>
      <w:rPr>
        <w:rFonts w:ascii="Wingdings" w:hAnsi="Wingdings" w:hint="default"/>
      </w:rPr>
    </w:lvl>
    <w:lvl w:ilvl="6" w:tplc="8034EE2E" w:tentative="1">
      <w:start w:val="1"/>
      <w:numFmt w:val="bullet"/>
      <w:lvlText w:val=""/>
      <w:lvlJc w:val="left"/>
      <w:pPr>
        <w:ind w:left="5040" w:hanging="360"/>
      </w:pPr>
      <w:rPr>
        <w:rFonts w:ascii="Symbol" w:hAnsi="Symbol" w:hint="default"/>
      </w:rPr>
    </w:lvl>
    <w:lvl w:ilvl="7" w:tplc="DC821246" w:tentative="1">
      <w:start w:val="1"/>
      <w:numFmt w:val="bullet"/>
      <w:lvlText w:val="o"/>
      <w:lvlJc w:val="left"/>
      <w:pPr>
        <w:ind w:left="5760" w:hanging="360"/>
      </w:pPr>
      <w:rPr>
        <w:rFonts w:ascii="Courier New" w:hAnsi="Courier New" w:cs="Courier New" w:hint="default"/>
      </w:rPr>
    </w:lvl>
    <w:lvl w:ilvl="8" w:tplc="8F22961C" w:tentative="1">
      <w:start w:val="1"/>
      <w:numFmt w:val="bullet"/>
      <w:lvlText w:val=""/>
      <w:lvlJc w:val="left"/>
      <w:pPr>
        <w:ind w:left="6480" w:hanging="360"/>
      </w:pPr>
      <w:rPr>
        <w:rFonts w:ascii="Wingdings" w:hAnsi="Wingdings" w:hint="default"/>
      </w:rPr>
    </w:lvl>
  </w:abstractNum>
  <w:abstractNum w:abstractNumId="5" w15:restartNumberingAfterBreak="0">
    <w:nsid w:val="3B5A34E2"/>
    <w:multiLevelType w:val="hybridMultilevel"/>
    <w:tmpl w:val="C19E5E3A"/>
    <w:lvl w:ilvl="0" w:tplc="0658DC3A">
      <w:start w:val="5"/>
      <w:numFmt w:val="bullet"/>
      <w:lvlText w:val="-"/>
      <w:lvlJc w:val="left"/>
      <w:pPr>
        <w:ind w:left="720" w:hanging="360"/>
      </w:pPr>
      <w:rPr>
        <w:rFonts w:ascii="Arial" w:eastAsia="Times New Roman" w:hAnsi="Arial" w:cs="Arial" w:hint="default"/>
      </w:rPr>
    </w:lvl>
    <w:lvl w:ilvl="1" w:tplc="39BAE870" w:tentative="1">
      <w:start w:val="1"/>
      <w:numFmt w:val="bullet"/>
      <w:lvlText w:val="o"/>
      <w:lvlJc w:val="left"/>
      <w:pPr>
        <w:ind w:left="1440" w:hanging="360"/>
      </w:pPr>
      <w:rPr>
        <w:rFonts w:ascii="Courier New" w:hAnsi="Courier New" w:cs="Courier New" w:hint="default"/>
      </w:rPr>
    </w:lvl>
    <w:lvl w:ilvl="2" w:tplc="B19E76E2" w:tentative="1">
      <w:start w:val="1"/>
      <w:numFmt w:val="bullet"/>
      <w:lvlText w:val=""/>
      <w:lvlJc w:val="left"/>
      <w:pPr>
        <w:ind w:left="2160" w:hanging="360"/>
      </w:pPr>
      <w:rPr>
        <w:rFonts w:ascii="Wingdings" w:hAnsi="Wingdings" w:hint="default"/>
      </w:rPr>
    </w:lvl>
    <w:lvl w:ilvl="3" w:tplc="4A02965E" w:tentative="1">
      <w:start w:val="1"/>
      <w:numFmt w:val="bullet"/>
      <w:lvlText w:val=""/>
      <w:lvlJc w:val="left"/>
      <w:pPr>
        <w:ind w:left="2880" w:hanging="360"/>
      </w:pPr>
      <w:rPr>
        <w:rFonts w:ascii="Symbol" w:hAnsi="Symbol" w:hint="default"/>
      </w:rPr>
    </w:lvl>
    <w:lvl w:ilvl="4" w:tplc="23664ECA" w:tentative="1">
      <w:start w:val="1"/>
      <w:numFmt w:val="bullet"/>
      <w:lvlText w:val="o"/>
      <w:lvlJc w:val="left"/>
      <w:pPr>
        <w:ind w:left="3600" w:hanging="360"/>
      </w:pPr>
      <w:rPr>
        <w:rFonts w:ascii="Courier New" w:hAnsi="Courier New" w:cs="Courier New" w:hint="default"/>
      </w:rPr>
    </w:lvl>
    <w:lvl w:ilvl="5" w:tplc="FF981456" w:tentative="1">
      <w:start w:val="1"/>
      <w:numFmt w:val="bullet"/>
      <w:lvlText w:val=""/>
      <w:lvlJc w:val="left"/>
      <w:pPr>
        <w:ind w:left="4320" w:hanging="360"/>
      </w:pPr>
      <w:rPr>
        <w:rFonts w:ascii="Wingdings" w:hAnsi="Wingdings" w:hint="default"/>
      </w:rPr>
    </w:lvl>
    <w:lvl w:ilvl="6" w:tplc="9AFE80EE" w:tentative="1">
      <w:start w:val="1"/>
      <w:numFmt w:val="bullet"/>
      <w:lvlText w:val=""/>
      <w:lvlJc w:val="left"/>
      <w:pPr>
        <w:ind w:left="5040" w:hanging="360"/>
      </w:pPr>
      <w:rPr>
        <w:rFonts w:ascii="Symbol" w:hAnsi="Symbol" w:hint="default"/>
      </w:rPr>
    </w:lvl>
    <w:lvl w:ilvl="7" w:tplc="CC14D7AA" w:tentative="1">
      <w:start w:val="1"/>
      <w:numFmt w:val="bullet"/>
      <w:lvlText w:val="o"/>
      <w:lvlJc w:val="left"/>
      <w:pPr>
        <w:ind w:left="5760" w:hanging="360"/>
      </w:pPr>
      <w:rPr>
        <w:rFonts w:ascii="Courier New" w:hAnsi="Courier New" w:cs="Courier New" w:hint="default"/>
      </w:rPr>
    </w:lvl>
    <w:lvl w:ilvl="8" w:tplc="39A60F62" w:tentative="1">
      <w:start w:val="1"/>
      <w:numFmt w:val="bullet"/>
      <w:lvlText w:val=""/>
      <w:lvlJc w:val="left"/>
      <w:pPr>
        <w:ind w:left="6480" w:hanging="360"/>
      </w:pPr>
      <w:rPr>
        <w:rFonts w:ascii="Wingdings" w:hAnsi="Wingdings" w:hint="default"/>
      </w:rPr>
    </w:lvl>
  </w:abstractNum>
  <w:abstractNum w:abstractNumId="6" w15:restartNumberingAfterBreak="0">
    <w:nsid w:val="42527614"/>
    <w:multiLevelType w:val="hybridMultilevel"/>
    <w:tmpl w:val="74D0C46E"/>
    <w:lvl w:ilvl="0" w:tplc="DF4AABBA">
      <w:start w:val="1"/>
      <w:numFmt w:val="decimal"/>
      <w:pStyle w:val="Heading2"/>
      <w:lvlText w:val="%1."/>
      <w:lvlJc w:val="left"/>
      <w:pPr>
        <w:ind w:left="5760" w:hanging="360"/>
      </w:pPr>
    </w:lvl>
    <w:lvl w:ilvl="1" w:tplc="736EA632" w:tentative="1">
      <w:start w:val="1"/>
      <w:numFmt w:val="lowerLetter"/>
      <w:lvlText w:val="%2."/>
      <w:lvlJc w:val="left"/>
      <w:pPr>
        <w:ind w:left="6480" w:hanging="360"/>
      </w:pPr>
    </w:lvl>
    <w:lvl w:ilvl="2" w:tplc="4964F5C8" w:tentative="1">
      <w:start w:val="1"/>
      <w:numFmt w:val="lowerRoman"/>
      <w:lvlText w:val="%3."/>
      <w:lvlJc w:val="right"/>
      <w:pPr>
        <w:ind w:left="7200" w:hanging="180"/>
      </w:pPr>
    </w:lvl>
    <w:lvl w:ilvl="3" w:tplc="B5EA58C2" w:tentative="1">
      <w:start w:val="1"/>
      <w:numFmt w:val="decimal"/>
      <w:lvlText w:val="%4."/>
      <w:lvlJc w:val="left"/>
      <w:pPr>
        <w:ind w:left="7920" w:hanging="360"/>
      </w:pPr>
    </w:lvl>
    <w:lvl w:ilvl="4" w:tplc="7AACA374" w:tentative="1">
      <w:start w:val="1"/>
      <w:numFmt w:val="lowerLetter"/>
      <w:lvlText w:val="%5."/>
      <w:lvlJc w:val="left"/>
      <w:pPr>
        <w:ind w:left="8640" w:hanging="360"/>
      </w:pPr>
    </w:lvl>
    <w:lvl w:ilvl="5" w:tplc="21E80BCC" w:tentative="1">
      <w:start w:val="1"/>
      <w:numFmt w:val="lowerRoman"/>
      <w:lvlText w:val="%6."/>
      <w:lvlJc w:val="right"/>
      <w:pPr>
        <w:ind w:left="9360" w:hanging="180"/>
      </w:pPr>
    </w:lvl>
    <w:lvl w:ilvl="6" w:tplc="15A0FD30" w:tentative="1">
      <w:start w:val="1"/>
      <w:numFmt w:val="decimal"/>
      <w:lvlText w:val="%7."/>
      <w:lvlJc w:val="left"/>
      <w:pPr>
        <w:ind w:left="10080" w:hanging="360"/>
      </w:pPr>
    </w:lvl>
    <w:lvl w:ilvl="7" w:tplc="AB5C631E" w:tentative="1">
      <w:start w:val="1"/>
      <w:numFmt w:val="lowerLetter"/>
      <w:lvlText w:val="%8."/>
      <w:lvlJc w:val="left"/>
      <w:pPr>
        <w:ind w:left="10800" w:hanging="360"/>
      </w:pPr>
    </w:lvl>
    <w:lvl w:ilvl="8" w:tplc="D256D74C" w:tentative="1">
      <w:start w:val="1"/>
      <w:numFmt w:val="lowerRoman"/>
      <w:lvlText w:val="%9."/>
      <w:lvlJc w:val="right"/>
      <w:pPr>
        <w:ind w:left="11520" w:hanging="180"/>
      </w:pPr>
    </w:lvl>
  </w:abstractNum>
  <w:abstractNum w:abstractNumId="7" w15:restartNumberingAfterBreak="0">
    <w:nsid w:val="437D5737"/>
    <w:multiLevelType w:val="hybridMultilevel"/>
    <w:tmpl w:val="6158054C"/>
    <w:lvl w:ilvl="0" w:tplc="71D2EF8E">
      <w:start w:val="4"/>
      <w:numFmt w:val="bullet"/>
      <w:lvlText w:val="-"/>
      <w:lvlJc w:val="left"/>
      <w:pPr>
        <w:ind w:left="420" w:hanging="360"/>
      </w:pPr>
      <w:rPr>
        <w:rFonts w:ascii="Arial" w:eastAsia="Times New Roman" w:hAnsi="Arial" w:cs="Arial" w:hint="default"/>
      </w:rPr>
    </w:lvl>
    <w:lvl w:ilvl="1" w:tplc="BD32A63A" w:tentative="1">
      <w:start w:val="1"/>
      <w:numFmt w:val="bullet"/>
      <w:lvlText w:val="o"/>
      <w:lvlJc w:val="left"/>
      <w:pPr>
        <w:ind w:left="1140" w:hanging="360"/>
      </w:pPr>
      <w:rPr>
        <w:rFonts w:ascii="Courier New" w:hAnsi="Courier New" w:cs="Courier New" w:hint="default"/>
      </w:rPr>
    </w:lvl>
    <w:lvl w:ilvl="2" w:tplc="A80EA0B2" w:tentative="1">
      <w:start w:val="1"/>
      <w:numFmt w:val="bullet"/>
      <w:lvlText w:val=""/>
      <w:lvlJc w:val="left"/>
      <w:pPr>
        <w:ind w:left="1860" w:hanging="360"/>
      </w:pPr>
      <w:rPr>
        <w:rFonts w:ascii="Wingdings" w:hAnsi="Wingdings" w:hint="default"/>
      </w:rPr>
    </w:lvl>
    <w:lvl w:ilvl="3" w:tplc="41E8E81E" w:tentative="1">
      <w:start w:val="1"/>
      <w:numFmt w:val="bullet"/>
      <w:lvlText w:val=""/>
      <w:lvlJc w:val="left"/>
      <w:pPr>
        <w:ind w:left="2580" w:hanging="360"/>
      </w:pPr>
      <w:rPr>
        <w:rFonts w:ascii="Symbol" w:hAnsi="Symbol" w:hint="default"/>
      </w:rPr>
    </w:lvl>
    <w:lvl w:ilvl="4" w:tplc="7DB03B0E" w:tentative="1">
      <w:start w:val="1"/>
      <w:numFmt w:val="bullet"/>
      <w:lvlText w:val="o"/>
      <w:lvlJc w:val="left"/>
      <w:pPr>
        <w:ind w:left="3300" w:hanging="360"/>
      </w:pPr>
      <w:rPr>
        <w:rFonts w:ascii="Courier New" w:hAnsi="Courier New" w:cs="Courier New" w:hint="default"/>
      </w:rPr>
    </w:lvl>
    <w:lvl w:ilvl="5" w:tplc="FB0ED638" w:tentative="1">
      <w:start w:val="1"/>
      <w:numFmt w:val="bullet"/>
      <w:lvlText w:val=""/>
      <w:lvlJc w:val="left"/>
      <w:pPr>
        <w:ind w:left="4020" w:hanging="360"/>
      </w:pPr>
      <w:rPr>
        <w:rFonts w:ascii="Wingdings" w:hAnsi="Wingdings" w:hint="default"/>
      </w:rPr>
    </w:lvl>
    <w:lvl w:ilvl="6" w:tplc="A74EE3D0" w:tentative="1">
      <w:start w:val="1"/>
      <w:numFmt w:val="bullet"/>
      <w:lvlText w:val=""/>
      <w:lvlJc w:val="left"/>
      <w:pPr>
        <w:ind w:left="4740" w:hanging="360"/>
      </w:pPr>
      <w:rPr>
        <w:rFonts w:ascii="Symbol" w:hAnsi="Symbol" w:hint="default"/>
      </w:rPr>
    </w:lvl>
    <w:lvl w:ilvl="7" w:tplc="63C4F306" w:tentative="1">
      <w:start w:val="1"/>
      <w:numFmt w:val="bullet"/>
      <w:lvlText w:val="o"/>
      <w:lvlJc w:val="left"/>
      <w:pPr>
        <w:ind w:left="5460" w:hanging="360"/>
      </w:pPr>
      <w:rPr>
        <w:rFonts w:ascii="Courier New" w:hAnsi="Courier New" w:cs="Courier New" w:hint="default"/>
      </w:rPr>
    </w:lvl>
    <w:lvl w:ilvl="8" w:tplc="C958D8CE" w:tentative="1">
      <w:start w:val="1"/>
      <w:numFmt w:val="bullet"/>
      <w:lvlText w:val=""/>
      <w:lvlJc w:val="left"/>
      <w:pPr>
        <w:ind w:left="6180" w:hanging="360"/>
      </w:pPr>
      <w:rPr>
        <w:rFonts w:ascii="Wingdings" w:hAnsi="Wingdings" w:hint="default"/>
      </w:rPr>
    </w:lvl>
  </w:abstractNum>
  <w:abstractNum w:abstractNumId="8" w15:restartNumberingAfterBreak="0">
    <w:nsid w:val="465572C6"/>
    <w:multiLevelType w:val="hybridMultilevel"/>
    <w:tmpl w:val="E66A2990"/>
    <w:lvl w:ilvl="0" w:tplc="8F820F6E">
      <w:start w:val="1"/>
      <w:numFmt w:val="bullet"/>
      <w:lvlText w:val=""/>
      <w:lvlJc w:val="left"/>
      <w:pPr>
        <w:ind w:left="720" w:hanging="360"/>
      </w:pPr>
      <w:rPr>
        <w:rFonts w:ascii="Symbol" w:hAnsi="Symbol" w:hint="default"/>
      </w:rPr>
    </w:lvl>
    <w:lvl w:ilvl="1" w:tplc="64882638" w:tentative="1">
      <w:start w:val="1"/>
      <w:numFmt w:val="bullet"/>
      <w:lvlText w:val="o"/>
      <w:lvlJc w:val="left"/>
      <w:pPr>
        <w:ind w:left="1440" w:hanging="360"/>
      </w:pPr>
      <w:rPr>
        <w:rFonts w:ascii="Courier New" w:hAnsi="Courier New" w:hint="default"/>
      </w:rPr>
    </w:lvl>
    <w:lvl w:ilvl="2" w:tplc="7656663C" w:tentative="1">
      <w:start w:val="1"/>
      <w:numFmt w:val="bullet"/>
      <w:lvlText w:val=""/>
      <w:lvlJc w:val="left"/>
      <w:pPr>
        <w:ind w:left="2160" w:hanging="360"/>
      </w:pPr>
      <w:rPr>
        <w:rFonts w:ascii="Wingdings" w:hAnsi="Wingdings" w:hint="default"/>
      </w:rPr>
    </w:lvl>
    <w:lvl w:ilvl="3" w:tplc="88C0AFE8" w:tentative="1">
      <w:start w:val="1"/>
      <w:numFmt w:val="bullet"/>
      <w:lvlText w:val=""/>
      <w:lvlJc w:val="left"/>
      <w:pPr>
        <w:ind w:left="2880" w:hanging="360"/>
      </w:pPr>
      <w:rPr>
        <w:rFonts w:ascii="Symbol" w:hAnsi="Symbol" w:hint="default"/>
      </w:rPr>
    </w:lvl>
    <w:lvl w:ilvl="4" w:tplc="EB62B2B2" w:tentative="1">
      <w:start w:val="1"/>
      <w:numFmt w:val="bullet"/>
      <w:lvlText w:val="o"/>
      <w:lvlJc w:val="left"/>
      <w:pPr>
        <w:ind w:left="3600" w:hanging="360"/>
      </w:pPr>
      <w:rPr>
        <w:rFonts w:ascii="Courier New" w:hAnsi="Courier New" w:hint="default"/>
      </w:rPr>
    </w:lvl>
    <w:lvl w:ilvl="5" w:tplc="E0362FF8" w:tentative="1">
      <w:start w:val="1"/>
      <w:numFmt w:val="bullet"/>
      <w:lvlText w:val=""/>
      <w:lvlJc w:val="left"/>
      <w:pPr>
        <w:ind w:left="4320" w:hanging="360"/>
      </w:pPr>
      <w:rPr>
        <w:rFonts w:ascii="Wingdings" w:hAnsi="Wingdings" w:hint="default"/>
      </w:rPr>
    </w:lvl>
    <w:lvl w:ilvl="6" w:tplc="C5CCBFAE" w:tentative="1">
      <w:start w:val="1"/>
      <w:numFmt w:val="bullet"/>
      <w:lvlText w:val=""/>
      <w:lvlJc w:val="left"/>
      <w:pPr>
        <w:ind w:left="5040" w:hanging="360"/>
      </w:pPr>
      <w:rPr>
        <w:rFonts w:ascii="Symbol" w:hAnsi="Symbol" w:hint="default"/>
      </w:rPr>
    </w:lvl>
    <w:lvl w:ilvl="7" w:tplc="EE3AB198" w:tentative="1">
      <w:start w:val="1"/>
      <w:numFmt w:val="bullet"/>
      <w:lvlText w:val="o"/>
      <w:lvlJc w:val="left"/>
      <w:pPr>
        <w:ind w:left="5760" w:hanging="360"/>
      </w:pPr>
      <w:rPr>
        <w:rFonts w:ascii="Courier New" w:hAnsi="Courier New" w:hint="default"/>
      </w:rPr>
    </w:lvl>
    <w:lvl w:ilvl="8" w:tplc="832E0674" w:tentative="1">
      <w:start w:val="1"/>
      <w:numFmt w:val="bullet"/>
      <w:lvlText w:val=""/>
      <w:lvlJc w:val="left"/>
      <w:pPr>
        <w:ind w:left="6480" w:hanging="360"/>
      </w:pPr>
      <w:rPr>
        <w:rFonts w:ascii="Wingdings" w:hAnsi="Wingdings" w:hint="default"/>
      </w:rPr>
    </w:lvl>
  </w:abstractNum>
  <w:abstractNum w:abstractNumId="9" w15:restartNumberingAfterBreak="0">
    <w:nsid w:val="488C5EA8"/>
    <w:multiLevelType w:val="hybridMultilevel"/>
    <w:tmpl w:val="C2F6EC74"/>
    <w:lvl w:ilvl="0" w:tplc="0C6CCF50">
      <w:start w:val="3"/>
      <w:numFmt w:val="bullet"/>
      <w:lvlText w:val="-"/>
      <w:lvlJc w:val="left"/>
      <w:pPr>
        <w:ind w:left="720" w:hanging="360"/>
      </w:pPr>
      <w:rPr>
        <w:rFonts w:ascii="Arial" w:eastAsia="Times New Roman" w:hAnsi="Arial" w:cs="Arial" w:hint="default"/>
      </w:rPr>
    </w:lvl>
    <w:lvl w:ilvl="1" w:tplc="BFB290FE" w:tentative="1">
      <w:start w:val="1"/>
      <w:numFmt w:val="bullet"/>
      <w:lvlText w:val="o"/>
      <w:lvlJc w:val="left"/>
      <w:pPr>
        <w:ind w:left="1440" w:hanging="360"/>
      </w:pPr>
      <w:rPr>
        <w:rFonts w:ascii="Courier New" w:hAnsi="Courier New" w:cs="Courier New" w:hint="default"/>
      </w:rPr>
    </w:lvl>
    <w:lvl w:ilvl="2" w:tplc="E8FC8FF0" w:tentative="1">
      <w:start w:val="1"/>
      <w:numFmt w:val="bullet"/>
      <w:lvlText w:val=""/>
      <w:lvlJc w:val="left"/>
      <w:pPr>
        <w:ind w:left="2160" w:hanging="360"/>
      </w:pPr>
      <w:rPr>
        <w:rFonts w:ascii="Wingdings" w:hAnsi="Wingdings" w:hint="default"/>
      </w:rPr>
    </w:lvl>
    <w:lvl w:ilvl="3" w:tplc="7A989CA2" w:tentative="1">
      <w:start w:val="1"/>
      <w:numFmt w:val="bullet"/>
      <w:lvlText w:val=""/>
      <w:lvlJc w:val="left"/>
      <w:pPr>
        <w:ind w:left="2880" w:hanging="360"/>
      </w:pPr>
      <w:rPr>
        <w:rFonts w:ascii="Symbol" w:hAnsi="Symbol" w:hint="default"/>
      </w:rPr>
    </w:lvl>
    <w:lvl w:ilvl="4" w:tplc="A336FAB2" w:tentative="1">
      <w:start w:val="1"/>
      <w:numFmt w:val="bullet"/>
      <w:lvlText w:val="o"/>
      <w:lvlJc w:val="left"/>
      <w:pPr>
        <w:ind w:left="3600" w:hanging="360"/>
      </w:pPr>
      <w:rPr>
        <w:rFonts w:ascii="Courier New" w:hAnsi="Courier New" w:cs="Courier New" w:hint="default"/>
      </w:rPr>
    </w:lvl>
    <w:lvl w:ilvl="5" w:tplc="09C88C50" w:tentative="1">
      <w:start w:val="1"/>
      <w:numFmt w:val="bullet"/>
      <w:lvlText w:val=""/>
      <w:lvlJc w:val="left"/>
      <w:pPr>
        <w:ind w:left="4320" w:hanging="360"/>
      </w:pPr>
      <w:rPr>
        <w:rFonts w:ascii="Wingdings" w:hAnsi="Wingdings" w:hint="default"/>
      </w:rPr>
    </w:lvl>
    <w:lvl w:ilvl="6" w:tplc="4AFAD8E0" w:tentative="1">
      <w:start w:val="1"/>
      <w:numFmt w:val="bullet"/>
      <w:lvlText w:val=""/>
      <w:lvlJc w:val="left"/>
      <w:pPr>
        <w:ind w:left="5040" w:hanging="360"/>
      </w:pPr>
      <w:rPr>
        <w:rFonts w:ascii="Symbol" w:hAnsi="Symbol" w:hint="default"/>
      </w:rPr>
    </w:lvl>
    <w:lvl w:ilvl="7" w:tplc="80FE1C18" w:tentative="1">
      <w:start w:val="1"/>
      <w:numFmt w:val="bullet"/>
      <w:lvlText w:val="o"/>
      <w:lvlJc w:val="left"/>
      <w:pPr>
        <w:ind w:left="5760" w:hanging="360"/>
      </w:pPr>
      <w:rPr>
        <w:rFonts w:ascii="Courier New" w:hAnsi="Courier New" w:cs="Courier New" w:hint="default"/>
      </w:rPr>
    </w:lvl>
    <w:lvl w:ilvl="8" w:tplc="16A87D36" w:tentative="1">
      <w:start w:val="1"/>
      <w:numFmt w:val="bullet"/>
      <w:lvlText w:val=""/>
      <w:lvlJc w:val="left"/>
      <w:pPr>
        <w:ind w:left="6480" w:hanging="360"/>
      </w:pPr>
      <w:rPr>
        <w:rFonts w:ascii="Wingdings" w:hAnsi="Wingdings" w:hint="default"/>
      </w:rPr>
    </w:lvl>
  </w:abstractNum>
  <w:abstractNum w:abstractNumId="10" w15:restartNumberingAfterBreak="0">
    <w:nsid w:val="4A0267FA"/>
    <w:multiLevelType w:val="hybridMultilevel"/>
    <w:tmpl w:val="D2F472FA"/>
    <w:lvl w:ilvl="0" w:tplc="7F069EE2">
      <w:start w:val="3"/>
      <w:numFmt w:val="bullet"/>
      <w:pStyle w:val="ListParagraph"/>
      <w:lvlText w:val="-"/>
      <w:lvlJc w:val="left"/>
      <w:pPr>
        <w:ind w:left="720" w:hanging="360"/>
      </w:pPr>
      <w:rPr>
        <w:rFonts w:ascii="Arial" w:eastAsia="Times New Roman" w:hAnsi="Arial" w:cs="Arial" w:hint="default"/>
      </w:rPr>
    </w:lvl>
    <w:lvl w:ilvl="1" w:tplc="F46EC7DE" w:tentative="1">
      <w:start w:val="1"/>
      <w:numFmt w:val="bullet"/>
      <w:lvlText w:val="o"/>
      <w:lvlJc w:val="left"/>
      <w:pPr>
        <w:ind w:left="1440" w:hanging="360"/>
      </w:pPr>
      <w:rPr>
        <w:rFonts w:ascii="Courier New" w:hAnsi="Courier New" w:cs="Courier New" w:hint="default"/>
      </w:rPr>
    </w:lvl>
    <w:lvl w:ilvl="2" w:tplc="40F43808" w:tentative="1">
      <w:start w:val="1"/>
      <w:numFmt w:val="bullet"/>
      <w:lvlText w:val=""/>
      <w:lvlJc w:val="left"/>
      <w:pPr>
        <w:ind w:left="2160" w:hanging="360"/>
      </w:pPr>
      <w:rPr>
        <w:rFonts w:ascii="Wingdings" w:hAnsi="Wingdings" w:hint="default"/>
      </w:rPr>
    </w:lvl>
    <w:lvl w:ilvl="3" w:tplc="122A39FA" w:tentative="1">
      <w:start w:val="1"/>
      <w:numFmt w:val="bullet"/>
      <w:lvlText w:val=""/>
      <w:lvlJc w:val="left"/>
      <w:pPr>
        <w:ind w:left="2880" w:hanging="360"/>
      </w:pPr>
      <w:rPr>
        <w:rFonts w:ascii="Symbol" w:hAnsi="Symbol" w:hint="default"/>
      </w:rPr>
    </w:lvl>
    <w:lvl w:ilvl="4" w:tplc="BC0A70B4" w:tentative="1">
      <w:start w:val="1"/>
      <w:numFmt w:val="bullet"/>
      <w:lvlText w:val="o"/>
      <w:lvlJc w:val="left"/>
      <w:pPr>
        <w:ind w:left="3600" w:hanging="360"/>
      </w:pPr>
      <w:rPr>
        <w:rFonts w:ascii="Courier New" w:hAnsi="Courier New" w:cs="Courier New" w:hint="default"/>
      </w:rPr>
    </w:lvl>
    <w:lvl w:ilvl="5" w:tplc="19D6A0F4" w:tentative="1">
      <w:start w:val="1"/>
      <w:numFmt w:val="bullet"/>
      <w:lvlText w:val=""/>
      <w:lvlJc w:val="left"/>
      <w:pPr>
        <w:ind w:left="4320" w:hanging="360"/>
      </w:pPr>
      <w:rPr>
        <w:rFonts w:ascii="Wingdings" w:hAnsi="Wingdings" w:hint="default"/>
      </w:rPr>
    </w:lvl>
    <w:lvl w:ilvl="6" w:tplc="3AF2CE7C" w:tentative="1">
      <w:start w:val="1"/>
      <w:numFmt w:val="bullet"/>
      <w:lvlText w:val=""/>
      <w:lvlJc w:val="left"/>
      <w:pPr>
        <w:ind w:left="5040" w:hanging="360"/>
      </w:pPr>
      <w:rPr>
        <w:rFonts w:ascii="Symbol" w:hAnsi="Symbol" w:hint="default"/>
      </w:rPr>
    </w:lvl>
    <w:lvl w:ilvl="7" w:tplc="E196E234" w:tentative="1">
      <w:start w:val="1"/>
      <w:numFmt w:val="bullet"/>
      <w:lvlText w:val="o"/>
      <w:lvlJc w:val="left"/>
      <w:pPr>
        <w:ind w:left="5760" w:hanging="360"/>
      </w:pPr>
      <w:rPr>
        <w:rFonts w:ascii="Courier New" w:hAnsi="Courier New" w:cs="Courier New" w:hint="default"/>
      </w:rPr>
    </w:lvl>
    <w:lvl w:ilvl="8" w:tplc="795E9A22" w:tentative="1">
      <w:start w:val="1"/>
      <w:numFmt w:val="bullet"/>
      <w:lvlText w:val=""/>
      <w:lvlJc w:val="left"/>
      <w:pPr>
        <w:ind w:left="6480" w:hanging="360"/>
      </w:pPr>
      <w:rPr>
        <w:rFonts w:ascii="Wingdings" w:hAnsi="Wingdings" w:hint="default"/>
      </w:rPr>
    </w:lvl>
  </w:abstractNum>
  <w:abstractNum w:abstractNumId="11" w15:restartNumberingAfterBreak="0">
    <w:nsid w:val="55E86B53"/>
    <w:multiLevelType w:val="hybridMultilevel"/>
    <w:tmpl w:val="36EC85A0"/>
    <w:lvl w:ilvl="0" w:tplc="F926DCBE">
      <w:start w:val="1"/>
      <w:numFmt w:val="decimal"/>
      <w:lvlText w:val="%1."/>
      <w:lvlJc w:val="left"/>
      <w:pPr>
        <w:ind w:left="720" w:hanging="360"/>
      </w:pPr>
    </w:lvl>
    <w:lvl w:ilvl="1" w:tplc="DDD60F80" w:tentative="1">
      <w:start w:val="1"/>
      <w:numFmt w:val="lowerLetter"/>
      <w:lvlText w:val="%2."/>
      <w:lvlJc w:val="left"/>
      <w:pPr>
        <w:ind w:left="1440" w:hanging="360"/>
      </w:pPr>
    </w:lvl>
    <w:lvl w:ilvl="2" w:tplc="238AED38" w:tentative="1">
      <w:start w:val="1"/>
      <w:numFmt w:val="lowerRoman"/>
      <w:lvlText w:val="%3."/>
      <w:lvlJc w:val="right"/>
      <w:pPr>
        <w:ind w:left="2160" w:hanging="180"/>
      </w:pPr>
    </w:lvl>
    <w:lvl w:ilvl="3" w:tplc="2DBCD978" w:tentative="1">
      <w:start w:val="1"/>
      <w:numFmt w:val="decimal"/>
      <w:lvlText w:val="%4."/>
      <w:lvlJc w:val="left"/>
      <w:pPr>
        <w:ind w:left="2880" w:hanging="360"/>
      </w:pPr>
    </w:lvl>
    <w:lvl w:ilvl="4" w:tplc="615ED370" w:tentative="1">
      <w:start w:val="1"/>
      <w:numFmt w:val="lowerLetter"/>
      <w:lvlText w:val="%5."/>
      <w:lvlJc w:val="left"/>
      <w:pPr>
        <w:ind w:left="3600" w:hanging="360"/>
      </w:pPr>
    </w:lvl>
    <w:lvl w:ilvl="5" w:tplc="1284B744" w:tentative="1">
      <w:start w:val="1"/>
      <w:numFmt w:val="lowerRoman"/>
      <w:lvlText w:val="%6."/>
      <w:lvlJc w:val="right"/>
      <w:pPr>
        <w:ind w:left="4320" w:hanging="180"/>
      </w:pPr>
    </w:lvl>
    <w:lvl w:ilvl="6" w:tplc="2E70FD9A" w:tentative="1">
      <w:start w:val="1"/>
      <w:numFmt w:val="decimal"/>
      <w:lvlText w:val="%7."/>
      <w:lvlJc w:val="left"/>
      <w:pPr>
        <w:ind w:left="5040" w:hanging="360"/>
      </w:pPr>
    </w:lvl>
    <w:lvl w:ilvl="7" w:tplc="AADA2138" w:tentative="1">
      <w:start w:val="1"/>
      <w:numFmt w:val="lowerLetter"/>
      <w:lvlText w:val="%8."/>
      <w:lvlJc w:val="left"/>
      <w:pPr>
        <w:ind w:left="5760" w:hanging="360"/>
      </w:pPr>
    </w:lvl>
    <w:lvl w:ilvl="8" w:tplc="ABF8D066" w:tentative="1">
      <w:start w:val="1"/>
      <w:numFmt w:val="lowerRoman"/>
      <w:lvlText w:val="%9."/>
      <w:lvlJc w:val="right"/>
      <w:pPr>
        <w:ind w:left="6480" w:hanging="180"/>
      </w:pPr>
    </w:lvl>
  </w:abstractNum>
  <w:abstractNum w:abstractNumId="12" w15:restartNumberingAfterBreak="0">
    <w:nsid w:val="5CBB41E9"/>
    <w:multiLevelType w:val="hybridMultilevel"/>
    <w:tmpl w:val="8BAA73A0"/>
    <w:lvl w:ilvl="0" w:tplc="E1A03AC4">
      <w:start w:val="1"/>
      <w:numFmt w:val="bullet"/>
      <w:lvlText w:val=""/>
      <w:lvlJc w:val="left"/>
      <w:pPr>
        <w:ind w:left="720" w:hanging="360"/>
      </w:pPr>
      <w:rPr>
        <w:rFonts w:ascii="Symbol" w:hAnsi="Symbol" w:hint="default"/>
      </w:rPr>
    </w:lvl>
    <w:lvl w:ilvl="1" w:tplc="CC4E8AC6" w:tentative="1">
      <w:start w:val="1"/>
      <w:numFmt w:val="lowerLetter"/>
      <w:lvlText w:val="%2."/>
      <w:lvlJc w:val="left"/>
      <w:pPr>
        <w:ind w:left="1440" w:hanging="360"/>
      </w:pPr>
    </w:lvl>
    <w:lvl w:ilvl="2" w:tplc="628C05D4" w:tentative="1">
      <w:start w:val="1"/>
      <w:numFmt w:val="lowerRoman"/>
      <w:lvlText w:val="%3."/>
      <w:lvlJc w:val="right"/>
      <w:pPr>
        <w:ind w:left="2160" w:hanging="180"/>
      </w:pPr>
    </w:lvl>
    <w:lvl w:ilvl="3" w:tplc="14C8BDD2" w:tentative="1">
      <w:start w:val="1"/>
      <w:numFmt w:val="decimal"/>
      <w:lvlText w:val="%4."/>
      <w:lvlJc w:val="left"/>
      <w:pPr>
        <w:ind w:left="2880" w:hanging="360"/>
      </w:pPr>
    </w:lvl>
    <w:lvl w:ilvl="4" w:tplc="9FA4CD10" w:tentative="1">
      <w:start w:val="1"/>
      <w:numFmt w:val="lowerLetter"/>
      <w:lvlText w:val="%5."/>
      <w:lvlJc w:val="left"/>
      <w:pPr>
        <w:ind w:left="3600" w:hanging="360"/>
      </w:pPr>
    </w:lvl>
    <w:lvl w:ilvl="5" w:tplc="956E365C" w:tentative="1">
      <w:start w:val="1"/>
      <w:numFmt w:val="lowerRoman"/>
      <w:lvlText w:val="%6."/>
      <w:lvlJc w:val="right"/>
      <w:pPr>
        <w:ind w:left="4320" w:hanging="180"/>
      </w:pPr>
    </w:lvl>
    <w:lvl w:ilvl="6" w:tplc="E11EBA3E" w:tentative="1">
      <w:start w:val="1"/>
      <w:numFmt w:val="decimal"/>
      <w:lvlText w:val="%7."/>
      <w:lvlJc w:val="left"/>
      <w:pPr>
        <w:ind w:left="5040" w:hanging="360"/>
      </w:pPr>
    </w:lvl>
    <w:lvl w:ilvl="7" w:tplc="89A027AA" w:tentative="1">
      <w:start w:val="1"/>
      <w:numFmt w:val="lowerLetter"/>
      <w:lvlText w:val="%8."/>
      <w:lvlJc w:val="left"/>
      <w:pPr>
        <w:ind w:left="5760" w:hanging="360"/>
      </w:pPr>
    </w:lvl>
    <w:lvl w:ilvl="8" w:tplc="0A3C077C" w:tentative="1">
      <w:start w:val="1"/>
      <w:numFmt w:val="lowerRoman"/>
      <w:lvlText w:val="%9."/>
      <w:lvlJc w:val="right"/>
      <w:pPr>
        <w:ind w:left="6480" w:hanging="180"/>
      </w:pPr>
    </w:lvl>
  </w:abstractNum>
  <w:abstractNum w:abstractNumId="13" w15:restartNumberingAfterBreak="0">
    <w:nsid w:val="787E41E8"/>
    <w:multiLevelType w:val="hybridMultilevel"/>
    <w:tmpl w:val="5BBEDE86"/>
    <w:lvl w:ilvl="0" w:tplc="A10CC36C">
      <w:start w:val="1"/>
      <w:numFmt w:val="decimal"/>
      <w:lvlText w:val="%1."/>
      <w:lvlJc w:val="left"/>
      <w:pPr>
        <w:ind w:left="4680" w:hanging="360"/>
      </w:pPr>
    </w:lvl>
    <w:lvl w:ilvl="1" w:tplc="999EDE9C" w:tentative="1">
      <w:start w:val="1"/>
      <w:numFmt w:val="lowerLetter"/>
      <w:lvlText w:val="%2."/>
      <w:lvlJc w:val="left"/>
      <w:pPr>
        <w:ind w:left="5400" w:hanging="360"/>
      </w:pPr>
    </w:lvl>
    <w:lvl w:ilvl="2" w:tplc="C75E1C72" w:tentative="1">
      <w:start w:val="1"/>
      <w:numFmt w:val="lowerRoman"/>
      <w:lvlText w:val="%3."/>
      <w:lvlJc w:val="right"/>
      <w:pPr>
        <w:ind w:left="6120" w:hanging="180"/>
      </w:pPr>
    </w:lvl>
    <w:lvl w:ilvl="3" w:tplc="CAC23088" w:tentative="1">
      <w:start w:val="1"/>
      <w:numFmt w:val="decimal"/>
      <w:lvlText w:val="%4."/>
      <w:lvlJc w:val="left"/>
      <w:pPr>
        <w:ind w:left="6840" w:hanging="360"/>
      </w:pPr>
    </w:lvl>
    <w:lvl w:ilvl="4" w:tplc="1A42B460" w:tentative="1">
      <w:start w:val="1"/>
      <w:numFmt w:val="lowerLetter"/>
      <w:lvlText w:val="%5."/>
      <w:lvlJc w:val="left"/>
      <w:pPr>
        <w:ind w:left="7560" w:hanging="360"/>
      </w:pPr>
    </w:lvl>
    <w:lvl w:ilvl="5" w:tplc="58761FCA" w:tentative="1">
      <w:start w:val="1"/>
      <w:numFmt w:val="lowerRoman"/>
      <w:lvlText w:val="%6."/>
      <w:lvlJc w:val="right"/>
      <w:pPr>
        <w:ind w:left="8280" w:hanging="180"/>
      </w:pPr>
    </w:lvl>
    <w:lvl w:ilvl="6" w:tplc="D7C2CBA0" w:tentative="1">
      <w:start w:val="1"/>
      <w:numFmt w:val="decimal"/>
      <w:lvlText w:val="%7."/>
      <w:lvlJc w:val="left"/>
      <w:pPr>
        <w:ind w:left="9000" w:hanging="360"/>
      </w:pPr>
    </w:lvl>
    <w:lvl w:ilvl="7" w:tplc="3FF61C2A" w:tentative="1">
      <w:start w:val="1"/>
      <w:numFmt w:val="lowerLetter"/>
      <w:lvlText w:val="%8."/>
      <w:lvlJc w:val="left"/>
      <w:pPr>
        <w:ind w:left="9720" w:hanging="360"/>
      </w:pPr>
    </w:lvl>
    <w:lvl w:ilvl="8" w:tplc="C69C0A70" w:tentative="1">
      <w:start w:val="1"/>
      <w:numFmt w:val="lowerRoman"/>
      <w:lvlText w:val="%9."/>
      <w:lvlJc w:val="right"/>
      <w:pPr>
        <w:ind w:left="10440" w:hanging="180"/>
      </w:pPr>
    </w:lvl>
  </w:abstractNum>
  <w:num w:numId="1">
    <w:abstractNumId w:val="3"/>
  </w:num>
  <w:num w:numId="2">
    <w:abstractNumId w:val="6"/>
  </w:num>
  <w:num w:numId="3">
    <w:abstractNumId w:val="13"/>
  </w:num>
  <w:num w:numId="4">
    <w:abstractNumId w:val="8"/>
  </w:num>
  <w:num w:numId="5">
    <w:abstractNumId w:val="9"/>
  </w:num>
  <w:num w:numId="6">
    <w:abstractNumId w:val="5"/>
  </w:num>
  <w:num w:numId="7">
    <w:abstractNumId w:val="10"/>
  </w:num>
  <w:num w:numId="8">
    <w:abstractNumId w:val="11"/>
  </w:num>
  <w:num w:numId="9">
    <w:abstractNumId w:val="7"/>
  </w:num>
  <w:num w:numId="10">
    <w:abstractNumId w:val="0"/>
  </w:num>
  <w:num w:numId="11">
    <w:abstractNumId w:val="4"/>
  </w:num>
  <w:num w:numId="12">
    <w:abstractNumId w:val="2"/>
  </w:num>
  <w:num w:numId="13">
    <w:abstractNumId w:val="1"/>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9"/>
  <w:removePersonalInformation/>
  <w:removeDateAndTime/>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InternalQPulse_CurrentDateTime" w:val="19/03/2020 17:54:31"/>
    <w:docVar w:name="InternalQPulse_CurrentUserName" w:val="Document Management Process Owner,  "/>
    <w:docVar w:name="InternalQPulse_DatabaseAlias" w:val="Default"/>
    <w:docVar w:name="InternalQPulse_DocActiveDate" w:val="22/07/2019"/>
    <w:docVar w:name="InternalQPulse_DocAuthor" w:val="Information Security Manager,  "/>
    <w:docVar w:name="InternalQPulse_DocChangeDetails" w:val="Updates to reflect use of JIRA for managing TRE projects following migration of TRE PRoeject data from Q-Pulse"/>
    <w:docVar w:name="InternalQPulse_DocNumber" w:val="SOP-03-08"/>
    <w:docVar w:name="InternalQPulse_DocOwner" w:val="Information Security Manager,  "/>
    <w:docVar w:name="InternalQPulse_DocReviewDate" w:val="22/07/2021"/>
    <w:docVar w:name="InternalQPulse_DocRevisionNumber" w:val="3.0"/>
    <w:docVar w:name="InternalQPulse_DocStatus" w:val="Active"/>
    <w:docVar w:name="InternalQPulse_DocTitle" w:val="TRE Change Control"/>
    <w:docVar w:name="InternalQPulse_DocType" w:val="ISMS\SOP\TRE Operations - SOP"/>
    <w:docVar w:name="InternalQPulse_LanguageID" w:val="0"/>
    <w:docVar w:name="QPulse_CurrentDateTime" w:val="19/03/2020 17:54:31"/>
    <w:docVar w:name="QPulse_CurrentUserName" w:val="Document Management Process Owner,  "/>
    <w:docVar w:name="QPulse_DatabaseAlias" w:val="Default"/>
    <w:docVar w:name="QPulse_DocActiveDate" w:val="22/07/2019"/>
    <w:docVar w:name="QPulse_DocAuthor" w:val="Information Security Manager,  "/>
    <w:docVar w:name="QPulse_DocChangeDetails" w:val="Updates to reflect use of JIRA for managing TRE projects following migration of TRE PRoeject data from Q-Pulse"/>
    <w:docVar w:name="QPulse_DocLastReviewDate" w:val="&lt;QPulse_DocLastReviewDate&gt;"/>
    <w:docVar w:name="QPulse_DocLastReviewDetails" w:val="&lt;QPulse_DocLastReviewDetails&gt;"/>
    <w:docVar w:name="QPulse_DocLastReviewOwner" w:val="&lt;QPulse_DocLastReviewOwner&gt;"/>
    <w:docVar w:name="QPulse_DocNumber" w:val="SOP-03-08"/>
    <w:docVar w:name="QPulse_DocOwner" w:val="Information Security Manager,  "/>
    <w:docVar w:name="QPulse_DocReviewDate" w:val="22/07/2021"/>
    <w:docVar w:name="QPulse_DocRevisionNumber" w:val="3.0"/>
    <w:docVar w:name="QPulse_DocStatus" w:val="Active"/>
    <w:docVar w:name="QPulse_DocTitle" w:val="TRE Change Control"/>
    <w:docVar w:name="QPulse_DocType" w:val="ISMS\SOP\TRE Operations - SOP"/>
    <w:docVar w:name="QPulseSys_IsBacchusDocument" w:val="true"/>
    <w:docVar w:name="QPulseSys_IsDocBeingEdited" w:val="False"/>
    <w:docVar w:name="QPulseSys_SecProtectDocEnableCopy" w:val="True"/>
    <w:docVar w:name="QPulseSys_SecProtectDocEnableEdit" w:val="True"/>
    <w:docVar w:name="QPulseSys_SecProtectDocEnablePrint" w:val="True"/>
    <w:docVar w:name="QPulseSys_SecProtectDocEnablePrintPreview" w:val="True"/>
    <w:docVar w:name="QPulseSys_SecProtectDocEnablePublish" w:val="True"/>
    <w:docVar w:name="QPulseSys_SecProtectDocEnableSaveAs" w:val="True"/>
    <w:docVar w:name="QPulseSys_SecProtectDocEnableSend" w:val="True"/>
    <w:docVar w:name="QPulseSys_SecProtectDocProtectPublish" w:val="False"/>
    <w:docVar w:name="QPulseSys_SecProtectDocProtectSave" w:val="False"/>
    <w:docVar w:name="QPulseSys_SecProtectDocProtectSend" w:val="False"/>
    <w:docVar w:name="QPulseSys_SecProtectDocUseStrongPassword" w:val="True"/>
    <w:docVar w:name="QPulseSys_SessionID" w:val="7a88278f-e751-494e-916f-b72a1b0aa5b9"/>
  </w:docVars>
  <w:rsids>
    <w:rsidRoot w:val="006A53EF"/>
    <w:rsid w:val="00452924"/>
    <w:rsid w:val="006A53EF"/>
    <w:rsid w:val="008B14D0"/>
    <w:rsid w:val="00B84E59"/>
    <w:rsid w:val="00E26AAD"/>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heme="minorHAnsi" w:hAnsi="Calibri" w:cs="Arial"/>
        <w:sz w:val="22"/>
        <w:szCs w:val="24"/>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4C28"/>
    <w:pPr>
      <w:spacing w:after="0" w:line="240" w:lineRule="auto"/>
    </w:pPr>
  </w:style>
  <w:style w:type="paragraph" w:styleId="Heading1">
    <w:name w:val="heading 1"/>
    <w:basedOn w:val="Normal"/>
    <w:next w:val="Normal"/>
    <w:link w:val="Heading1Char"/>
    <w:uiPriority w:val="9"/>
    <w:rsid w:val="003B61FF"/>
    <w:pPr>
      <w:keepNext/>
      <w:keepLines/>
      <w:spacing w:before="480"/>
      <w:outlineLvl w:val="0"/>
    </w:pPr>
    <w:rPr>
      <w:rFonts w:eastAsiaTheme="majorEastAsia" w:cstheme="majorBidi"/>
      <w:b/>
      <w:bCs/>
      <w:szCs w:val="28"/>
    </w:rPr>
  </w:style>
  <w:style w:type="paragraph" w:styleId="Heading2">
    <w:name w:val="heading 2"/>
    <w:basedOn w:val="Heading1"/>
    <w:next w:val="Normal"/>
    <w:link w:val="Heading2Char"/>
    <w:uiPriority w:val="9"/>
    <w:unhideWhenUsed/>
    <w:rsid w:val="002A521A"/>
    <w:pPr>
      <w:numPr>
        <w:numId w:val="2"/>
      </w:numPr>
      <w:spacing w:before="200"/>
      <w:ind w:left="357" w:hanging="357"/>
      <w:outlineLvl w:val="1"/>
    </w:pPr>
    <w:rPr>
      <w:bCs w:val="0"/>
      <w:szCs w:val="26"/>
    </w:rPr>
  </w:style>
  <w:style w:type="paragraph" w:styleId="Heading3">
    <w:name w:val="heading 3"/>
    <w:basedOn w:val="Normal"/>
    <w:next w:val="Normal"/>
    <w:link w:val="Heading3Char"/>
    <w:uiPriority w:val="9"/>
    <w:semiHidden/>
    <w:unhideWhenUsed/>
    <w:rsid w:val="00E14231"/>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40C7"/>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61FF"/>
    <w:rPr>
      <w:rFonts w:ascii="Arial" w:eastAsiaTheme="majorEastAsia" w:hAnsi="Arial" w:cstheme="majorBidi"/>
      <w:b/>
      <w:bCs/>
      <w:sz w:val="24"/>
      <w:szCs w:val="28"/>
    </w:rPr>
  </w:style>
  <w:style w:type="character" w:customStyle="1" w:styleId="Heading2Char">
    <w:name w:val="Heading 2 Char"/>
    <w:basedOn w:val="DefaultParagraphFont"/>
    <w:link w:val="Heading2"/>
    <w:uiPriority w:val="9"/>
    <w:rsid w:val="002A521A"/>
    <w:rPr>
      <w:rFonts w:ascii="Arial" w:eastAsiaTheme="majorEastAsia" w:hAnsi="Arial" w:cstheme="majorBidi"/>
      <w:b/>
      <w:sz w:val="24"/>
      <w:szCs w:val="26"/>
    </w:rPr>
  </w:style>
  <w:style w:type="paragraph" w:styleId="ListParagraph">
    <w:name w:val="List Paragraph"/>
    <w:basedOn w:val="Normal"/>
    <w:uiPriority w:val="99"/>
    <w:qFormat/>
    <w:rsid w:val="00F61922"/>
    <w:pPr>
      <w:numPr>
        <w:numId w:val="7"/>
      </w:numPr>
      <w:contextualSpacing/>
    </w:pPr>
  </w:style>
  <w:style w:type="paragraph" w:customStyle="1" w:styleId="ISMSHeading2">
    <w:name w:val="ISMS Heading 2"/>
    <w:basedOn w:val="Heading1"/>
    <w:next w:val="ISMSNormal"/>
    <w:link w:val="ISMSHeading2Char"/>
    <w:qFormat/>
    <w:rsid w:val="00D237B2"/>
    <w:pPr>
      <w:numPr>
        <w:ilvl w:val="1"/>
        <w:numId w:val="1"/>
      </w:numPr>
      <w:spacing w:before="120" w:after="120"/>
      <w:ind w:left="510" w:hanging="510"/>
    </w:pPr>
  </w:style>
  <w:style w:type="paragraph" w:customStyle="1" w:styleId="ISMSHeading1">
    <w:name w:val="ISMS Heading 1"/>
    <w:basedOn w:val="Heading1"/>
    <w:next w:val="ISMSNormal"/>
    <w:link w:val="ISMSHeading1Char"/>
    <w:qFormat/>
    <w:rsid w:val="008C17CD"/>
    <w:pPr>
      <w:numPr>
        <w:numId w:val="1"/>
      </w:numPr>
      <w:spacing w:before="120" w:after="120"/>
      <w:ind w:left="357" w:hanging="357"/>
    </w:pPr>
  </w:style>
  <w:style w:type="character" w:customStyle="1" w:styleId="ISMSHeading2Char">
    <w:name w:val="ISMS Heading 2 Char"/>
    <w:basedOn w:val="Heading1Char"/>
    <w:link w:val="ISMSHeading2"/>
    <w:rsid w:val="00D237B2"/>
    <w:rPr>
      <w:rFonts w:ascii="Arial" w:eastAsiaTheme="majorEastAsia" w:hAnsi="Arial" w:cstheme="majorBidi"/>
      <w:b/>
      <w:bCs/>
      <w:sz w:val="24"/>
      <w:szCs w:val="28"/>
    </w:rPr>
  </w:style>
  <w:style w:type="paragraph" w:customStyle="1" w:styleId="ISMSHeading3">
    <w:name w:val="ISMS Heading 3"/>
    <w:basedOn w:val="ISMSHeading2"/>
    <w:next w:val="ISMSNormal"/>
    <w:link w:val="ISMSHeading3Char"/>
    <w:qFormat/>
    <w:rsid w:val="00274D40"/>
    <w:pPr>
      <w:numPr>
        <w:ilvl w:val="2"/>
      </w:numPr>
      <w:ind w:left="357" w:hanging="357"/>
    </w:pPr>
  </w:style>
  <w:style w:type="character" w:customStyle="1" w:styleId="ISMSHeading1Char">
    <w:name w:val="ISMS Heading 1 Char"/>
    <w:basedOn w:val="Heading1Char"/>
    <w:link w:val="ISMSHeading1"/>
    <w:rsid w:val="008C17CD"/>
    <w:rPr>
      <w:rFonts w:ascii="Calibri" w:eastAsiaTheme="majorEastAsia" w:hAnsi="Calibri" w:cstheme="majorBidi"/>
      <w:b/>
      <w:bCs/>
      <w:sz w:val="24"/>
      <w:szCs w:val="28"/>
    </w:rPr>
  </w:style>
  <w:style w:type="paragraph" w:styleId="TOCHeading">
    <w:name w:val="TOC Heading"/>
    <w:basedOn w:val="Heading1"/>
    <w:next w:val="Normal"/>
    <w:uiPriority w:val="39"/>
    <w:unhideWhenUsed/>
    <w:qFormat/>
    <w:rsid w:val="00A35784"/>
    <w:pPr>
      <w:jc w:val="center"/>
      <w:outlineLvl w:val="9"/>
    </w:pPr>
    <w:rPr>
      <w:rFonts w:cs="Arial"/>
      <w:szCs w:val="24"/>
      <w:lang w:val="en-US" w:eastAsia="ja-JP"/>
    </w:rPr>
  </w:style>
  <w:style w:type="character" w:customStyle="1" w:styleId="ISMSHeading3Char">
    <w:name w:val="ISMS Heading 3 Char"/>
    <w:basedOn w:val="ISMSHeading2Char"/>
    <w:link w:val="ISMSHeading3"/>
    <w:rsid w:val="00274D40"/>
    <w:rPr>
      <w:rFonts w:ascii="Arial" w:eastAsiaTheme="majorEastAsia" w:hAnsi="Arial" w:cstheme="majorBidi"/>
      <w:b/>
      <w:bCs/>
      <w:sz w:val="24"/>
      <w:szCs w:val="28"/>
    </w:rPr>
  </w:style>
  <w:style w:type="paragraph" w:styleId="TOC1">
    <w:name w:val="toc 1"/>
    <w:basedOn w:val="Normal"/>
    <w:next w:val="Normal"/>
    <w:link w:val="TOC1Char"/>
    <w:autoRedefine/>
    <w:uiPriority w:val="39"/>
    <w:unhideWhenUsed/>
    <w:rsid w:val="004963CD"/>
    <w:pPr>
      <w:spacing w:after="100"/>
    </w:pPr>
    <w:rPr>
      <w:b/>
    </w:rPr>
  </w:style>
  <w:style w:type="character" w:styleId="Hyperlink">
    <w:name w:val="Hyperlink"/>
    <w:basedOn w:val="DefaultParagraphFont"/>
    <w:uiPriority w:val="99"/>
    <w:unhideWhenUsed/>
    <w:rsid w:val="00E14231"/>
    <w:rPr>
      <w:color w:val="0000FF" w:themeColor="hyperlink"/>
      <w:u w:val="single"/>
    </w:rPr>
  </w:style>
  <w:style w:type="paragraph" w:styleId="BalloonText">
    <w:name w:val="Balloon Text"/>
    <w:basedOn w:val="Normal"/>
    <w:link w:val="BalloonTextChar"/>
    <w:uiPriority w:val="99"/>
    <w:semiHidden/>
    <w:unhideWhenUsed/>
    <w:rsid w:val="00E14231"/>
    <w:rPr>
      <w:rFonts w:ascii="Tahoma" w:hAnsi="Tahoma" w:cs="Tahoma"/>
      <w:sz w:val="16"/>
      <w:szCs w:val="16"/>
    </w:rPr>
  </w:style>
  <w:style w:type="character" w:customStyle="1" w:styleId="BalloonTextChar">
    <w:name w:val="Balloon Text Char"/>
    <w:basedOn w:val="DefaultParagraphFont"/>
    <w:link w:val="BalloonText"/>
    <w:uiPriority w:val="99"/>
    <w:semiHidden/>
    <w:rsid w:val="00E14231"/>
    <w:rPr>
      <w:rFonts w:ascii="Tahoma" w:hAnsi="Tahoma" w:cs="Tahoma"/>
      <w:sz w:val="16"/>
      <w:szCs w:val="16"/>
    </w:rPr>
  </w:style>
  <w:style w:type="character" w:customStyle="1" w:styleId="Heading3Char">
    <w:name w:val="Heading 3 Char"/>
    <w:basedOn w:val="DefaultParagraphFont"/>
    <w:link w:val="Heading3"/>
    <w:uiPriority w:val="9"/>
    <w:semiHidden/>
    <w:rsid w:val="00E14231"/>
    <w:rPr>
      <w:rFonts w:asciiTheme="majorHAnsi" w:eastAsiaTheme="majorEastAsia" w:hAnsiTheme="majorHAnsi" w:cstheme="majorBidi"/>
      <w:b/>
      <w:bCs/>
      <w:color w:val="4F81BD" w:themeColor="accent1"/>
      <w:sz w:val="24"/>
    </w:rPr>
  </w:style>
  <w:style w:type="paragraph" w:customStyle="1" w:styleId="ISOTOC1">
    <w:name w:val="ISO TOC1"/>
    <w:basedOn w:val="TOC1"/>
    <w:link w:val="ISOTOC1Char"/>
    <w:rsid w:val="00E14231"/>
    <w:pPr>
      <w:tabs>
        <w:tab w:val="right" w:leader="dot" w:pos="9016"/>
      </w:tabs>
    </w:pPr>
    <w:rPr>
      <w:noProof/>
    </w:rPr>
  </w:style>
  <w:style w:type="paragraph" w:styleId="TOC9">
    <w:name w:val="toc 9"/>
    <w:basedOn w:val="Normal"/>
    <w:next w:val="Normal"/>
    <w:autoRedefine/>
    <w:uiPriority w:val="39"/>
    <w:semiHidden/>
    <w:unhideWhenUsed/>
    <w:rsid w:val="00E14231"/>
    <w:pPr>
      <w:spacing w:after="100"/>
      <w:ind w:left="1920"/>
    </w:pPr>
  </w:style>
  <w:style w:type="paragraph" w:styleId="TOC2">
    <w:name w:val="toc 2"/>
    <w:basedOn w:val="Normal"/>
    <w:next w:val="Normal"/>
    <w:autoRedefine/>
    <w:uiPriority w:val="39"/>
    <w:unhideWhenUsed/>
    <w:rsid w:val="00E14231"/>
    <w:pPr>
      <w:spacing w:after="100"/>
      <w:ind w:left="240"/>
    </w:pPr>
  </w:style>
  <w:style w:type="character" w:customStyle="1" w:styleId="TOC1Char">
    <w:name w:val="TOC 1 Char"/>
    <w:basedOn w:val="DefaultParagraphFont"/>
    <w:link w:val="TOC1"/>
    <w:uiPriority w:val="39"/>
    <w:rsid w:val="004963CD"/>
    <w:rPr>
      <w:rFonts w:ascii="Arial" w:hAnsi="Arial"/>
      <w:b/>
      <w:sz w:val="24"/>
    </w:rPr>
  </w:style>
  <w:style w:type="character" w:customStyle="1" w:styleId="ISOTOC1Char">
    <w:name w:val="ISO TOC1 Char"/>
    <w:basedOn w:val="TOC1Char"/>
    <w:link w:val="ISOTOC1"/>
    <w:rsid w:val="00E14231"/>
    <w:rPr>
      <w:rFonts w:ascii="Arial" w:hAnsi="Arial"/>
      <w:b/>
      <w:noProof/>
      <w:sz w:val="24"/>
    </w:rPr>
  </w:style>
  <w:style w:type="paragraph" w:styleId="TOC3">
    <w:name w:val="toc 3"/>
    <w:basedOn w:val="Normal"/>
    <w:next w:val="Normal"/>
    <w:autoRedefine/>
    <w:uiPriority w:val="39"/>
    <w:unhideWhenUsed/>
    <w:rsid w:val="004963CD"/>
    <w:pPr>
      <w:spacing w:after="100"/>
      <w:ind w:left="480"/>
    </w:pPr>
  </w:style>
  <w:style w:type="paragraph" w:styleId="Header">
    <w:name w:val="header"/>
    <w:basedOn w:val="Normal"/>
    <w:link w:val="HeaderChar"/>
    <w:uiPriority w:val="99"/>
    <w:unhideWhenUsed/>
    <w:rsid w:val="00F64866"/>
    <w:pPr>
      <w:tabs>
        <w:tab w:val="center" w:pos="4513"/>
        <w:tab w:val="right" w:pos="9026"/>
      </w:tabs>
    </w:pPr>
  </w:style>
  <w:style w:type="character" w:customStyle="1" w:styleId="HeaderChar">
    <w:name w:val="Header Char"/>
    <w:basedOn w:val="DefaultParagraphFont"/>
    <w:link w:val="Header"/>
    <w:uiPriority w:val="99"/>
    <w:rsid w:val="00F64866"/>
    <w:rPr>
      <w:rFonts w:ascii="Arial" w:hAnsi="Arial"/>
      <w:sz w:val="24"/>
    </w:rPr>
  </w:style>
  <w:style w:type="paragraph" w:styleId="Footer">
    <w:name w:val="footer"/>
    <w:basedOn w:val="Normal"/>
    <w:link w:val="FooterChar"/>
    <w:uiPriority w:val="99"/>
    <w:unhideWhenUsed/>
    <w:rsid w:val="00F64866"/>
    <w:pPr>
      <w:tabs>
        <w:tab w:val="center" w:pos="4513"/>
        <w:tab w:val="right" w:pos="9026"/>
      </w:tabs>
    </w:pPr>
  </w:style>
  <w:style w:type="character" w:customStyle="1" w:styleId="FooterChar">
    <w:name w:val="Footer Char"/>
    <w:basedOn w:val="DefaultParagraphFont"/>
    <w:link w:val="Footer"/>
    <w:uiPriority w:val="99"/>
    <w:rsid w:val="00F64866"/>
    <w:rPr>
      <w:rFonts w:ascii="Arial" w:hAnsi="Arial"/>
      <w:sz w:val="24"/>
    </w:rPr>
  </w:style>
  <w:style w:type="character" w:styleId="PageNumber">
    <w:name w:val="page number"/>
    <w:basedOn w:val="DefaultParagraphFont"/>
    <w:uiPriority w:val="99"/>
    <w:rsid w:val="00F64866"/>
    <w:rPr>
      <w:rFonts w:cs="Times New Roman"/>
    </w:rPr>
  </w:style>
  <w:style w:type="paragraph" w:styleId="BodyText">
    <w:name w:val="Body Text"/>
    <w:basedOn w:val="Normal"/>
    <w:link w:val="BodyTextChar"/>
    <w:rsid w:val="001A22C6"/>
    <w:pPr>
      <w:spacing w:before="60" w:after="120"/>
      <w:ind w:left="576"/>
    </w:pPr>
    <w:rPr>
      <w:rFonts w:ascii="Times New Roman" w:eastAsia="Times New Roman" w:hAnsi="Times New Roman" w:cs="Times New Roman"/>
      <w:lang w:val="en-US"/>
    </w:rPr>
  </w:style>
  <w:style w:type="character" w:customStyle="1" w:styleId="BodyTextChar">
    <w:name w:val="Body Text Char"/>
    <w:basedOn w:val="DefaultParagraphFont"/>
    <w:link w:val="BodyText"/>
    <w:rsid w:val="001A22C6"/>
    <w:rPr>
      <w:rFonts w:ascii="Times New Roman" w:eastAsia="Times New Roman" w:hAnsi="Times New Roman" w:cs="Times New Roman"/>
      <w:sz w:val="24"/>
      <w:szCs w:val="24"/>
      <w:lang w:val="en-US"/>
    </w:rPr>
  </w:style>
  <w:style w:type="paragraph" w:customStyle="1" w:styleId="InfoBlue">
    <w:name w:val="InfoBlue"/>
    <w:basedOn w:val="Normal"/>
    <w:next w:val="BodyText"/>
    <w:rsid w:val="001A22C6"/>
    <w:pPr>
      <w:widowControl w:val="0"/>
      <w:spacing w:after="120" w:line="240" w:lineRule="atLeast"/>
      <w:ind w:left="576"/>
    </w:pPr>
    <w:rPr>
      <w:rFonts w:ascii="Times New Roman" w:eastAsia="Times New Roman" w:hAnsi="Times New Roman" w:cs="Times New Roman"/>
      <w:i/>
      <w:color w:val="0000FF"/>
      <w:szCs w:val="20"/>
      <w:lang w:val="en-US"/>
    </w:rPr>
  </w:style>
  <w:style w:type="paragraph" w:customStyle="1" w:styleId="ISMSNormal">
    <w:name w:val="ISMS Normal"/>
    <w:basedOn w:val="BodyText"/>
    <w:link w:val="ISMSNormalChar"/>
    <w:qFormat/>
    <w:rsid w:val="008C17CD"/>
    <w:pPr>
      <w:spacing w:before="0" w:after="0" w:line="300" w:lineRule="atLeast"/>
      <w:ind w:left="0"/>
      <w:jc w:val="both"/>
    </w:pPr>
    <w:rPr>
      <w:rFonts w:ascii="Calibri" w:hAnsi="Calibri" w:cs="Arial"/>
    </w:rPr>
  </w:style>
  <w:style w:type="character" w:customStyle="1" w:styleId="ISMSNormalChar">
    <w:name w:val="ISMS Normal Char"/>
    <w:basedOn w:val="BodyTextChar"/>
    <w:link w:val="ISMSNormal"/>
    <w:rsid w:val="008C17CD"/>
    <w:rPr>
      <w:rFonts w:ascii="Calibri" w:eastAsia="Times New Roman" w:hAnsi="Calibri" w:cs="Arial"/>
      <w:sz w:val="24"/>
      <w:szCs w:val="24"/>
      <w:lang w:val="en-US"/>
    </w:rPr>
  </w:style>
  <w:style w:type="paragraph" w:customStyle="1" w:styleId="ISMSHeading4">
    <w:name w:val="ISMS Heading 4"/>
    <w:basedOn w:val="ISMSHeading3"/>
    <w:next w:val="ISMSNormal"/>
    <w:link w:val="ISMSHeading4Char"/>
    <w:qFormat/>
    <w:rsid w:val="00D237B2"/>
    <w:pPr>
      <w:numPr>
        <w:ilvl w:val="3"/>
      </w:numPr>
      <w:ind w:left="851" w:hanging="851"/>
    </w:pPr>
  </w:style>
  <w:style w:type="character" w:customStyle="1" w:styleId="ISMSHeading4Char">
    <w:name w:val="ISMS Heading 4 Char"/>
    <w:basedOn w:val="ISMSHeading3Char"/>
    <w:link w:val="ISMSHeading4"/>
    <w:rsid w:val="00D237B2"/>
    <w:rPr>
      <w:rFonts w:ascii="Arial" w:eastAsiaTheme="majorEastAsia" w:hAnsi="Arial" w:cstheme="majorBidi"/>
      <w:b/>
      <w:bCs/>
      <w:sz w:val="24"/>
      <w:szCs w:val="28"/>
    </w:rPr>
  </w:style>
  <w:style w:type="character" w:styleId="PlaceholderText">
    <w:name w:val="Placeholder Text"/>
    <w:basedOn w:val="DefaultParagraphFont"/>
    <w:uiPriority w:val="99"/>
    <w:semiHidden/>
    <w:rsid w:val="007B0619"/>
    <w:rPr>
      <w:color w:val="808080"/>
    </w:rPr>
  </w:style>
  <w:style w:type="table" w:styleId="TableProfessional">
    <w:name w:val="Table Professional"/>
    <w:basedOn w:val="TableNormal"/>
    <w:uiPriority w:val="99"/>
    <w:unhideWhenUsed/>
    <w:rsid w:val="007B0619"/>
    <w:pPr>
      <w:spacing w:after="0" w:line="240"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customStyle="1" w:styleId="Heading4Char">
    <w:name w:val="Heading 4 Char"/>
    <w:basedOn w:val="DefaultParagraphFont"/>
    <w:link w:val="Heading4"/>
    <w:uiPriority w:val="9"/>
    <w:semiHidden/>
    <w:rsid w:val="00FC40C7"/>
    <w:rPr>
      <w:rFonts w:asciiTheme="majorHAnsi" w:eastAsiaTheme="majorEastAsia" w:hAnsiTheme="majorHAnsi" w:cstheme="majorBidi"/>
      <w:b/>
      <w:bCs/>
      <w:i/>
      <w:iCs/>
      <w:color w:val="4F81BD" w:themeColor="accent1"/>
      <w:sz w:val="24"/>
    </w:rPr>
  </w:style>
  <w:style w:type="table" w:styleId="TableGrid">
    <w:name w:val="Table Grid"/>
    <w:basedOn w:val="TableNormal"/>
    <w:uiPriority w:val="99"/>
    <w:rsid w:val="005C3AF3"/>
    <w:pPr>
      <w:spacing w:after="0" w:line="240" w:lineRule="auto"/>
    </w:pPr>
    <w:rPr>
      <w:rFonts w:ascii="Times New Roman" w:eastAsia="Times New Roman" w:hAnsi="Times New Roman" w:cs="Times New Roman"/>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git.elabdev.org/jira/secure/Dashboard.jspa" TargetMode="External"/><Relationship Id="rId17" Type="http://schemas.openxmlformats.org/officeDocument/2006/relationships/header" Target="header3.xml"/><Relationship Id="rId2" Type="http://schemas.openxmlformats.org/officeDocument/2006/relationships/customXml" Target="../customXml/item1.xml"/><Relationship Id="rId16" Type="http://schemas.openxmlformats.org/officeDocument/2006/relationships/footer" Target="footer2.xml"/><Relationship Id="rId20" Type="http://schemas.openxmlformats.org/officeDocument/2006/relationships/theme" Target="theme/theme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yperlink" Target="mailto:tre-support@manchester.ac.uk"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mailto:tre-admin@manchester.ac.uk" TargetMode="Externa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CDD8F0-EF61-6841-8B43-9CA1871831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2587</Words>
  <Characters>14746</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17299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2</cp:revision>
  <dcterms:created xsi:type="dcterms:W3CDTF">2020-03-19T17:55:00Z</dcterms:created>
  <dcterms:modified xsi:type="dcterms:W3CDTF">2020-04-19T10:14:00Z</dcterms:modified>
</cp:coreProperties>
</file>