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29061" w14:textId="77777777" w:rsidR="00F64866" w:rsidRPr="009D002B" w:rsidRDefault="00CC406C" w:rsidP="00614C28">
      <w:r w:rsidRPr="009D002B">
        <w:rPr>
          <w:noProof/>
          <w:lang w:eastAsia="en-GB"/>
        </w:rPr>
        <w:drawing>
          <wp:anchor distT="0" distB="0" distL="114300" distR="114300" simplePos="0" relativeHeight="251658240" behindDoc="0" locked="0" layoutInCell="1" allowOverlap="0" wp14:anchorId="6AF55709" wp14:editId="6118F3A5">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1D49CC41" w14:textId="77777777" w:rsidR="00F64866" w:rsidRPr="009D002B" w:rsidRDefault="0080496E" w:rsidP="00A35784"/>
    <w:p w14:paraId="332DAC7C" w14:textId="77777777" w:rsidR="00F64866" w:rsidRPr="005B6D5E" w:rsidRDefault="00CC406C" w:rsidP="005B6D5E">
      <w:pPr>
        <w:pStyle w:val="ISMSNormal"/>
        <w:jc w:val="center"/>
        <w:rPr>
          <w:b/>
        </w:rPr>
      </w:pPr>
      <w:r w:rsidRPr="005B6D5E">
        <w:rPr>
          <w:b/>
        </w:rPr>
        <w:t>STANDARD OPERATING PROCEDURE</w:t>
      </w:r>
    </w:p>
    <w:p w14:paraId="7A3EE6D6" w14:textId="77777777" w:rsidR="00F64866" w:rsidRPr="005B6D5E" w:rsidRDefault="00CC406C" w:rsidP="005B6D5E">
      <w:pPr>
        <w:pStyle w:val="ISMSNormal"/>
        <w:jc w:val="center"/>
        <w:rPr>
          <w:b/>
        </w:rPr>
      </w:pPr>
      <w:r w:rsidRPr="005B6D5E">
        <w:rPr>
          <w:b/>
        </w:rPr>
        <w:t>Do not Photocopy</w:t>
      </w:r>
    </w:p>
    <w:p w14:paraId="5A2A9F1E" w14:textId="77777777" w:rsidR="00F64866" w:rsidRPr="005B6D5E" w:rsidRDefault="0080496E" w:rsidP="005B6D5E">
      <w:pPr>
        <w:pStyle w:val="ISMSNormal"/>
        <w:jc w:val="center"/>
        <w:rPr>
          <w:b/>
        </w:rPr>
      </w:pPr>
    </w:p>
    <w:p w14:paraId="30273A03" w14:textId="77777777" w:rsidR="000154F2" w:rsidRPr="00F06990" w:rsidRDefault="00CC406C" w:rsidP="000154F2">
      <w:pPr>
        <w:pStyle w:val="ISMSNormal"/>
        <w:jc w:val="center"/>
        <w:rPr>
          <w:b/>
        </w:rPr>
      </w:pPr>
      <w:r>
        <w:rPr>
          <w:b/>
        </w:rPr>
        <w:t>Document Information Classification: Restricted</w:t>
      </w:r>
    </w:p>
    <w:p w14:paraId="6BE93F15" w14:textId="77777777" w:rsidR="00F64866" w:rsidRPr="00A214A6" w:rsidRDefault="0080496E"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C00737" w14:paraId="3061C005" w14:textId="77777777" w:rsidTr="00727201">
        <w:trPr>
          <w:jc w:val="center"/>
        </w:trPr>
        <w:tc>
          <w:tcPr>
            <w:tcW w:w="1912" w:type="pct"/>
            <w:tcBorders>
              <w:top w:val="single" w:sz="8" w:space="0" w:color="auto"/>
            </w:tcBorders>
          </w:tcPr>
          <w:p w14:paraId="6E25F918" w14:textId="77777777" w:rsidR="00F64866" w:rsidRPr="005B6D5E" w:rsidRDefault="00CC406C"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41D20049" w14:textId="77777777" w:rsidR="00F64866" w:rsidRPr="005B6D5E" w:rsidRDefault="00CC406C"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Migrating Projects out of the TRE</w:t>
            </w:r>
            <w:r w:rsidRPr="005B6D5E">
              <w:rPr>
                <w:b/>
                <w:lang w:eastAsia="en-GB"/>
              </w:rPr>
              <w:fldChar w:fldCharType="end"/>
            </w:r>
          </w:p>
        </w:tc>
      </w:tr>
      <w:tr w:rsidR="00C00737" w14:paraId="00DED36B" w14:textId="77777777" w:rsidTr="00727201">
        <w:trPr>
          <w:jc w:val="center"/>
        </w:trPr>
        <w:tc>
          <w:tcPr>
            <w:tcW w:w="1912" w:type="pct"/>
          </w:tcPr>
          <w:p w14:paraId="31104EF1" w14:textId="77777777" w:rsidR="00F64866" w:rsidRPr="005B6D5E" w:rsidRDefault="00CC406C" w:rsidP="005B6D5E">
            <w:pPr>
              <w:pStyle w:val="ISMSNormal"/>
              <w:spacing w:before="120" w:after="120"/>
              <w:rPr>
                <w:b/>
                <w:lang w:eastAsia="en-GB"/>
              </w:rPr>
            </w:pPr>
            <w:r w:rsidRPr="005B6D5E">
              <w:rPr>
                <w:b/>
                <w:lang w:eastAsia="en-GB"/>
              </w:rPr>
              <w:t>Effective Date:</w:t>
            </w:r>
          </w:p>
        </w:tc>
        <w:tc>
          <w:tcPr>
            <w:tcW w:w="3088" w:type="pct"/>
          </w:tcPr>
          <w:p w14:paraId="59B14632" w14:textId="77777777" w:rsidR="00F64866" w:rsidRPr="005B6D5E" w:rsidRDefault="00CC406C"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20 Jan 2020</w:t>
            </w:r>
            <w:r w:rsidRPr="005B6D5E">
              <w:rPr>
                <w:b/>
                <w:lang w:eastAsia="en-GB"/>
              </w:rPr>
              <w:fldChar w:fldCharType="end"/>
            </w:r>
          </w:p>
        </w:tc>
      </w:tr>
      <w:tr w:rsidR="00C00737" w14:paraId="72670173" w14:textId="77777777" w:rsidTr="00727201">
        <w:trPr>
          <w:jc w:val="center"/>
        </w:trPr>
        <w:tc>
          <w:tcPr>
            <w:tcW w:w="1912" w:type="pct"/>
          </w:tcPr>
          <w:p w14:paraId="7F616EE2" w14:textId="77777777" w:rsidR="00F64866" w:rsidRPr="005B6D5E" w:rsidRDefault="00CC406C" w:rsidP="005B6D5E">
            <w:pPr>
              <w:pStyle w:val="ISMSNormal"/>
              <w:spacing w:before="120" w:after="120"/>
              <w:rPr>
                <w:b/>
                <w:lang w:eastAsia="en-GB"/>
              </w:rPr>
            </w:pPr>
            <w:r w:rsidRPr="005B6D5E">
              <w:rPr>
                <w:b/>
                <w:lang w:eastAsia="en-GB"/>
              </w:rPr>
              <w:t>Reference Number:</w:t>
            </w:r>
          </w:p>
        </w:tc>
        <w:tc>
          <w:tcPr>
            <w:tcW w:w="3088" w:type="pct"/>
          </w:tcPr>
          <w:p w14:paraId="57E7CB16" w14:textId="77777777" w:rsidR="00F64866" w:rsidRPr="005B6D5E" w:rsidRDefault="00CC406C"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SOP-03-24</w:t>
            </w:r>
            <w:r w:rsidRPr="005B6D5E">
              <w:rPr>
                <w:b/>
                <w:lang w:eastAsia="en-GB"/>
              </w:rPr>
              <w:fldChar w:fldCharType="end"/>
            </w:r>
          </w:p>
        </w:tc>
      </w:tr>
      <w:tr w:rsidR="00C00737" w14:paraId="7864C94A" w14:textId="77777777" w:rsidTr="00727201">
        <w:trPr>
          <w:jc w:val="center"/>
        </w:trPr>
        <w:tc>
          <w:tcPr>
            <w:tcW w:w="1912" w:type="pct"/>
          </w:tcPr>
          <w:p w14:paraId="74AF9FA5" w14:textId="77777777" w:rsidR="00F64866" w:rsidRPr="005B6D5E" w:rsidRDefault="00CC406C" w:rsidP="005B6D5E">
            <w:pPr>
              <w:pStyle w:val="ISMSNormal"/>
              <w:spacing w:before="120" w:after="120"/>
              <w:rPr>
                <w:b/>
                <w:lang w:eastAsia="en-GB"/>
              </w:rPr>
            </w:pPr>
            <w:r w:rsidRPr="005B6D5E">
              <w:rPr>
                <w:b/>
                <w:lang w:eastAsia="en-GB"/>
              </w:rPr>
              <w:t>Version Number:</w:t>
            </w:r>
          </w:p>
        </w:tc>
        <w:tc>
          <w:tcPr>
            <w:tcW w:w="3088" w:type="pct"/>
          </w:tcPr>
          <w:p w14:paraId="108C7B59" w14:textId="77777777" w:rsidR="00F64866" w:rsidRPr="005B6D5E" w:rsidRDefault="00CC406C"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1.1</w:t>
            </w:r>
            <w:r w:rsidRPr="005B6D5E">
              <w:rPr>
                <w:b/>
                <w:lang w:eastAsia="en-GB"/>
              </w:rPr>
              <w:fldChar w:fldCharType="end"/>
            </w:r>
          </w:p>
        </w:tc>
      </w:tr>
      <w:tr w:rsidR="00C00737" w14:paraId="3CBE3BFE" w14:textId="77777777" w:rsidTr="00727201">
        <w:trPr>
          <w:jc w:val="center"/>
        </w:trPr>
        <w:tc>
          <w:tcPr>
            <w:tcW w:w="1912" w:type="pct"/>
          </w:tcPr>
          <w:p w14:paraId="4D8B126B" w14:textId="77777777" w:rsidR="00F64866" w:rsidRPr="005B6D5E" w:rsidRDefault="00CC406C" w:rsidP="005B6D5E">
            <w:pPr>
              <w:pStyle w:val="ISMSNormal"/>
              <w:spacing w:before="120" w:after="120"/>
              <w:rPr>
                <w:b/>
                <w:lang w:eastAsia="en-GB"/>
              </w:rPr>
            </w:pPr>
            <w:r w:rsidRPr="005B6D5E">
              <w:rPr>
                <w:b/>
                <w:lang w:eastAsia="en-GB"/>
              </w:rPr>
              <w:t>Owner:</w:t>
            </w:r>
          </w:p>
        </w:tc>
        <w:tc>
          <w:tcPr>
            <w:tcW w:w="3088" w:type="pct"/>
          </w:tcPr>
          <w:p w14:paraId="6B4E7A7F" w14:textId="77777777" w:rsidR="00F64866" w:rsidRPr="005B6D5E" w:rsidRDefault="00CC406C"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Information Security Manager,</w:t>
            </w:r>
            <w:r w:rsidRPr="005B6D5E">
              <w:rPr>
                <w:b/>
                <w:lang w:eastAsia="en-GB"/>
              </w:rPr>
              <w:t xml:space="preserve">  </w:t>
            </w:r>
            <w:r w:rsidRPr="005B6D5E">
              <w:rPr>
                <w:b/>
                <w:lang w:eastAsia="en-GB"/>
              </w:rPr>
              <w:fldChar w:fldCharType="end"/>
            </w:r>
          </w:p>
        </w:tc>
      </w:tr>
      <w:tr w:rsidR="00C00737" w14:paraId="6AFFE8F5" w14:textId="77777777" w:rsidTr="00727201">
        <w:trPr>
          <w:jc w:val="center"/>
        </w:trPr>
        <w:tc>
          <w:tcPr>
            <w:tcW w:w="1912" w:type="pct"/>
            <w:tcBorders>
              <w:bottom w:val="single" w:sz="8" w:space="0" w:color="auto"/>
            </w:tcBorders>
          </w:tcPr>
          <w:p w14:paraId="691061CD" w14:textId="77777777" w:rsidR="00F64866" w:rsidRPr="005B6D5E" w:rsidRDefault="00CC406C"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3484F035" w14:textId="77777777" w:rsidR="00F64866" w:rsidRPr="005B6D5E" w:rsidRDefault="00CC406C"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15 Oct 2021</w:t>
            </w:r>
            <w:r w:rsidRPr="005B6D5E">
              <w:rPr>
                <w:b/>
                <w:lang w:eastAsia="en-GB"/>
              </w:rPr>
              <w:fldChar w:fldCharType="end"/>
            </w:r>
          </w:p>
        </w:tc>
      </w:tr>
    </w:tbl>
    <w:p w14:paraId="7698F8AF" w14:textId="77777777" w:rsidR="00F64866" w:rsidRPr="00A214A6" w:rsidRDefault="0080496E" w:rsidP="00A35784"/>
    <w:p w14:paraId="6589512D" w14:textId="77777777" w:rsidR="00F64866" w:rsidRPr="00A214A6" w:rsidRDefault="00CC406C" w:rsidP="00A35784">
      <w:r w:rsidRPr="00A214A6">
        <w:br w:type="page"/>
      </w:r>
    </w:p>
    <w:p w14:paraId="5FFC1213" w14:textId="77777777" w:rsidR="00A04182" w:rsidRPr="009D002B" w:rsidRDefault="0080496E"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644E3DDD" w14:textId="77777777" w:rsidR="002C7566" w:rsidRDefault="00CC406C" w:rsidP="00A35784">
          <w:pPr>
            <w:pStyle w:val="TOCHeading"/>
          </w:pPr>
          <w:r w:rsidRPr="00A35784">
            <w:t>Table of Contents</w:t>
          </w:r>
        </w:p>
        <w:p w14:paraId="28A834C2" w14:textId="77777777" w:rsidR="006735AF" w:rsidRPr="006735AF" w:rsidRDefault="0080496E" w:rsidP="006735AF">
          <w:pPr>
            <w:rPr>
              <w:lang w:val="en-US" w:eastAsia="ja-JP"/>
            </w:rPr>
          </w:pPr>
        </w:p>
        <w:p w14:paraId="57FCB86A" w14:textId="77777777" w:rsidR="00C00737" w:rsidRDefault="00CC406C">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37"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_Toc256000037 \h </w:instrText>
            </w:r>
            <w:r>
              <w:fldChar w:fldCharType="separate"/>
            </w:r>
            <w:r>
              <w:t>3</w:t>
            </w:r>
            <w:r>
              <w:fldChar w:fldCharType="end"/>
            </w:r>
          </w:hyperlink>
        </w:p>
        <w:p w14:paraId="153B8E5B" w14:textId="77777777" w:rsidR="00C00737" w:rsidRDefault="0080496E">
          <w:pPr>
            <w:pStyle w:val="TOC1"/>
            <w:tabs>
              <w:tab w:val="left" w:pos="480"/>
              <w:tab w:val="right" w:leader="dot" w:pos="9016"/>
            </w:tabs>
            <w:rPr>
              <w:rFonts w:asciiTheme="minorHAnsi" w:hAnsiTheme="minorHAnsi"/>
              <w:noProof/>
            </w:rPr>
          </w:pPr>
          <w:hyperlink w:anchor="_Toc256000038" w:history="1">
            <w:r w:rsidR="00CC406C">
              <w:rPr>
                <w:rStyle w:val="Hyperlink"/>
              </w:rPr>
              <w:t>2.</w:t>
            </w:r>
            <w:r w:rsidR="00CC406C">
              <w:rPr>
                <w:rFonts w:asciiTheme="minorHAnsi" w:hAnsiTheme="minorHAnsi"/>
                <w:noProof/>
              </w:rPr>
              <w:tab/>
            </w:r>
            <w:r w:rsidR="00CC406C">
              <w:rPr>
                <w:rStyle w:val="Hyperlink"/>
              </w:rPr>
              <w:t>Scope</w:t>
            </w:r>
            <w:r w:rsidR="00CC406C">
              <w:tab/>
            </w:r>
            <w:r w:rsidR="00CC406C">
              <w:fldChar w:fldCharType="begin"/>
            </w:r>
            <w:r w:rsidR="00CC406C">
              <w:instrText xml:space="preserve"> PAGEREF _Toc256000038 \h </w:instrText>
            </w:r>
            <w:r w:rsidR="00CC406C">
              <w:fldChar w:fldCharType="separate"/>
            </w:r>
            <w:r w:rsidR="00CC406C">
              <w:t>3</w:t>
            </w:r>
            <w:r w:rsidR="00CC406C">
              <w:fldChar w:fldCharType="end"/>
            </w:r>
          </w:hyperlink>
        </w:p>
        <w:p w14:paraId="28D0F65A" w14:textId="77777777" w:rsidR="00C00737" w:rsidRDefault="0080496E">
          <w:pPr>
            <w:pStyle w:val="TOC1"/>
            <w:tabs>
              <w:tab w:val="left" w:pos="480"/>
              <w:tab w:val="right" w:leader="dot" w:pos="9016"/>
            </w:tabs>
            <w:rPr>
              <w:rFonts w:asciiTheme="minorHAnsi" w:hAnsiTheme="minorHAnsi"/>
              <w:noProof/>
            </w:rPr>
          </w:pPr>
          <w:hyperlink w:anchor="_Toc256000039" w:history="1">
            <w:r w:rsidR="00CC406C">
              <w:rPr>
                <w:rStyle w:val="Hyperlink"/>
              </w:rPr>
              <w:t>3.</w:t>
            </w:r>
            <w:r w:rsidR="00CC406C">
              <w:rPr>
                <w:rFonts w:asciiTheme="minorHAnsi" w:hAnsiTheme="minorHAnsi"/>
                <w:noProof/>
              </w:rPr>
              <w:tab/>
            </w:r>
            <w:r w:rsidR="00CC406C">
              <w:rPr>
                <w:rStyle w:val="Hyperlink"/>
              </w:rPr>
              <w:t>Procedure</w:t>
            </w:r>
            <w:r w:rsidR="00CC406C">
              <w:tab/>
            </w:r>
            <w:r w:rsidR="00CC406C">
              <w:fldChar w:fldCharType="begin"/>
            </w:r>
            <w:r w:rsidR="00CC406C">
              <w:instrText xml:space="preserve"> PAGEREF _Toc256000039 \h </w:instrText>
            </w:r>
            <w:r w:rsidR="00CC406C">
              <w:fldChar w:fldCharType="separate"/>
            </w:r>
            <w:r w:rsidR="00CC406C">
              <w:t>3</w:t>
            </w:r>
            <w:r w:rsidR="00CC406C">
              <w:fldChar w:fldCharType="end"/>
            </w:r>
          </w:hyperlink>
        </w:p>
        <w:p w14:paraId="7387A47F" w14:textId="77777777" w:rsidR="00C00737" w:rsidRDefault="0080496E">
          <w:pPr>
            <w:pStyle w:val="TOC2"/>
            <w:tabs>
              <w:tab w:val="left" w:pos="880"/>
              <w:tab w:val="right" w:leader="dot" w:pos="9016"/>
            </w:tabs>
            <w:rPr>
              <w:rFonts w:asciiTheme="minorHAnsi" w:hAnsiTheme="minorHAnsi"/>
              <w:noProof/>
            </w:rPr>
          </w:pPr>
          <w:hyperlink w:anchor="_Toc256000040" w:history="1">
            <w:r w:rsidR="00CC406C">
              <w:rPr>
                <w:rStyle w:val="Hyperlink"/>
              </w:rPr>
              <w:t>3.1.</w:t>
            </w:r>
            <w:r w:rsidR="00CC406C">
              <w:rPr>
                <w:rFonts w:asciiTheme="minorHAnsi" w:hAnsiTheme="minorHAnsi"/>
                <w:noProof/>
              </w:rPr>
              <w:tab/>
            </w:r>
            <w:r w:rsidR="00CC406C">
              <w:rPr>
                <w:rStyle w:val="Hyperlink"/>
              </w:rPr>
              <w:t>Introduction</w:t>
            </w:r>
            <w:r w:rsidR="00CC406C">
              <w:tab/>
            </w:r>
            <w:r w:rsidR="00CC406C">
              <w:fldChar w:fldCharType="begin"/>
            </w:r>
            <w:r w:rsidR="00CC406C">
              <w:instrText xml:space="preserve"> PAGEREF _Toc256000040 \h </w:instrText>
            </w:r>
            <w:r w:rsidR="00CC406C">
              <w:fldChar w:fldCharType="separate"/>
            </w:r>
            <w:r w:rsidR="00CC406C">
              <w:t>3</w:t>
            </w:r>
            <w:r w:rsidR="00CC406C">
              <w:fldChar w:fldCharType="end"/>
            </w:r>
          </w:hyperlink>
        </w:p>
        <w:p w14:paraId="35BE991E" w14:textId="77777777" w:rsidR="00C00737" w:rsidRDefault="0080496E">
          <w:pPr>
            <w:pStyle w:val="TOC2"/>
            <w:tabs>
              <w:tab w:val="left" w:pos="880"/>
              <w:tab w:val="right" w:leader="dot" w:pos="9016"/>
            </w:tabs>
            <w:rPr>
              <w:rFonts w:asciiTheme="minorHAnsi" w:hAnsiTheme="minorHAnsi"/>
              <w:noProof/>
            </w:rPr>
          </w:pPr>
          <w:hyperlink w:anchor="_Toc256000041" w:history="1">
            <w:r w:rsidR="00CC406C">
              <w:rPr>
                <w:rStyle w:val="Hyperlink"/>
              </w:rPr>
              <w:t>3.2.</w:t>
            </w:r>
            <w:r w:rsidR="00CC406C">
              <w:rPr>
                <w:rFonts w:asciiTheme="minorHAnsi" w:hAnsiTheme="minorHAnsi"/>
                <w:noProof/>
              </w:rPr>
              <w:tab/>
            </w:r>
            <w:r w:rsidR="00CC406C">
              <w:rPr>
                <w:rStyle w:val="Hyperlink"/>
              </w:rPr>
              <w:t xml:space="preserve">Summary of </w:t>
            </w:r>
            <w:r w:rsidR="00CC406C" w:rsidRPr="00B90369">
              <w:rPr>
                <w:rStyle w:val="Hyperlink"/>
              </w:rPr>
              <w:t>migration</w:t>
            </w:r>
            <w:r w:rsidR="00CC406C">
              <w:rPr>
                <w:rStyle w:val="Hyperlink"/>
              </w:rPr>
              <w:t xml:space="preserve"> steps</w:t>
            </w:r>
            <w:r w:rsidR="00CC406C">
              <w:tab/>
            </w:r>
            <w:r w:rsidR="00CC406C">
              <w:fldChar w:fldCharType="begin"/>
            </w:r>
            <w:r w:rsidR="00CC406C">
              <w:instrText xml:space="preserve"> PAGEREF _Toc256000041 \h </w:instrText>
            </w:r>
            <w:r w:rsidR="00CC406C">
              <w:fldChar w:fldCharType="separate"/>
            </w:r>
            <w:r w:rsidR="00CC406C">
              <w:t>4</w:t>
            </w:r>
            <w:r w:rsidR="00CC406C">
              <w:fldChar w:fldCharType="end"/>
            </w:r>
          </w:hyperlink>
        </w:p>
        <w:p w14:paraId="6C04ECD6" w14:textId="77777777" w:rsidR="00C00737" w:rsidRDefault="0080496E">
          <w:pPr>
            <w:pStyle w:val="TOC2"/>
            <w:tabs>
              <w:tab w:val="left" w:pos="880"/>
              <w:tab w:val="right" w:leader="dot" w:pos="9016"/>
            </w:tabs>
            <w:rPr>
              <w:rFonts w:asciiTheme="minorHAnsi" w:hAnsiTheme="minorHAnsi"/>
              <w:noProof/>
            </w:rPr>
          </w:pPr>
          <w:hyperlink w:anchor="_Toc256000042" w:history="1">
            <w:r w:rsidR="00CC406C">
              <w:rPr>
                <w:rStyle w:val="Hyperlink"/>
              </w:rPr>
              <w:t>3.3.</w:t>
            </w:r>
            <w:r w:rsidR="00CC406C">
              <w:rPr>
                <w:rFonts w:asciiTheme="minorHAnsi" w:hAnsiTheme="minorHAnsi"/>
                <w:noProof/>
              </w:rPr>
              <w:tab/>
            </w:r>
            <w:r w:rsidR="00CC406C">
              <w:rPr>
                <w:rStyle w:val="Hyperlink"/>
              </w:rPr>
              <w:t>Options for transferring data</w:t>
            </w:r>
            <w:r w:rsidR="00CC406C">
              <w:tab/>
            </w:r>
            <w:r w:rsidR="00CC406C">
              <w:fldChar w:fldCharType="begin"/>
            </w:r>
            <w:r w:rsidR="00CC406C">
              <w:instrText xml:space="preserve"> PAGEREF _Toc256000042 \h </w:instrText>
            </w:r>
            <w:r w:rsidR="00CC406C">
              <w:fldChar w:fldCharType="separate"/>
            </w:r>
            <w:r w:rsidR="00CC406C">
              <w:t>4</w:t>
            </w:r>
            <w:r w:rsidR="00CC406C">
              <w:fldChar w:fldCharType="end"/>
            </w:r>
          </w:hyperlink>
        </w:p>
        <w:p w14:paraId="13FEBEE3" w14:textId="77777777" w:rsidR="00C00737" w:rsidRDefault="0080496E">
          <w:pPr>
            <w:pStyle w:val="TOC2"/>
            <w:tabs>
              <w:tab w:val="left" w:pos="880"/>
              <w:tab w:val="right" w:leader="dot" w:pos="9016"/>
            </w:tabs>
            <w:rPr>
              <w:rFonts w:asciiTheme="minorHAnsi" w:hAnsiTheme="minorHAnsi"/>
              <w:noProof/>
            </w:rPr>
          </w:pPr>
          <w:hyperlink w:anchor="_Toc256000043" w:history="1">
            <w:r w:rsidR="00CC406C">
              <w:rPr>
                <w:rStyle w:val="Hyperlink"/>
              </w:rPr>
              <w:t>3.4.</w:t>
            </w:r>
            <w:r w:rsidR="00CC406C">
              <w:rPr>
                <w:rFonts w:asciiTheme="minorHAnsi" w:hAnsiTheme="minorHAnsi"/>
                <w:noProof/>
              </w:rPr>
              <w:tab/>
            </w:r>
            <w:r w:rsidR="00CC406C">
              <w:rPr>
                <w:rStyle w:val="Hyperlink"/>
              </w:rPr>
              <w:t>Preparing data for export</w:t>
            </w:r>
            <w:r w:rsidR="00CC406C">
              <w:tab/>
            </w:r>
            <w:r w:rsidR="00CC406C">
              <w:fldChar w:fldCharType="begin"/>
            </w:r>
            <w:r w:rsidR="00CC406C">
              <w:instrText xml:space="preserve"> PAGEREF _Toc256000043 \h </w:instrText>
            </w:r>
            <w:r w:rsidR="00CC406C">
              <w:fldChar w:fldCharType="separate"/>
            </w:r>
            <w:r w:rsidR="00CC406C">
              <w:t>5</w:t>
            </w:r>
            <w:r w:rsidR="00CC406C">
              <w:fldChar w:fldCharType="end"/>
            </w:r>
          </w:hyperlink>
        </w:p>
        <w:p w14:paraId="2EEDC8BB" w14:textId="77777777" w:rsidR="00C00737" w:rsidRDefault="0080496E">
          <w:pPr>
            <w:pStyle w:val="TOC2"/>
            <w:tabs>
              <w:tab w:val="left" w:pos="880"/>
              <w:tab w:val="right" w:leader="dot" w:pos="9016"/>
            </w:tabs>
            <w:rPr>
              <w:rFonts w:asciiTheme="minorHAnsi" w:hAnsiTheme="minorHAnsi"/>
              <w:noProof/>
            </w:rPr>
          </w:pPr>
          <w:hyperlink w:anchor="_Toc256000044" w:history="1">
            <w:r w:rsidR="00CC406C">
              <w:rPr>
                <w:rStyle w:val="Hyperlink"/>
              </w:rPr>
              <w:t>3.5.</w:t>
            </w:r>
            <w:r w:rsidR="00CC406C">
              <w:rPr>
                <w:rFonts w:asciiTheme="minorHAnsi" w:hAnsiTheme="minorHAnsi"/>
                <w:noProof/>
              </w:rPr>
              <w:tab/>
            </w:r>
            <w:r w:rsidR="00CC406C">
              <w:rPr>
                <w:rStyle w:val="Hyperlink"/>
              </w:rPr>
              <w:t>Portable Storage Device encryption</w:t>
            </w:r>
            <w:r w:rsidR="00CC406C">
              <w:tab/>
            </w:r>
            <w:r w:rsidR="00CC406C">
              <w:fldChar w:fldCharType="begin"/>
            </w:r>
            <w:r w:rsidR="00CC406C">
              <w:instrText xml:space="preserve"> PAGEREF _Toc256000044 \h </w:instrText>
            </w:r>
            <w:r w:rsidR="00CC406C">
              <w:fldChar w:fldCharType="separate"/>
            </w:r>
            <w:r w:rsidR="00CC406C">
              <w:t>5</w:t>
            </w:r>
            <w:r w:rsidR="00CC406C">
              <w:fldChar w:fldCharType="end"/>
            </w:r>
          </w:hyperlink>
        </w:p>
        <w:p w14:paraId="733A8599" w14:textId="77777777" w:rsidR="00C00737" w:rsidRDefault="0080496E">
          <w:pPr>
            <w:pStyle w:val="TOC2"/>
            <w:tabs>
              <w:tab w:val="left" w:pos="880"/>
              <w:tab w:val="right" w:leader="dot" w:pos="9016"/>
            </w:tabs>
            <w:rPr>
              <w:rFonts w:asciiTheme="minorHAnsi" w:hAnsiTheme="minorHAnsi"/>
              <w:noProof/>
            </w:rPr>
          </w:pPr>
          <w:hyperlink w:anchor="_Toc256000045" w:history="1">
            <w:r w:rsidR="00CC406C">
              <w:rPr>
                <w:rStyle w:val="Hyperlink"/>
              </w:rPr>
              <w:t>3.6.</w:t>
            </w:r>
            <w:r w:rsidR="00CC406C">
              <w:rPr>
                <w:rFonts w:asciiTheme="minorHAnsi" w:hAnsiTheme="minorHAnsi"/>
                <w:noProof/>
              </w:rPr>
              <w:tab/>
            </w:r>
            <w:r w:rsidR="00CC406C">
              <w:rPr>
                <w:rStyle w:val="Hyperlink"/>
              </w:rPr>
              <w:t>Project Migration Acceptance</w:t>
            </w:r>
            <w:r w:rsidR="00CC406C">
              <w:tab/>
            </w:r>
            <w:r w:rsidR="00CC406C">
              <w:fldChar w:fldCharType="begin"/>
            </w:r>
            <w:r w:rsidR="00CC406C">
              <w:instrText xml:space="preserve"> PAGEREF _Toc256000045 \h </w:instrText>
            </w:r>
            <w:r w:rsidR="00CC406C">
              <w:fldChar w:fldCharType="separate"/>
            </w:r>
            <w:r w:rsidR="00CC406C">
              <w:t>5</w:t>
            </w:r>
            <w:r w:rsidR="00CC406C">
              <w:fldChar w:fldCharType="end"/>
            </w:r>
          </w:hyperlink>
        </w:p>
        <w:p w14:paraId="27242C5B" w14:textId="77777777" w:rsidR="00C00737" w:rsidRDefault="0080496E">
          <w:pPr>
            <w:pStyle w:val="TOC2"/>
            <w:tabs>
              <w:tab w:val="left" w:pos="880"/>
              <w:tab w:val="right" w:leader="dot" w:pos="9016"/>
            </w:tabs>
            <w:rPr>
              <w:rFonts w:asciiTheme="minorHAnsi" w:hAnsiTheme="minorHAnsi"/>
              <w:noProof/>
            </w:rPr>
          </w:pPr>
          <w:hyperlink w:anchor="_Toc256000046" w:history="1">
            <w:r w:rsidR="00CC406C">
              <w:rPr>
                <w:rStyle w:val="Hyperlink"/>
              </w:rPr>
              <w:t>3.7.</w:t>
            </w:r>
            <w:r w:rsidR="00CC406C">
              <w:rPr>
                <w:rFonts w:asciiTheme="minorHAnsi" w:hAnsiTheme="minorHAnsi"/>
                <w:noProof/>
              </w:rPr>
              <w:tab/>
            </w:r>
            <w:r w:rsidR="00CC406C">
              <w:rPr>
                <w:rStyle w:val="Hyperlink"/>
              </w:rPr>
              <w:t>TRE Project Closure and Data Destruction</w:t>
            </w:r>
            <w:r w:rsidR="00CC406C">
              <w:tab/>
            </w:r>
            <w:r w:rsidR="00CC406C">
              <w:fldChar w:fldCharType="begin"/>
            </w:r>
            <w:r w:rsidR="00CC406C">
              <w:instrText xml:space="preserve"> PAGEREF _Toc256000046 \h </w:instrText>
            </w:r>
            <w:r w:rsidR="00CC406C">
              <w:fldChar w:fldCharType="separate"/>
            </w:r>
            <w:r w:rsidR="00CC406C">
              <w:t>5</w:t>
            </w:r>
            <w:r w:rsidR="00CC406C">
              <w:fldChar w:fldCharType="end"/>
            </w:r>
          </w:hyperlink>
        </w:p>
        <w:p w14:paraId="31C65695" w14:textId="77777777" w:rsidR="00C00737" w:rsidRDefault="0080496E">
          <w:pPr>
            <w:pStyle w:val="TOC1"/>
            <w:tabs>
              <w:tab w:val="left" w:pos="480"/>
              <w:tab w:val="right" w:leader="dot" w:pos="9016"/>
            </w:tabs>
            <w:rPr>
              <w:rFonts w:asciiTheme="minorHAnsi" w:hAnsiTheme="minorHAnsi"/>
              <w:noProof/>
            </w:rPr>
          </w:pPr>
          <w:hyperlink w:anchor="_Toc256000047" w:history="1">
            <w:r w:rsidR="00CC406C">
              <w:rPr>
                <w:rStyle w:val="Hyperlink"/>
              </w:rPr>
              <w:t>4.</w:t>
            </w:r>
            <w:r w:rsidR="00CC406C">
              <w:rPr>
                <w:rFonts w:asciiTheme="minorHAnsi" w:hAnsiTheme="minorHAnsi"/>
                <w:noProof/>
              </w:rPr>
              <w:tab/>
            </w:r>
            <w:r w:rsidR="00CC406C">
              <w:rPr>
                <w:rStyle w:val="Hyperlink"/>
              </w:rPr>
              <w:t>Cross-referenced ISMS Documents</w:t>
            </w:r>
            <w:r w:rsidR="00CC406C">
              <w:tab/>
            </w:r>
            <w:r w:rsidR="00CC406C">
              <w:fldChar w:fldCharType="begin"/>
            </w:r>
            <w:r w:rsidR="00CC406C">
              <w:instrText xml:space="preserve"> PAGEREF _Toc256000047 \h </w:instrText>
            </w:r>
            <w:r w:rsidR="00CC406C">
              <w:fldChar w:fldCharType="separate"/>
            </w:r>
            <w:r w:rsidR="00CC406C">
              <w:t>5</w:t>
            </w:r>
            <w:r w:rsidR="00CC406C">
              <w:fldChar w:fldCharType="end"/>
            </w:r>
          </w:hyperlink>
        </w:p>
        <w:p w14:paraId="20F45C76" w14:textId="77777777" w:rsidR="00C00737" w:rsidRDefault="0080496E">
          <w:pPr>
            <w:pStyle w:val="TOC1"/>
            <w:tabs>
              <w:tab w:val="left" w:pos="480"/>
              <w:tab w:val="right" w:leader="dot" w:pos="9016"/>
            </w:tabs>
            <w:rPr>
              <w:rFonts w:asciiTheme="minorHAnsi" w:hAnsiTheme="minorHAnsi"/>
              <w:noProof/>
            </w:rPr>
          </w:pPr>
          <w:hyperlink w:anchor="_Toc256000048" w:history="1">
            <w:r w:rsidR="00CC406C">
              <w:rPr>
                <w:rStyle w:val="Hyperlink"/>
              </w:rPr>
              <w:t>5.</w:t>
            </w:r>
            <w:r w:rsidR="00CC406C">
              <w:rPr>
                <w:rFonts w:asciiTheme="minorHAnsi" w:hAnsiTheme="minorHAnsi"/>
                <w:noProof/>
              </w:rPr>
              <w:tab/>
            </w:r>
            <w:r w:rsidR="00CC406C" w:rsidRPr="009D002B">
              <w:rPr>
                <w:rStyle w:val="Hyperlink"/>
              </w:rPr>
              <w:t>Appendices</w:t>
            </w:r>
            <w:r w:rsidR="00CC406C">
              <w:tab/>
            </w:r>
            <w:r w:rsidR="00CC406C">
              <w:fldChar w:fldCharType="begin"/>
            </w:r>
            <w:r w:rsidR="00CC406C">
              <w:instrText xml:space="preserve"> PAGEREF _Toc256000048 \h </w:instrText>
            </w:r>
            <w:r w:rsidR="00CC406C">
              <w:fldChar w:fldCharType="separate"/>
            </w:r>
            <w:r w:rsidR="00CC406C">
              <w:t>6</w:t>
            </w:r>
            <w:r w:rsidR="00CC406C">
              <w:fldChar w:fldCharType="end"/>
            </w:r>
          </w:hyperlink>
        </w:p>
        <w:p w14:paraId="598BD589" w14:textId="77777777" w:rsidR="00C00737" w:rsidRDefault="00CC406C" w:rsidP="006735AF">
          <w:pPr>
            <w:pStyle w:val="TOCHeading"/>
            <w:jc w:val="left"/>
          </w:pPr>
          <w:r>
            <w:fldChar w:fldCharType="end"/>
          </w:r>
        </w:p>
      </w:sdtContent>
    </w:sdt>
    <w:p w14:paraId="648BCB39" w14:textId="77777777" w:rsidR="0050071A" w:rsidRDefault="00CC406C" w:rsidP="0050071A">
      <w:pPr>
        <w:pStyle w:val="ISMSHeading1"/>
      </w:pPr>
      <w:r>
        <w:br w:type="page"/>
      </w:r>
      <w:bookmarkStart w:id="0" w:name="_Toc256000037"/>
      <w:bookmarkStart w:id="1" w:name="_Toc256000026"/>
      <w:bookmarkStart w:id="2" w:name="_Toc256000016"/>
      <w:bookmarkStart w:id="3" w:name="_Toc256000002"/>
      <w:bookmarkStart w:id="4" w:name="_Toc256000006"/>
      <w:bookmarkStart w:id="5" w:name="_Toc256000000"/>
      <w:bookmarkStart w:id="6" w:name="_Toc481579526"/>
      <w:bookmarkStart w:id="7" w:name="_Toc490662961"/>
      <w:bookmarkStart w:id="8" w:name="_Toc1038424"/>
      <w:r>
        <w:lastRenderedPageBreak/>
        <w:t>Purpose</w:t>
      </w:r>
      <w:bookmarkEnd w:id="0"/>
      <w:bookmarkEnd w:id="1"/>
      <w:bookmarkEnd w:id="2"/>
      <w:bookmarkEnd w:id="3"/>
      <w:bookmarkEnd w:id="4"/>
      <w:bookmarkEnd w:id="5"/>
      <w:bookmarkEnd w:id="6"/>
      <w:bookmarkEnd w:id="7"/>
      <w:bookmarkEnd w:id="8"/>
    </w:p>
    <w:p w14:paraId="62003D78" w14:textId="77777777" w:rsidR="00CF5AC4" w:rsidRDefault="00CC406C" w:rsidP="00C76644">
      <w:pPr>
        <w:pStyle w:val="ISMSNormal"/>
      </w:pPr>
      <w:r>
        <w:t>This document provides instructions for the TRE service team to assist during the migration of a project from the TRE to an</w:t>
      </w:r>
      <w:r w:rsidRPr="00BC28AF">
        <w:t xml:space="preserve"> </w:t>
      </w:r>
      <w:r>
        <w:t>alternative resource. It also provides guidance to personnel who are responsible for receiving the project, including the project team itself.</w:t>
      </w:r>
    </w:p>
    <w:p w14:paraId="3E4316C9" w14:textId="77777777" w:rsidR="00412AB7" w:rsidRDefault="0080496E" w:rsidP="00C76644">
      <w:pPr>
        <w:pStyle w:val="ISMSNormal"/>
      </w:pPr>
    </w:p>
    <w:p w14:paraId="2ECDEFF7" w14:textId="77777777" w:rsidR="00412AB7" w:rsidRDefault="00CC406C" w:rsidP="00C76644">
      <w:pPr>
        <w:pStyle w:val="ISMSNormal"/>
      </w:pPr>
      <w:r>
        <w:t>This SOP is supplemented by FORM-011 which must be completed by a project representative (preferably the PI) to provide their acceptance of a successfully completed migration.</w:t>
      </w:r>
    </w:p>
    <w:p w14:paraId="2D7BB37E" w14:textId="77777777" w:rsidR="00CE2A31" w:rsidRDefault="0080496E" w:rsidP="00C76644">
      <w:pPr>
        <w:pStyle w:val="ISMSNormal"/>
      </w:pPr>
    </w:p>
    <w:p w14:paraId="7DA1BDAA" w14:textId="77777777" w:rsidR="0050071A" w:rsidRDefault="00CC406C" w:rsidP="0050071A">
      <w:pPr>
        <w:pStyle w:val="ISMSHeading1"/>
      </w:pPr>
      <w:bookmarkStart w:id="9" w:name="_Toc256000038"/>
      <w:bookmarkStart w:id="10" w:name="_Toc256000027"/>
      <w:bookmarkStart w:id="11" w:name="_Toc256000017"/>
      <w:bookmarkStart w:id="12" w:name="_Toc256000008"/>
      <w:bookmarkStart w:id="13" w:name="_Toc256000007"/>
      <w:bookmarkStart w:id="14" w:name="_Toc256000001"/>
      <w:bookmarkStart w:id="15" w:name="_Toc481579527"/>
      <w:bookmarkStart w:id="16" w:name="_Toc490662962"/>
      <w:bookmarkStart w:id="17" w:name="_Toc1038425"/>
      <w:r>
        <w:t>Scope</w:t>
      </w:r>
      <w:bookmarkEnd w:id="9"/>
      <w:bookmarkEnd w:id="10"/>
      <w:bookmarkEnd w:id="11"/>
      <w:bookmarkEnd w:id="12"/>
      <w:bookmarkEnd w:id="13"/>
      <w:bookmarkEnd w:id="14"/>
      <w:bookmarkEnd w:id="15"/>
      <w:bookmarkEnd w:id="16"/>
      <w:bookmarkEnd w:id="17"/>
    </w:p>
    <w:p w14:paraId="40F61B3E" w14:textId="77777777" w:rsidR="00CE2A31" w:rsidRDefault="00CC406C" w:rsidP="00C76644">
      <w:pPr>
        <w:pStyle w:val="ISMSNormal"/>
      </w:pPr>
      <w:r w:rsidRPr="00CE2A31">
        <w:t>This document describes all the steps necessary to migrate a project from the Trustworthy Research Environment into an alternative resource.</w:t>
      </w:r>
      <w:r>
        <w:t xml:space="preserve"> However, not all these steps are the responsibility of the TRE service team, and therefore even though they are referenced here, they are out of scope* of this SOP. </w:t>
      </w:r>
      <w:r w:rsidRPr="005D50A8">
        <w:rPr>
          <w:i/>
        </w:rPr>
        <w:t>Table 1</w:t>
      </w:r>
      <w:r>
        <w:t xml:space="preserve"> defines these responsibilities.</w:t>
      </w:r>
    </w:p>
    <w:p w14:paraId="3C7FF65C" w14:textId="77777777" w:rsidR="009A7319" w:rsidRDefault="0080496E" w:rsidP="00C76644">
      <w:pPr>
        <w:pStyle w:val="ISMSNormal"/>
      </w:pPr>
    </w:p>
    <w:p w14:paraId="141B0349" w14:textId="77777777" w:rsidR="009A7319" w:rsidRDefault="00CC406C" w:rsidP="009A7319">
      <w:pPr>
        <w:pStyle w:val="ISMSNormal"/>
      </w:pPr>
      <w:r>
        <w:t xml:space="preserve">In the context of migration, the term ‘project’ is used here to describe the data and its associated integrity record, and all administrative paperwork related to the project’s contracts, governance, and ethics and data sharing agreements. These are the only assets belonging to a project that can be migrated as they will be compatible with the receiving system and are required for validating the migration. Examples of assets that are not transferrable are user accounts, software applications/licenses owned by the TRE service, project administrative data, dataset metadata, service change control records and system configuration data. </w:t>
      </w:r>
    </w:p>
    <w:p w14:paraId="6B59D584" w14:textId="77777777" w:rsidR="00B90369" w:rsidRDefault="0080496E" w:rsidP="00C76644">
      <w:pPr>
        <w:pStyle w:val="ISMSNormal"/>
      </w:pPr>
    </w:p>
    <w:p w14:paraId="70612C86" w14:textId="77777777" w:rsidR="00B90369" w:rsidRDefault="00CC406C" w:rsidP="00C76644">
      <w:pPr>
        <w:pStyle w:val="ISMSNormal"/>
      </w:pPr>
      <w:r>
        <w:t>*Out of scope of this procedure:</w:t>
      </w:r>
    </w:p>
    <w:p w14:paraId="5AF60F62" w14:textId="77777777" w:rsidR="00E24502" w:rsidRDefault="0080496E" w:rsidP="00C76644">
      <w:pPr>
        <w:pStyle w:val="ISMSNormal"/>
      </w:pPr>
    </w:p>
    <w:p w14:paraId="2CB90270" w14:textId="77777777" w:rsidR="00B90369" w:rsidRDefault="00CC406C" w:rsidP="00B90369">
      <w:pPr>
        <w:pStyle w:val="ISMSNormal"/>
        <w:numPr>
          <w:ilvl w:val="0"/>
          <w:numId w:val="9"/>
        </w:numPr>
      </w:pPr>
      <w:r>
        <w:t>Defining the criteria for selecting the receiving service</w:t>
      </w:r>
    </w:p>
    <w:p w14:paraId="509F4260" w14:textId="77777777" w:rsidR="00B90369" w:rsidRDefault="00CC406C" w:rsidP="00B90369">
      <w:pPr>
        <w:pStyle w:val="ISMSNormal"/>
        <w:numPr>
          <w:ilvl w:val="0"/>
          <w:numId w:val="9"/>
        </w:numPr>
      </w:pPr>
      <w:r>
        <w:t>Defining the criteria for selecting the data transfer method</w:t>
      </w:r>
    </w:p>
    <w:p w14:paraId="08C245DA" w14:textId="77777777" w:rsidR="00B90369" w:rsidRDefault="00CC406C" w:rsidP="00B90369">
      <w:pPr>
        <w:pStyle w:val="ISMSNormal"/>
        <w:numPr>
          <w:ilvl w:val="0"/>
          <w:numId w:val="9"/>
        </w:numPr>
      </w:pPr>
      <w:r>
        <w:t>Providing guidance for revising the Information Sharing documentation</w:t>
      </w:r>
    </w:p>
    <w:p w14:paraId="1FFE8208" w14:textId="77777777" w:rsidR="00B90369" w:rsidRDefault="00CC406C" w:rsidP="00B90369">
      <w:pPr>
        <w:pStyle w:val="ISMSNormal"/>
        <w:numPr>
          <w:ilvl w:val="0"/>
          <w:numId w:val="9"/>
        </w:numPr>
      </w:pPr>
      <w:r>
        <w:t>Providing guidance for preparing the data prior to export</w:t>
      </w:r>
    </w:p>
    <w:p w14:paraId="01CF2B7A" w14:textId="77777777" w:rsidR="00B90369" w:rsidRDefault="0080496E" w:rsidP="00B90369">
      <w:pPr>
        <w:pStyle w:val="ISMSNormal"/>
      </w:pPr>
    </w:p>
    <w:p w14:paraId="03C38E23" w14:textId="77777777" w:rsidR="00CF5AC4" w:rsidRDefault="00CC406C" w:rsidP="00B90369">
      <w:pPr>
        <w:pStyle w:val="ISMSNormal"/>
      </w:pPr>
      <w:r w:rsidRPr="00E24502">
        <w:rPr>
          <w:i/>
        </w:rPr>
        <w:t>Explanation for out-of-scope items</w:t>
      </w:r>
      <w:r>
        <w:t>: Although this document lists the data transfer options, recommendations for transfer method are out of scope because they must be determined by the data sharing agreement (or its equivalent) where the review of such documents shall be the responsibility of the receiving service and the project owner. It therefore follows that guidance for importing the TRE project into the receiving service is out of the scope of this SOP as this information should be provided to the project owner by the receiving service team.</w:t>
      </w:r>
    </w:p>
    <w:p w14:paraId="00308BA5" w14:textId="77777777" w:rsidR="00EF6FA2" w:rsidRPr="00285F9E" w:rsidRDefault="0080496E" w:rsidP="00B90369">
      <w:pPr>
        <w:pStyle w:val="ISMSNormal"/>
      </w:pPr>
    </w:p>
    <w:p w14:paraId="6169E284" w14:textId="77777777" w:rsidR="0050071A" w:rsidRDefault="00CC406C" w:rsidP="0050071A">
      <w:pPr>
        <w:pStyle w:val="ISMSHeading1"/>
      </w:pPr>
      <w:bookmarkStart w:id="18" w:name="_Toc256000039"/>
      <w:bookmarkStart w:id="19" w:name="_Toc256000028"/>
      <w:bookmarkStart w:id="20" w:name="_Toc256000018"/>
      <w:bookmarkStart w:id="21" w:name="_Toc256000012"/>
      <w:bookmarkStart w:id="22" w:name="_Toc256000009"/>
      <w:bookmarkStart w:id="23" w:name="_Toc256000003"/>
      <w:bookmarkStart w:id="24" w:name="_Toc481579529"/>
      <w:bookmarkStart w:id="25" w:name="_Toc490662964"/>
      <w:bookmarkStart w:id="26" w:name="_Toc1038427"/>
      <w:r>
        <w:t>Procedure</w:t>
      </w:r>
      <w:bookmarkEnd w:id="18"/>
      <w:bookmarkEnd w:id="19"/>
      <w:bookmarkEnd w:id="20"/>
      <w:bookmarkEnd w:id="21"/>
      <w:bookmarkEnd w:id="22"/>
      <w:bookmarkEnd w:id="23"/>
      <w:bookmarkEnd w:id="24"/>
      <w:bookmarkEnd w:id="25"/>
      <w:bookmarkEnd w:id="26"/>
    </w:p>
    <w:p w14:paraId="3623CBA2" w14:textId="77777777" w:rsidR="00A124BC" w:rsidRDefault="00CC406C" w:rsidP="00A124BC">
      <w:pPr>
        <w:pStyle w:val="ISMSHeading2"/>
      </w:pPr>
      <w:bookmarkStart w:id="27" w:name="_Toc256000040"/>
      <w:bookmarkStart w:id="28" w:name="_Toc256000029"/>
      <w:bookmarkStart w:id="29" w:name="_Toc256000019"/>
      <w:bookmarkStart w:id="30" w:name="_Toc256000013"/>
      <w:r>
        <w:t>Introduction</w:t>
      </w:r>
      <w:bookmarkEnd w:id="27"/>
      <w:bookmarkEnd w:id="28"/>
      <w:bookmarkEnd w:id="29"/>
    </w:p>
    <w:p w14:paraId="1647D37B" w14:textId="77777777" w:rsidR="004F46E4" w:rsidRPr="00C2072C" w:rsidRDefault="00CC406C" w:rsidP="004F46E4">
      <w:pPr>
        <w:pStyle w:val="ISMSNormal"/>
      </w:pPr>
      <w:r>
        <w:t xml:space="preserve">As explained in the previous section, this SOP focusses on the data transfer as this is the most critical aspect of TRE project migration from a security perspective. </w:t>
      </w:r>
      <w:r>
        <w:rPr>
          <w:lang w:val="en-GB"/>
        </w:rPr>
        <w:t xml:space="preserve">Although this SOP uses the term ‘data export’ it differs from operational TRE data exports conducted during the project lifetime which are described within SOP-07-02 TRE Data Export and Output Checking. The difference is that for migration, the TRE service team export the data placed in the ‘final-export’ directory, and do not conduct any </w:t>
      </w:r>
      <w:r>
        <w:rPr>
          <w:lang w:val="en-GB"/>
        </w:rPr>
        <w:lastRenderedPageBreak/>
        <w:t xml:space="preserve">output checking or assessment of the data contents (the exception is generating checksums for integrity checking). </w:t>
      </w:r>
      <w:proofErr w:type="gramStart"/>
      <w:r>
        <w:rPr>
          <w:lang w:val="en-GB"/>
        </w:rPr>
        <w:t>Therefore</w:t>
      </w:r>
      <w:proofErr w:type="gramEnd"/>
      <w:r>
        <w:rPr>
          <w:lang w:val="en-GB"/>
        </w:rPr>
        <w:t xml:space="preserve"> it is entirely the responsibility of the project owner to ensure the transfer of their data to their chosen destination meets the information governance requirements of their project.</w:t>
      </w:r>
    </w:p>
    <w:p w14:paraId="5C88D00D" w14:textId="77777777" w:rsidR="009C098D" w:rsidRPr="009C098D" w:rsidRDefault="0080496E" w:rsidP="009C098D">
      <w:pPr>
        <w:pStyle w:val="ISMSNormal"/>
        <w:rPr>
          <w:lang w:val="en-GB"/>
        </w:rPr>
      </w:pPr>
    </w:p>
    <w:p w14:paraId="07A26FAC" w14:textId="77777777" w:rsidR="00B90369" w:rsidRPr="005D50A8" w:rsidRDefault="00CC406C" w:rsidP="005D50A8">
      <w:pPr>
        <w:pStyle w:val="ISMSNormal"/>
      </w:pPr>
      <w:r w:rsidRPr="005D50A8">
        <w:t>The migration procedure comprises a sequence of activities, some</w:t>
      </w:r>
      <w:r>
        <w:t xml:space="preserve"> of which are already described</w:t>
      </w:r>
      <w:r w:rsidRPr="005D50A8">
        <w:t xml:space="preserve"> within existing TRE SOPs; TRE Access Control, TRE Dataset Destruction, TRE </w:t>
      </w:r>
      <w:r>
        <w:t xml:space="preserve">Change Control, </w:t>
      </w:r>
      <w:r w:rsidRPr="005D50A8">
        <w:t>Secure File Transfer</w:t>
      </w:r>
      <w:r>
        <w:t>,</w:t>
      </w:r>
      <w:r w:rsidRPr="005D50A8">
        <w:t xml:space="preserve"> and TRE Project Record Management</w:t>
      </w:r>
      <w:r>
        <w:t>. Where possible, these SOPs will be references, and therefore</w:t>
      </w:r>
      <w:r w:rsidRPr="005D50A8">
        <w:t xml:space="preserve"> the content of this SOP will</w:t>
      </w:r>
      <w:r>
        <w:t xml:space="preserve"> be kept to a minimum.</w:t>
      </w:r>
    </w:p>
    <w:p w14:paraId="7DA2D101" w14:textId="77777777" w:rsidR="0050071A" w:rsidRDefault="00CC406C" w:rsidP="00A124BC">
      <w:pPr>
        <w:pStyle w:val="ISMSHeading2"/>
      </w:pPr>
      <w:bookmarkStart w:id="31" w:name="_Toc256000041"/>
      <w:bookmarkStart w:id="32" w:name="_Toc256000030"/>
      <w:bookmarkStart w:id="33" w:name="_Toc256000020"/>
      <w:r>
        <w:t xml:space="preserve">Summary of </w:t>
      </w:r>
      <w:r w:rsidRPr="00B90369">
        <w:t>migration</w:t>
      </w:r>
      <w:r>
        <w:t xml:space="preserve"> steps</w:t>
      </w:r>
      <w:bookmarkEnd w:id="30"/>
      <w:bookmarkEnd w:id="31"/>
      <w:bookmarkEnd w:id="32"/>
      <w:bookmarkEnd w:id="33"/>
    </w:p>
    <w:p w14:paraId="6A39040E" w14:textId="77777777" w:rsidR="00A124BC" w:rsidRDefault="00CC406C" w:rsidP="00A124BC">
      <w:pPr>
        <w:pStyle w:val="Caption"/>
        <w:keepNext/>
      </w:pPr>
      <w:r>
        <w:t xml:space="preserve">Table </w:t>
      </w:r>
      <w:fldSimple w:instr=" SEQ Table \* ARABIC ">
        <w:r>
          <w:t>1</w:t>
        </w:r>
      </w:fldSimple>
    </w:p>
    <w:tbl>
      <w:tblPr>
        <w:tblStyle w:val="TableGrid"/>
        <w:tblW w:w="0" w:type="auto"/>
        <w:tblLook w:val="04A0" w:firstRow="1" w:lastRow="0" w:firstColumn="1" w:lastColumn="0" w:noHBand="0" w:noVBand="1"/>
      </w:tblPr>
      <w:tblGrid>
        <w:gridCol w:w="4508"/>
        <w:gridCol w:w="4508"/>
      </w:tblGrid>
      <w:tr w:rsidR="00C00737" w14:paraId="42620B76" w14:textId="77777777" w:rsidTr="002441E3">
        <w:tc>
          <w:tcPr>
            <w:tcW w:w="4508" w:type="dxa"/>
            <w:shd w:val="clear" w:color="auto" w:fill="D9D9D9" w:themeFill="background1" w:themeFillShade="D9"/>
          </w:tcPr>
          <w:p w14:paraId="285D6E1F" w14:textId="77777777" w:rsidR="002441E3" w:rsidRPr="002441E3" w:rsidRDefault="00CC406C" w:rsidP="002441E3">
            <w:pPr>
              <w:pStyle w:val="ISMSNormal"/>
              <w:jc w:val="center"/>
              <w:rPr>
                <w:b/>
                <w:lang w:val="en-GB"/>
              </w:rPr>
            </w:pPr>
            <w:r w:rsidRPr="002441E3">
              <w:rPr>
                <w:b/>
                <w:lang w:val="en-GB"/>
              </w:rPr>
              <w:t>Activity</w:t>
            </w:r>
          </w:p>
        </w:tc>
        <w:tc>
          <w:tcPr>
            <w:tcW w:w="4508" w:type="dxa"/>
            <w:shd w:val="clear" w:color="auto" w:fill="D9D9D9" w:themeFill="background1" w:themeFillShade="D9"/>
          </w:tcPr>
          <w:p w14:paraId="2356575B" w14:textId="77777777" w:rsidR="002441E3" w:rsidRPr="002441E3" w:rsidRDefault="00CC406C" w:rsidP="002441E3">
            <w:pPr>
              <w:pStyle w:val="ISMSNormal"/>
              <w:jc w:val="center"/>
              <w:rPr>
                <w:b/>
                <w:lang w:val="en-GB"/>
              </w:rPr>
            </w:pPr>
            <w:r w:rsidRPr="002441E3">
              <w:rPr>
                <w:b/>
                <w:lang w:val="en-GB"/>
              </w:rPr>
              <w:t>Responsibility</w:t>
            </w:r>
          </w:p>
        </w:tc>
      </w:tr>
      <w:tr w:rsidR="00C00737" w14:paraId="1BD96170" w14:textId="77777777" w:rsidTr="002441E3">
        <w:tc>
          <w:tcPr>
            <w:tcW w:w="4508" w:type="dxa"/>
          </w:tcPr>
          <w:p w14:paraId="465E79B2" w14:textId="77777777" w:rsidR="002441E3" w:rsidRDefault="00CC406C" w:rsidP="002441E3">
            <w:pPr>
              <w:pStyle w:val="ISMSNormal"/>
              <w:rPr>
                <w:lang w:val="en-GB"/>
              </w:rPr>
            </w:pPr>
            <w:r>
              <w:rPr>
                <w:lang w:val="en-GB"/>
              </w:rPr>
              <w:t>Destination service requirements gathered</w:t>
            </w:r>
          </w:p>
        </w:tc>
        <w:tc>
          <w:tcPr>
            <w:tcW w:w="4508" w:type="dxa"/>
          </w:tcPr>
          <w:p w14:paraId="316F749C" w14:textId="77777777" w:rsidR="002441E3" w:rsidRDefault="00CC406C" w:rsidP="002441E3">
            <w:pPr>
              <w:pStyle w:val="ISMSNormal"/>
              <w:rPr>
                <w:lang w:val="en-GB"/>
              </w:rPr>
            </w:pPr>
            <w:r>
              <w:rPr>
                <w:lang w:val="en-GB"/>
              </w:rPr>
              <w:t>Project Owner</w:t>
            </w:r>
          </w:p>
        </w:tc>
      </w:tr>
      <w:tr w:rsidR="00C00737" w14:paraId="3DDBA411" w14:textId="77777777" w:rsidTr="002441E3">
        <w:tc>
          <w:tcPr>
            <w:tcW w:w="4508" w:type="dxa"/>
          </w:tcPr>
          <w:p w14:paraId="7D7BB437" w14:textId="77777777" w:rsidR="00932057" w:rsidRDefault="00CC406C" w:rsidP="00932057">
            <w:pPr>
              <w:pStyle w:val="ISMSNormal"/>
              <w:rPr>
                <w:lang w:val="en-GB"/>
              </w:rPr>
            </w:pPr>
            <w:r w:rsidRPr="002441E3">
              <w:rPr>
                <w:lang w:val="en-GB"/>
              </w:rPr>
              <w:t>Destination service selected</w:t>
            </w:r>
          </w:p>
        </w:tc>
        <w:tc>
          <w:tcPr>
            <w:tcW w:w="4508" w:type="dxa"/>
          </w:tcPr>
          <w:p w14:paraId="0DBD9A78" w14:textId="77777777" w:rsidR="00932057" w:rsidRDefault="00CC406C" w:rsidP="00932057">
            <w:pPr>
              <w:pStyle w:val="ISMSNormal"/>
              <w:rPr>
                <w:lang w:val="en-GB"/>
              </w:rPr>
            </w:pPr>
            <w:r>
              <w:rPr>
                <w:lang w:val="en-GB"/>
              </w:rPr>
              <w:t>Project Owner</w:t>
            </w:r>
          </w:p>
        </w:tc>
      </w:tr>
      <w:tr w:rsidR="00C00737" w14:paraId="3F0FF910" w14:textId="77777777" w:rsidTr="002441E3">
        <w:tc>
          <w:tcPr>
            <w:tcW w:w="4508" w:type="dxa"/>
          </w:tcPr>
          <w:p w14:paraId="2E31FC0A" w14:textId="77777777" w:rsidR="002441E3" w:rsidRDefault="00CC406C" w:rsidP="002441E3">
            <w:pPr>
              <w:pStyle w:val="ISMSNormal"/>
              <w:rPr>
                <w:lang w:val="en-GB"/>
              </w:rPr>
            </w:pPr>
            <w:r>
              <w:rPr>
                <w:lang w:val="en-GB"/>
              </w:rPr>
              <w:t>*Method of data transfer selected</w:t>
            </w:r>
          </w:p>
        </w:tc>
        <w:tc>
          <w:tcPr>
            <w:tcW w:w="4508" w:type="dxa"/>
          </w:tcPr>
          <w:p w14:paraId="4E9ED9A2" w14:textId="77777777" w:rsidR="002441E3" w:rsidRDefault="00CC406C" w:rsidP="002441E3">
            <w:pPr>
              <w:pStyle w:val="ISMSNormal"/>
              <w:rPr>
                <w:lang w:val="en-GB"/>
              </w:rPr>
            </w:pPr>
            <w:r>
              <w:rPr>
                <w:lang w:val="en-GB"/>
              </w:rPr>
              <w:t>Project Owner and Receiving Service team</w:t>
            </w:r>
          </w:p>
        </w:tc>
      </w:tr>
      <w:tr w:rsidR="00C00737" w14:paraId="6ABC692E" w14:textId="77777777" w:rsidTr="002441E3">
        <w:tc>
          <w:tcPr>
            <w:tcW w:w="4508" w:type="dxa"/>
          </w:tcPr>
          <w:p w14:paraId="62D2B327" w14:textId="77777777" w:rsidR="002441E3" w:rsidRDefault="00CC406C" w:rsidP="002441E3">
            <w:pPr>
              <w:pStyle w:val="ISMSNormal"/>
              <w:rPr>
                <w:lang w:val="en-GB"/>
              </w:rPr>
            </w:pPr>
            <w:r>
              <w:rPr>
                <w:lang w:val="en-GB"/>
              </w:rPr>
              <w:t>Modification of Data Sharing Agreement and other IG records</w:t>
            </w:r>
          </w:p>
        </w:tc>
        <w:tc>
          <w:tcPr>
            <w:tcW w:w="4508" w:type="dxa"/>
          </w:tcPr>
          <w:p w14:paraId="482FBEED" w14:textId="77777777" w:rsidR="002441E3" w:rsidRDefault="00CC406C" w:rsidP="00884EBB">
            <w:pPr>
              <w:pStyle w:val="ISMSNormal"/>
              <w:jc w:val="left"/>
              <w:rPr>
                <w:lang w:val="en-GB"/>
              </w:rPr>
            </w:pPr>
            <w:r>
              <w:rPr>
                <w:lang w:val="en-GB"/>
              </w:rPr>
              <w:t>Project Owner and their appointed IG representative</w:t>
            </w:r>
          </w:p>
        </w:tc>
      </w:tr>
      <w:tr w:rsidR="00C00737" w14:paraId="1F9C9D7C" w14:textId="77777777" w:rsidTr="002441E3">
        <w:tc>
          <w:tcPr>
            <w:tcW w:w="4508" w:type="dxa"/>
          </w:tcPr>
          <w:p w14:paraId="591BF6CE" w14:textId="77777777" w:rsidR="002441E3" w:rsidRDefault="00CC406C" w:rsidP="002441E3">
            <w:pPr>
              <w:pStyle w:val="ISMSNormal"/>
              <w:rPr>
                <w:lang w:val="en-GB"/>
              </w:rPr>
            </w:pPr>
            <w:r>
              <w:rPr>
                <w:lang w:val="en-GB"/>
              </w:rPr>
              <w:t>*Preparing data for export</w:t>
            </w:r>
          </w:p>
        </w:tc>
        <w:tc>
          <w:tcPr>
            <w:tcW w:w="4508" w:type="dxa"/>
          </w:tcPr>
          <w:p w14:paraId="20D828A9" w14:textId="77777777" w:rsidR="002441E3" w:rsidRDefault="00CC406C" w:rsidP="002441E3">
            <w:pPr>
              <w:pStyle w:val="ISMSNormal"/>
              <w:rPr>
                <w:lang w:val="en-GB"/>
              </w:rPr>
            </w:pPr>
            <w:r>
              <w:rPr>
                <w:lang w:val="en-GB"/>
              </w:rPr>
              <w:t>Project Owner</w:t>
            </w:r>
          </w:p>
        </w:tc>
      </w:tr>
      <w:tr w:rsidR="00C00737" w14:paraId="7CC8557E" w14:textId="77777777" w:rsidTr="002441E3">
        <w:tc>
          <w:tcPr>
            <w:tcW w:w="4508" w:type="dxa"/>
          </w:tcPr>
          <w:p w14:paraId="56525977" w14:textId="77777777" w:rsidR="002441E3" w:rsidRDefault="00CC406C" w:rsidP="00884EBB">
            <w:pPr>
              <w:pStyle w:val="ISMSNormal"/>
              <w:rPr>
                <w:lang w:val="en-GB"/>
              </w:rPr>
            </w:pPr>
            <w:r>
              <w:rPr>
                <w:lang w:val="en-GB"/>
              </w:rPr>
              <w:t>Selection of data transfer method</w:t>
            </w:r>
          </w:p>
        </w:tc>
        <w:tc>
          <w:tcPr>
            <w:tcW w:w="4508" w:type="dxa"/>
          </w:tcPr>
          <w:p w14:paraId="303F05A5" w14:textId="77777777" w:rsidR="002441E3" w:rsidRDefault="00CC406C" w:rsidP="00884EBB">
            <w:pPr>
              <w:pStyle w:val="ISMSNormal"/>
              <w:jc w:val="left"/>
              <w:rPr>
                <w:lang w:val="en-GB"/>
              </w:rPr>
            </w:pPr>
            <w:r>
              <w:rPr>
                <w:lang w:val="en-GB"/>
              </w:rPr>
              <w:t>Project Owner and their appointed IG representative</w:t>
            </w:r>
          </w:p>
        </w:tc>
      </w:tr>
      <w:tr w:rsidR="00C00737" w14:paraId="24E149E3" w14:textId="77777777" w:rsidTr="002441E3">
        <w:tc>
          <w:tcPr>
            <w:tcW w:w="4508" w:type="dxa"/>
          </w:tcPr>
          <w:p w14:paraId="2C84B8B6" w14:textId="77777777" w:rsidR="002441E3" w:rsidRDefault="00CC406C" w:rsidP="002441E3">
            <w:pPr>
              <w:pStyle w:val="ISMSNormal"/>
              <w:rPr>
                <w:lang w:val="en-GB"/>
              </w:rPr>
            </w:pPr>
            <w:r>
              <w:rPr>
                <w:lang w:val="en-GB"/>
              </w:rPr>
              <w:t>Transfer of data to Receiving Service</w:t>
            </w:r>
          </w:p>
        </w:tc>
        <w:tc>
          <w:tcPr>
            <w:tcW w:w="4508" w:type="dxa"/>
          </w:tcPr>
          <w:p w14:paraId="7AAEF45B" w14:textId="77777777" w:rsidR="002441E3" w:rsidRDefault="00CC406C" w:rsidP="002441E3">
            <w:pPr>
              <w:pStyle w:val="ISMSNormal"/>
              <w:rPr>
                <w:lang w:val="en-GB"/>
              </w:rPr>
            </w:pPr>
            <w:r>
              <w:rPr>
                <w:lang w:val="en-GB"/>
              </w:rPr>
              <w:t>TRE Service team and/or Receiving Service team &amp; Project Owner</w:t>
            </w:r>
          </w:p>
        </w:tc>
      </w:tr>
      <w:tr w:rsidR="00C00737" w14:paraId="3E74C2F0" w14:textId="77777777" w:rsidTr="002441E3">
        <w:tc>
          <w:tcPr>
            <w:tcW w:w="4508" w:type="dxa"/>
          </w:tcPr>
          <w:p w14:paraId="71DC42A2" w14:textId="77777777" w:rsidR="00884EBB" w:rsidRDefault="00CC406C" w:rsidP="002441E3">
            <w:pPr>
              <w:pStyle w:val="ISMSNormal"/>
              <w:rPr>
                <w:lang w:val="en-GB"/>
              </w:rPr>
            </w:pPr>
            <w:r>
              <w:rPr>
                <w:lang w:val="en-GB"/>
              </w:rPr>
              <w:t>Import of data into Receiving Service</w:t>
            </w:r>
          </w:p>
        </w:tc>
        <w:tc>
          <w:tcPr>
            <w:tcW w:w="4508" w:type="dxa"/>
          </w:tcPr>
          <w:p w14:paraId="29F53165" w14:textId="77777777" w:rsidR="00884EBB" w:rsidRDefault="00CC406C" w:rsidP="002441E3">
            <w:pPr>
              <w:pStyle w:val="ISMSNormal"/>
              <w:rPr>
                <w:lang w:val="en-GB"/>
              </w:rPr>
            </w:pPr>
            <w:r>
              <w:rPr>
                <w:lang w:val="en-GB"/>
              </w:rPr>
              <w:t>Receiving Service team</w:t>
            </w:r>
          </w:p>
        </w:tc>
      </w:tr>
      <w:tr w:rsidR="00C00737" w14:paraId="24C3D96A" w14:textId="77777777" w:rsidTr="002441E3">
        <w:tc>
          <w:tcPr>
            <w:tcW w:w="4508" w:type="dxa"/>
          </w:tcPr>
          <w:p w14:paraId="20674376" w14:textId="77777777" w:rsidR="00884EBB" w:rsidRDefault="00CC406C" w:rsidP="002441E3">
            <w:pPr>
              <w:pStyle w:val="ISMSNormal"/>
              <w:rPr>
                <w:lang w:val="en-GB"/>
              </w:rPr>
            </w:pPr>
            <w:r>
              <w:rPr>
                <w:lang w:val="en-GB"/>
              </w:rPr>
              <w:t>Validation of imported data</w:t>
            </w:r>
          </w:p>
        </w:tc>
        <w:tc>
          <w:tcPr>
            <w:tcW w:w="4508" w:type="dxa"/>
          </w:tcPr>
          <w:p w14:paraId="3493CA47" w14:textId="77777777" w:rsidR="00884EBB" w:rsidRDefault="00CC406C" w:rsidP="002441E3">
            <w:pPr>
              <w:pStyle w:val="ISMSNormal"/>
              <w:rPr>
                <w:lang w:val="en-GB"/>
              </w:rPr>
            </w:pPr>
            <w:r>
              <w:rPr>
                <w:lang w:val="en-GB"/>
              </w:rPr>
              <w:t>Project Owner and Receiving Service team</w:t>
            </w:r>
          </w:p>
        </w:tc>
      </w:tr>
      <w:tr w:rsidR="00C00737" w14:paraId="6D7F28EF" w14:textId="77777777" w:rsidTr="002441E3">
        <w:tc>
          <w:tcPr>
            <w:tcW w:w="4508" w:type="dxa"/>
          </w:tcPr>
          <w:p w14:paraId="08788643" w14:textId="77777777" w:rsidR="002441E3" w:rsidRDefault="00CC406C" w:rsidP="00932057">
            <w:pPr>
              <w:pStyle w:val="ISMSNormal"/>
              <w:rPr>
                <w:lang w:val="en-GB"/>
              </w:rPr>
            </w:pPr>
            <w:r>
              <w:rPr>
                <w:lang w:val="en-GB"/>
              </w:rPr>
              <w:t>*Revocation of TRE user access</w:t>
            </w:r>
          </w:p>
        </w:tc>
        <w:tc>
          <w:tcPr>
            <w:tcW w:w="4508" w:type="dxa"/>
          </w:tcPr>
          <w:p w14:paraId="12C36826" w14:textId="77777777" w:rsidR="002441E3" w:rsidRDefault="00CC406C" w:rsidP="002441E3">
            <w:pPr>
              <w:pStyle w:val="ISMSNormal"/>
              <w:rPr>
                <w:lang w:val="en-GB"/>
              </w:rPr>
            </w:pPr>
            <w:r>
              <w:rPr>
                <w:lang w:val="en-GB"/>
              </w:rPr>
              <w:t>TRE Service team</w:t>
            </w:r>
          </w:p>
        </w:tc>
      </w:tr>
      <w:tr w:rsidR="00C00737" w14:paraId="4817323F" w14:textId="77777777" w:rsidTr="002441E3">
        <w:tc>
          <w:tcPr>
            <w:tcW w:w="4508" w:type="dxa"/>
          </w:tcPr>
          <w:p w14:paraId="42523C54" w14:textId="77777777" w:rsidR="00884EBB" w:rsidRDefault="00CC406C" w:rsidP="002441E3">
            <w:pPr>
              <w:pStyle w:val="ISMSNormal"/>
              <w:rPr>
                <w:lang w:val="en-GB"/>
              </w:rPr>
            </w:pPr>
            <w:r>
              <w:rPr>
                <w:lang w:val="en-GB"/>
              </w:rPr>
              <w:t>*Destruction of TRE Data</w:t>
            </w:r>
          </w:p>
        </w:tc>
        <w:tc>
          <w:tcPr>
            <w:tcW w:w="4508" w:type="dxa"/>
          </w:tcPr>
          <w:p w14:paraId="67E144BF" w14:textId="77777777" w:rsidR="00884EBB" w:rsidRDefault="00CC406C" w:rsidP="002441E3">
            <w:pPr>
              <w:pStyle w:val="ISMSNormal"/>
              <w:rPr>
                <w:lang w:val="en-GB"/>
              </w:rPr>
            </w:pPr>
            <w:r>
              <w:rPr>
                <w:lang w:val="en-GB"/>
              </w:rPr>
              <w:t>TRE Service team</w:t>
            </w:r>
          </w:p>
        </w:tc>
      </w:tr>
      <w:tr w:rsidR="00C00737" w14:paraId="35BD6B52" w14:textId="77777777" w:rsidTr="002441E3">
        <w:tc>
          <w:tcPr>
            <w:tcW w:w="4508" w:type="dxa"/>
          </w:tcPr>
          <w:p w14:paraId="3CEF7314" w14:textId="77777777" w:rsidR="00B90369" w:rsidRDefault="00CC406C" w:rsidP="002441E3">
            <w:pPr>
              <w:pStyle w:val="ISMSNormal"/>
              <w:rPr>
                <w:lang w:val="en-GB"/>
              </w:rPr>
            </w:pPr>
            <w:r>
              <w:rPr>
                <w:lang w:val="en-GB"/>
              </w:rPr>
              <w:t>*TRE Dataset catalogue records archived</w:t>
            </w:r>
          </w:p>
        </w:tc>
        <w:tc>
          <w:tcPr>
            <w:tcW w:w="4508" w:type="dxa"/>
          </w:tcPr>
          <w:p w14:paraId="491E9816" w14:textId="77777777" w:rsidR="00B90369" w:rsidRDefault="00CC406C" w:rsidP="002441E3">
            <w:pPr>
              <w:pStyle w:val="ISMSNormal"/>
              <w:rPr>
                <w:lang w:val="en-GB"/>
              </w:rPr>
            </w:pPr>
            <w:r>
              <w:rPr>
                <w:lang w:val="en-GB"/>
              </w:rPr>
              <w:t>TRE Service team</w:t>
            </w:r>
          </w:p>
        </w:tc>
      </w:tr>
    </w:tbl>
    <w:p w14:paraId="3ECAEEC6" w14:textId="77777777" w:rsidR="002441E3" w:rsidRDefault="00CC406C" w:rsidP="00A124BC">
      <w:pPr>
        <w:pStyle w:val="ISMSNormal"/>
        <w:rPr>
          <w:lang w:val="en-GB"/>
        </w:rPr>
      </w:pPr>
      <w:r w:rsidRPr="00A124BC">
        <w:rPr>
          <w:lang w:val="en-GB"/>
        </w:rPr>
        <w:t>*</w:t>
      </w:r>
      <w:r>
        <w:rPr>
          <w:lang w:val="en-GB"/>
        </w:rPr>
        <w:t xml:space="preserve"> Described within this SOP</w:t>
      </w:r>
    </w:p>
    <w:p w14:paraId="0A36EE6F" w14:textId="77777777" w:rsidR="00A124BC" w:rsidRDefault="0080496E" w:rsidP="00A124BC">
      <w:pPr>
        <w:pStyle w:val="ISMSNormal"/>
        <w:rPr>
          <w:lang w:val="en-GB"/>
        </w:rPr>
      </w:pPr>
    </w:p>
    <w:p w14:paraId="7865DD41" w14:textId="77777777" w:rsidR="00A124BC" w:rsidRDefault="00CC406C" w:rsidP="00A124BC">
      <w:pPr>
        <w:pStyle w:val="ISMSHeading2"/>
      </w:pPr>
      <w:bookmarkStart w:id="34" w:name="_Toc256000042"/>
      <w:bookmarkStart w:id="35" w:name="_Toc256000031"/>
      <w:bookmarkStart w:id="36" w:name="_Toc256000021"/>
      <w:r>
        <w:t>Options for transferring data</w:t>
      </w:r>
      <w:bookmarkEnd w:id="34"/>
      <w:bookmarkEnd w:id="35"/>
      <w:bookmarkEnd w:id="36"/>
    </w:p>
    <w:p w14:paraId="76E60B02" w14:textId="77777777" w:rsidR="00A124BC" w:rsidRDefault="00CC406C" w:rsidP="00A124BC">
      <w:pPr>
        <w:pStyle w:val="ISMSNormal"/>
        <w:rPr>
          <w:lang w:val="en-GB"/>
        </w:rPr>
      </w:pPr>
      <w:r>
        <w:rPr>
          <w:lang w:val="en-GB"/>
        </w:rPr>
        <w:t>The TRE service supports 3 options for the transfer of exported data:</w:t>
      </w:r>
    </w:p>
    <w:p w14:paraId="72414A6D" w14:textId="77777777" w:rsidR="005B2C11" w:rsidRDefault="0080496E" w:rsidP="00A124BC">
      <w:pPr>
        <w:pStyle w:val="ISMSNormal"/>
        <w:rPr>
          <w:lang w:val="en-GB"/>
        </w:rPr>
      </w:pPr>
    </w:p>
    <w:p w14:paraId="4DD13DCB" w14:textId="77777777" w:rsidR="00A124BC" w:rsidRDefault="00CC406C" w:rsidP="00A124BC">
      <w:pPr>
        <w:pStyle w:val="ISMSNormal"/>
        <w:numPr>
          <w:ilvl w:val="0"/>
          <w:numId w:val="11"/>
        </w:numPr>
        <w:rPr>
          <w:lang w:val="en-GB"/>
        </w:rPr>
      </w:pPr>
      <w:r>
        <w:rPr>
          <w:lang w:val="en-GB"/>
        </w:rPr>
        <w:t xml:space="preserve">SFTP: TRE end-point uploads data to Destination </w:t>
      </w:r>
      <w:proofErr w:type="gramStart"/>
      <w:r>
        <w:rPr>
          <w:lang w:val="en-GB"/>
        </w:rPr>
        <w:t>end-point</w:t>
      </w:r>
      <w:proofErr w:type="gramEnd"/>
    </w:p>
    <w:p w14:paraId="6F3C7ADF" w14:textId="77777777" w:rsidR="00A124BC" w:rsidRDefault="00CC406C" w:rsidP="00A124BC">
      <w:pPr>
        <w:pStyle w:val="ISMSNormal"/>
        <w:numPr>
          <w:ilvl w:val="0"/>
          <w:numId w:val="11"/>
        </w:numPr>
        <w:rPr>
          <w:lang w:val="en-GB"/>
        </w:rPr>
      </w:pPr>
      <w:r>
        <w:rPr>
          <w:lang w:val="en-GB"/>
        </w:rPr>
        <w:t>Portable encrypted storage device</w:t>
      </w:r>
    </w:p>
    <w:p w14:paraId="7E42ACF3" w14:textId="77777777" w:rsidR="005B2C11" w:rsidRPr="005B2C11" w:rsidRDefault="00CC406C" w:rsidP="00A124BC">
      <w:pPr>
        <w:pStyle w:val="ISMSNormal"/>
        <w:numPr>
          <w:ilvl w:val="0"/>
          <w:numId w:val="11"/>
        </w:numPr>
        <w:rPr>
          <w:lang w:val="en-GB"/>
        </w:rPr>
      </w:pPr>
      <w:r>
        <w:rPr>
          <w:lang w:val="en-GB"/>
        </w:rPr>
        <w:t xml:space="preserve">SFTP: Destination end-point downloads data from TRE </w:t>
      </w:r>
      <w:proofErr w:type="gramStart"/>
      <w:r>
        <w:rPr>
          <w:lang w:val="en-GB"/>
        </w:rPr>
        <w:t>end-point</w:t>
      </w:r>
      <w:proofErr w:type="gramEnd"/>
    </w:p>
    <w:p w14:paraId="5EF1F4DD" w14:textId="77777777" w:rsidR="005B2C11" w:rsidRDefault="0080496E" w:rsidP="00A124BC">
      <w:pPr>
        <w:pStyle w:val="ISMSNormal"/>
        <w:rPr>
          <w:lang w:val="en-GB"/>
        </w:rPr>
      </w:pPr>
    </w:p>
    <w:p w14:paraId="034BB59B" w14:textId="77777777" w:rsidR="005B2C11" w:rsidRDefault="00CC406C" w:rsidP="00A124BC">
      <w:pPr>
        <w:pStyle w:val="ISMSNormal"/>
        <w:rPr>
          <w:lang w:val="en-GB"/>
        </w:rPr>
      </w:pPr>
      <w:r w:rsidRPr="005B2C11">
        <w:rPr>
          <w:u w:val="single"/>
          <w:lang w:val="en-GB"/>
        </w:rPr>
        <w:t>Option 1</w:t>
      </w:r>
      <w:r>
        <w:rPr>
          <w:lang w:val="en-GB"/>
        </w:rPr>
        <w:t xml:space="preserve"> requires the destination system to accept SSH connections and must be running an SFTP service that allows the authenticated user to access their home area and place their data there. Authentication by SSH key-pairs should be used where possible. If the destination requires connection from a proprietary file transfer client, this will be to be compatible with the TRE (packaged for RedHat Linux) and provided to the TRE service team to be installed on the TRE project virtual machine.</w:t>
      </w:r>
    </w:p>
    <w:p w14:paraId="0A829D54" w14:textId="77777777" w:rsidR="005B2C11" w:rsidRDefault="0080496E" w:rsidP="00A124BC">
      <w:pPr>
        <w:pStyle w:val="ISMSNormal"/>
        <w:rPr>
          <w:lang w:val="en-GB"/>
        </w:rPr>
      </w:pPr>
    </w:p>
    <w:p w14:paraId="4FDA64D3" w14:textId="77777777" w:rsidR="005B2C11" w:rsidRDefault="00CC406C" w:rsidP="00A124BC">
      <w:pPr>
        <w:pStyle w:val="ISMSNormal"/>
        <w:rPr>
          <w:lang w:val="en-GB"/>
        </w:rPr>
      </w:pPr>
      <w:r w:rsidRPr="005B2C11">
        <w:rPr>
          <w:u w:val="single"/>
          <w:lang w:val="en-GB"/>
        </w:rPr>
        <w:lastRenderedPageBreak/>
        <w:t>Option 2</w:t>
      </w:r>
      <w:r>
        <w:rPr>
          <w:lang w:val="en-GB"/>
        </w:rPr>
        <w:t xml:space="preserve"> requires the destination system to be compatible with a USB storage device encrypted with either BitLocker or VeraCrypt software.</w:t>
      </w:r>
    </w:p>
    <w:p w14:paraId="085AE42A" w14:textId="77777777" w:rsidR="005B2C11" w:rsidRDefault="0080496E" w:rsidP="00A124BC">
      <w:pPr>
        <w:pStyle w:val="ISMSNormal"/>
        <w:rPr>
          <w:lang w:val="en-GB"/>
        </w:rPr>
      </w:pPr>
    </w:p>
    <w:p w14:paraId="21EFCA92" w14:textId="77777777" w:rsidR="00A124BC" w:rsidRDefault="00CC406C" w:rsidP="00A124BC">
      <w:pPr>
        <w:pStyle w:val="ISMSNormal"/>
        <w:rPr>
          <w:lang w:val="en-GB"/>
        </w:rPr>
      </w:pPr>
      <w:r w:rsidRPr="005B2C11">
        <w:rPr>
          <w:u w:val="single"/>
          <w:lang w:val="en-GB"/>
        </w:rPr>
        <w:t>Option 3</w:t>
      </w:r>
      <w:r>
        <w:rPr>
          <w:lang w:val="en-GB"/>
        </w:rPr>
        <w:t xml:space="preserve"> should follow SOP-09-14 Secure File Transfer Client Setup to establish an SFTP connect from the Receiving system to the TRE. </w:t>
      </w:r>
    </w:p>
    <w:p w14:paraId="073AF612" w14:textId="77777777" w:rsidR="00A124BC" w:rsidRPr="00A124BC" w:rsidRDefault="00CC406C" w:rsidP="00A124BC">
      <w:pPr>
        <w:pStyle w:val="ISMSNormal"/>
        <w:rPr>
          <w:lang w:val="en-GB"/>
        </w:rPr>
      </w:pPr>
      <w:r>
        <w:rPr>
          <w:lang w:val="en-GB"/>
        </w:rPr>
        <w:t xml:space="preserve"> </w:t>
      </w:r>
    </w:p>
    <w:p w14:paraId="7BFEB866" w14:textId="77777777" w:rsidR="0050071A" w:rsidRDefault="00CC406C" w:rsidP="005B2C11">
      <w:pPr>
        <w:pStyle w:val="ISMSHeading2"/>
      </w:pPr>
      <w:bookmarkStart w:id="37" w:name="_Toc256000043"/>
      <w:bookmarkStart w:id="38" w:name="_Toc256000032"/>
      <w:bookmarkStart w:id="39" w:name="_Toc256000022"/>
      <w:r>
        <w:t>Preparing data for export</w:t>
      </w:r>
      <w:bookmarkEnd w:id="37"/>
      <w:bookmarkEnd w:id="38"/>
      <w:bookmarkEnd w:id="39"/>
    </w:p>
    <w:p w14:paraId="75F5132B" w14:textId="77777777" w:rsidR="009C098D" w:rsidRDefault="00CC406C" w:rsidP="005B2C11">
      <w:pPr>
        <w:pStyle w:val="ISMSNormal"/>
        <w:rPr>
          <w:lang w:val="en-GB"/>
        </w:rPr>
      </w:pPr>
      <w:r>
        <w:rPr>
          <w:lang w:val="en-GB"/>
        </w:rPr>
        <w:t>Unless the TRE project’s users will be transferring their data themselves (via either Option 1 or 3 from the previous section), the TRE service team will prepare the export of the entire contents of the /home/final-export directory. In this scenario, the TRE service team will compress both the /home/final-export directory into a single zip file, or multiple zip files to ensure no file is larger than about 25GB (where feasible). The TRE service team will generate a SHA256 checksum value for each zip file and provide it to the TRE user so that it can be used at the destination to validate the data transfer.</w:t>
      </w:r>
    </w:p>
    <w:p w14:paraId="55ED4B09" w14:textId="77777777" w:rsidR="00A32E08" w:rsidRDefault="00CC406C" w:rsidP="00A32E08">
      <w:pPr>
        <w:pStyle w:val="ISMSHeading2"/>
      </w:pPr>
      <w:bookmarkStart w:id="40" w:name="_Toc256000044"/>
      <w:r>
        <w:t>Portable Storage Device encryption</w:t>
      </w:r>
      <w:bookmarkEnd w:id="40"/>
    </w:p>
    <w:p w14:paraId="0B648033" w14:textId="77777777" w:rsidR="00A32E08" w:rsidRDefault="00CC406C" w:rsidP="00A32E08">
      <w:pPr>
        <w:pStyle w:val="ISMSNormal"/>
        <w:rPr>
          <w:lang w:val="en-GB"/>
        </w:rPr>
      </w:pPr>
      <w:r>
        <w:rPr>
          <w:lang w:val="en-GB"/>
        </w:rPr>
        <w:t>If the data is to be moved from the TRE onto the destination via a portable storage device, this must be encrypted using the AES256 algorithm using either BitLocker or VeraCrypt software. Additionally, an authentication key-file must be used to further protect the contents. With VeraCrypt, the key-file can be any type of file of any content. With BitLocker, a key-file is generated with the BitLocker software when key-file authentication is selected. This key-file is then presented as a text file.</w:t>
      </w:r>
    </w:p>
    <w:p w14:paraId="2996D588" w14:textId="77777777" w:rsidR="00A32E08" w:rsidRDefault="0080496E" w:rsidP="00A32E08">
      <w:pPr>
        <w:pStyle w:val="ISMSNormal"/>
        <w:rPr>
          <w:lang w:val="en-GB"/>
        </w:rPr>
      </w:pPr>
    </w:p>
    <w:p w14:paraId="1A8A944E" w14:textId="77777777" w:rsidR="00A32E08" w:rsidRDefault="00CC406C" w:rsidP="00A32E08">
      <w:pPr>
        <w:pStyle w:val="ISMSNormal"/>
        <w:rPr>
          <w:lang w:val="en-GB"/>
        </w:rPr>
      </w:pPr>
      <w:r>
        <w:rPr>
          <w:lang w:val="en-GB"/>
        </w:rPr>
        <w:t xml:space="preserve">In either case, the encrypted storage device must always be stored in TRE SAFE-001 when not in use, and the associated key-file also stored in this safe on a USB memory stick (orange Lanyard). </w:t>
      </w:r>
    </w:p>
    <w:p w14:paraId="51683C44" w14:textId="77777777" w:rsidR="00A32E08" w:rsidRPr="00A32E08" w:rsidRDefault="0080496E" w:rsidP="00A32E08">
      <w:pPr>
        <w:pStyle w:val="ISMSNormal"/>
        <w:rPr>
          <w:lang w:val="en-GB"/>
        </w:rPr>
      </w:pPr>
    </w:p>
    <w:p w14:paraId="26DCE4EE" w14:textId="77777777" w:rsidR="0044266B" w:rsidRDefault="00CC406C" w:rsidP="0044266B">
      <w:pPr>
        <w:pStyle w:val="ISMSHeading2"/>
      </w:pPr>
      <w:bookmarkStart w:id="41" w:name="_Toc256000045"/>
      <w:bookmarkStart w:id="42" w:name="_Toc256000033"/>
      <w:r>
        <w:t>Project Migration Acceptance</w:t>
      </w:r>
      <w:bookmarkEnd w:id="41"/>
      <w:bookmarkEnd w:id="42"/>
    </w:p>
    <w:p w14:paraId="03474B57" w14:textId="77777777" w:rsidR="0044266B" w:rsidRDefault="00CC406C" w:rsidP="005B2C11">
      <w:pPr>
        <w:pStyle w:val="ISMSNormal"/>
        <w:rPr>
          <w:lang w:val="en-GB"/>
        </w:rPr>
      </w:pPr>
      <w:r>
        <w:rPr>
          <w:lang w:val="en-GB"/>
        </w:rPr>
        <w:t xml:space="preserve">To minimise security risk, after the TRE project’s data has been transferred into the receiving system, the project owner will have 1 week to validate their </w:t>
      </w:r>
      <w:proofErr w:type="gramStart"/>
      <w:r>
        <w:rPr>
          <w:lang w:val="en-GB"/>
        </w:rPr>
        <w:t>data, and</w:t>
      </w:r>
      <w:proofErr w:type="gramEnd"/>
      <w:r>
        <w:rPr>
          <w:lang w:val="en-GB"/>
        </w:rPr>
        <w:t xml:space="preserve"> provide their written acceptance within document FORM-011. The TRE service team reserves the right to permanently delete all project data within 1 month of completing the migration.</w:t>
      </w:r>
    </w:p>
    <w:p w14:paraId="61220A04" w14:textId="77777777" w:rsidR="0044266B" w:rsidRDefault="0080496E" w:rsidP="005B2C11">
      <w:pPr>
        <w:pStyle w:val="ISMSNormal"/>
        <w:rPr>
          <w:lang w:val="en-GB"/>
        </w:rPr>
      </w:pPr>
    </w:p>
    <w:p w14:paraId="71E72B3F" w14:textId="77777777" w:rsidR="009C098D" w:rsidRDefault="00CC406C" w:rsidP="009C098D">
      <w:pPr>
        <w:pStyle w:val="ISMSHeading2"/>
      </w:pPr>
      <w:bookmarkStart w:id="43" w:name="_Toc256000046"/>
      <w:bookmarkStart w:id="44" w:name="_Toc256000034"/>
      <w:bookmarkStart w:id="45" w:name="_Toc256000023"/>
      <w:r>
        <w:t>TRE Project Closure and Data Destruction</w:t>
      </w:r>
      <w:bookmarkEnd w:id="43"/>
      <w:bookmarkEnd w:id="44"/>
      <w:bookmarkEnd w:id="45"/>
    </w:p>
    <w:p w14:paraId="4C730107" w14:textId="77777777" w:rsidR="009C098D" w:rsidRDefault="00CC406C" w:rsidP="005B2C11">
      <w:pPr>
        <w:pStyle w:val="ISMSNormal"/>
        <w:rPr>
          <w:lang w:val="en-GB"/>
        </w:rPr>
      </w:pPr>
      <w:r>
        <w:rPr>
          <w:lang w:val="en-GB"/>
        </w:rPr>
        <w:t>Following successful TRE project migration, the following activities will be completed by the TRE service team in accordance with the corresponding TRE SOP:</w:t>
      </w:r>
    </w:p>
    <w:p w14:paraId="72FB4E2B" w14:textId="77777777" w:rsidR="009C098D" w:rsidRDefault="0080496E" w:rsidP="005B2C11">
      <w:pPr>
        <w:pStyle w:val="ISMSNormal"/>
        <w:rPr>
          <w:lang w:val="en-GB"/>
        </w:rPr>
      </w:pPr>
    </w:p>
    <w:p w14:paraId="2DF2C5A7" w14:textId="77777777" w:rsidR="009C098D" w:rsidRDefault="00CC406C" w:rsidP="009C098D">
      <w:pPr>
        <w:pStyle w:val="ISMSNormal"/>
        <w:numPr>
          <w:ilvl w:val="0"/>
          <w:numId w:val="12"/>
        </w:numPr>
        <w:rPr>
          <w:lang w:val="en-GB"/>
        </w:rPr>
      </w:pPr>
      <w:r>
        <w:rPr>
          <w:lang w:val="en-GB"/>
        </w:rPr>
        <w:t xml:space="preserve">Revocation of TRE user access: </w:t>
      </w:r>
      <w:r w:rsidRPr="009C098D">
        <w:rPr>
          <w:i/>
          <w:lang w:val="en-GB"/>
        </w:rPr>
        <w:t>SOP-09-13 TRE Access Control</w:t>
      </w:r>
    </w:p>
    <w:p w14:paraId="55955F39" w14:textId="77777777" w:rsidR="009C098D" w:rsidRPr="00DB57E7" w:rsidRDefault="00CC406C" w:rsidP="009C098D">
      <w:pPr>
        <w:pStyle w:val="ISMSNormal"/>
        <w:numPr>
          <w:ilvl w:val="0"/>
          <w:numId w:val="12"/>
        </w:numPr>
        <w:rPr>
          <w:i/>
          <w:lang w:val="en-GB"/>
        </w:rPr>
      </w:pPr>
      <w:r>
        <w:rPr>
          <w:lang w:val="en-GB"/>
        </w:rPr>
        <w:t xml:space="preserve">Deletion of project’s data: </w:t>
      </w:r>
      <w:r w:rsidRPr="00DB57E7">
        <w:rPr>
          <w:i/>
          <w:lang w:val="en-GB"/>
        </w:rPr>
        <w:t>SOP-05-15 Secure Deletion of TRE Datasets</w:t>
      </w:r>
    </w:p>
    <w:p w14:paraId="5E72F974" w14:textId="77777777" w:rsidR="00255AB1" w:rsidRPr="00DB57E7" w:rsidRDefault="00CC406C" w:rsidP="00255AB1">
      <w:pPr>
        <w:pStyle w:val="ISMSNormal"/>
        <w:numPr>
          <w:ilvl w:val="0"/>
          <w:numId w:val="12"/>
        </w:numPr>
        <w:rPr>
          <w:lang w:val="en-GB"/>
        </w:rPr>
      </w:pPr>
      <w:r>
        <w:rPr>
          <w:lang w:val="en-GB"/>
        </w:rPr>
        <w:t xml:space="preserve">Archival of TRE Project Record: </w:t>
      </w:r>
      <w:r w:rsidRPr="009C098D">
        <w:rPr>
          <w:i/>
          <w:lang w:val="en-GB"/>
        </w:rPr>
        <w:t>SOP-03-06 Managing TRE Project Records</w:t>
      </w:r>
    </w:p>
    <w:p w14:paraId="7BD8B89E" w14:textId="77777777" w:rsidR="00DB57E7" w:rsidRPr="00255AB1" w:rsidRDefault="00CC406C" w:rsidP="00255AB1">
      <w:pPr>
        <w:pStyle w:val="ISMSNormal"/>
        <w:numPr>
          <w:ilvl w:val="0"/>
          <w:numId w:val="12"/>
        </w:numPr>
        <w:rPr>
          <w:lang w:val="en-GB"/>
        </w:rPr>
      </w:pPr>
      <w:r>
        <w:rPr>
          <w:lang w:val="en-GB"/>
        </w:rPr>
        <w:t>Change Management Records Update: SOP-03-08 TRE Change Control</w:t>
      </w:r>
    </w:p>
    <w:p w14:paraId="442F91AA" w14:textId="77777777" w:rsidR="009C098D" w:rsidRPr="005B2C11" w:rsidRDefault="0080496E" w:rsidP="005B2C11">
      <w:pPr>
        <w:pStyle w:val="ISMSNormal"/>
        <w:rPr>
          <w:lang w:val="en-GB"/>
        </w:rPr>
      </w:pPr>
    </w:p>
    <w:p w14:paraId="6FF401CB" w14:textId="77777777" w:rsidR="0050071A" w:rsidRDefault="00CC406C" w:rsidP="0050071A">
      <w:pPr>
        <w:pStyle w:val="ISMSHeading1"/>
      </w:pPr>
      <w:bookmarkStart w:id="46" w:name="_Toc256000047"/>
      <w:bookmarkStart w:id="47" w:name="_Toc256000035"/>
      <w:bookmarkStart w:id="48" w:name="_Toc256000024"/>
      <w:bookmarkStart w:id="49" w:name="_Toc256000014"/>
      <w:bookmarkStart w:id="50" w:name="_Toc256000010"/>
      <w:bookmarkStart w:id="51" w:name="_Toc256000004"/>
      <w:bookmarkStart w:id="52" w:name="_Toc481579530"/>
      <w:bookmarkStart w:id="53" w:name="_Toc490662965"/>
      <w:bookmarkStart w:id="54" w:name="_Toc1038428"/>
      <w:r>
        <w:t>Cross-referenced ISMS Documents</w:t>
      </w:r>
      <w:bookmarkEnd w:id="46"/>
      <w:bookmarkEnd w:id="47"/>
      <w:bookmarkEnd w:id="48"/>
      <w:bookmarkEnd w:id="49"/>
      <w:bookmarkEnd w:id="50"/>
      <w:bookmarkEnd w:id="51"/>
      <w:bookmarkEnd w:id="52"/>
      <w:bookmarkEnd w:id="53"/>
      <w:bookmarkEnd w:id="54"/>
    </w:p>
    <w:sdt>
      <w:sdtPr>
        <w:tag w:val="QPulse_DocRelatedDocuments"/>
        <w:id w:val="1847589156"/>
        <w:lock w:val="contentLocked"/>
      </w:sdtPr>
      <w:sdtEndPr/>
      <w:sdtContent>
        <w:p w14:paraId="7EF5BD2E" w14:textId="77777777" w:rsidR="0050071A" w:rsidRDefault="0080496E" w:rsidP="00C76644"/>
        <w:tbl>
          <w:tblPr>
            <w:tblStyle w:val="TableProfessional"/>
            <w:tblW w:w="0" w:type="auto"/>
            <w:tblLayout w:type="fixed"/>
            <w:tblLook w:val="04A0" w:firstRow="1" w:lastRow="0" w:firstColumn="1" w:lastColumn="0" w:noHBand="0" w:noVBand="1"/>
          </w:tblPr>
          <w:tblGrid>
            <w:gridCol w:w="3080"/>
            <w:gridCol w:w="3081"/>
            <w:gridCol w:w="3081"/>
          </w:tblGrid>
          <w:tr w:rsidR="00C00737" w14:paraId="6EF21772" w14:textId="77777777" w:rsidTr="00C00737">
            <w:trPr>
              <w:cnfStyle w:val="100000000000" w:firstRow="1" w:lastRow="0" w:firstColumn="0" w:lastColumn="0" w:oddVBand="0" w:evenVBand="0" w:oddHBand="0" w:evenHBand="0" w:firstRowFirstColumn="0" w:firstRowLastColumn="0" w:lastRowFirstColumn="0" w:lastRowLastColumn="0"/>
            </w:trPr>
            <w:tc>
              <w:tcPr>
                <w:tcW w:w="3080" w:type="dxa"/>
              </w:tcPr>
              <w:p w14:paraId="34679867" w14:textId="77777777" w:rsidR="0050071A" w:rsidRPr="007B0619" w:rsidRDefault="00CC406C" w:rsidP="00C76644">
                <w:r>
                  <w:t>Number</w:t>
                </w:r>
              </w:p>
            </w:tc>
            <w:tc>
              <w:tcPr>
                <w:tcW w:w="3081" w:type="dxa"/>
              </w:tcPr>
              <w:p w14:paraId="054E89A7" w14:textId="77777777" w:rsidR="0050071A" w:rsidRPr="007B0619" w:rsidRDefault="00CC406C" w:rsidP="00C76644">
                <w:r>
                  <w:t>Type</w:t>
                </w:r>
              </w:p>
            </w:tc>
            <w:tc>
              <w:tcPr>
                <w:tcW w:w="3081" w:type="dxa"/>
              </w:tcPr>
              <w:p w14:paraId="3103842A" w14:textId="77777777" w:rsidR="0050071A" w:rsidRPr="007B0619" w:rsidRDefault="00CC406C" w:rsidP="00C76644">
                <w:r>
                  <w:t>Title</w:t>
                </w:r>
              </w:p>
            </w:tc>
          </w:tr>
          <w:tr w:rsidR="00C00737" w14:paraId="11E15925" w14:textId="77777777" w:rsidTr="00C007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587A6899" w14:textId="77777777" w:rsidR="00C00737" w:rsidRDefault="00CC406C">
                <w:r>
                  <w:lastRenderedPageBreak/>
                  <w:t>FORM-011</w:t>
                </w:r>
              </w:p>
            </w:tc>
            <w:tc>
              <w:tcPr>
                <w:tcW w:w="360" w:type="dxa"/>
              </w:tcPr>
              <w:p w14:paraId="6B0B9CE8" w14:textId="77777777" w:rsidR="00C00737" w:rsidRDefault="00CC406C">
                <w:r>
                  <w:t>ISMS\Forms</w:t>
                </w:r>
              </w:p>
            </w:tc>
            <w:tc>
              <w:tcPr>
                <w:tcW w:w="360" w:type="dxa"/>
              </w:tcPr>
              <w:p w14:paraId="378F5CA1" w14:textId="77777777" w:rsidR="00C00737" w:rsidRDefault="00CC406C">
                <w:r>
                  <w:t>TRE Project Migration Acceptance</w:t>
                </w:r>
              </w:p>
            </w:tc>
          </w:tr>
          <w:tr w:rsidR="00C00737" w14:paraId="2F709456" w14:textId="77777777" w:rsidTr="00C007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0D258CF4" w14:textId="77777777" w:rsidR="00C00737" w:rsidRDefault="00CC406C">
                <w:r>
                  <w:t>SOP-03-06</w:t>
                </w:r>
              </w:p>
            </w:tc>
            <w:tc>
              <w:tcPr>
                <w:tcW w:w="360" w:type="dxa"/>
              </w:tcPr>
              <w:p w14:paraId="749D1C11" w14:textId="77777777" w:rsidR="00C00737" w:rsidRDefault="00CC406C">
                <w:r>
                  <w:t>ISMS\SOP\TRE Operations - SOP</w:t>
                </w:r>
              </w:p>
            </w:tc>
            <w:tc>
              <w:tcPr>
                <w:tcW w:w="360" w:type="dxa"/>
              </w:tcPr>
              <w:p w14:paraId="4A4AB78E" w14:textId="77777777" w:rsidR="00C00737" w:rsidRDefault="00CC406C">
                <w:r>
                  <w:t>Managing TRE Project Records</w:t>
                </w:r>
              </w:p>
            </w:tc>
          </w:tr>
          <w:tr w:rsidR="00C00737" w14:paraId="5A7902D5" w14:textId="77777777" w:rsidTr="00C007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0CF7613D" w14:textId="77777777" w:rsidR="00C00737" w:rsidRDefault="00CC406C">
                <w:r>
                  <w:t>SOP-03-08</w:t>
                </w:r>
              </w:p>
            </w:tc>
            <w:tc>
              <w:tcPr>
                <w:tcW w:w="360" w:type="dxa"/>
              </w:tcPr>
              <w:p w14:paraId="095A2B45" w14:textId="77777777" w:rsidR="00C00737" w:rsidRDefault="00CC406C">
                <w:r>
                  <w:t>ISMS\SOP\TRE Operations - SOP</w:t>
                </w:r>
              </w:p>
            </w:tc>
            <w:tc>
              <w:tcPr>
                <w:tcW w:w="360" w:type="dxa"/>
              </w:tcPr>
              <w:p w14:paraId="633A9BD4" w14:textId="77777777" w:rsidR="00C00737" w:rsidRDefault="00CC406C">
                <w:r>
                  <w:t>TRE Change Control</w:t>
                </w:r>
              </w:p>
            </w:tc>
          </w:tr>
          <w:tr w:rsidR="00C00737" w14:paraId="15900AAF" w14:textId="77777777" w:rsidTr="00C007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6F6E9804" w14:textId="77777777" w:rsidR="00C00737" w:rsidRDefault="00CC406C">
                <w:r>
                  <w:t>SOP-05-15</w:t>
                </w:r>
              </w:p>
            </w:tc>
            <w:tc>
              <w:tcPr>
                <w:tcW w:w="360" w:type="dxa"/>
              </w:tcPr>
              <w:p w14:paraId="00CACE37" w14:textId="77777777" w:rsidR="00C00737" w:rsidRDefault="00CC406C">
                <w:r>
                  <w:t>ISMS\SOP\Asset and Supplier Management - SOP</w:t>
                </w:r>
              </w:p>
            </w:tc>
            <w:tc>
              <w:tcPr>
                <w:tcW w:w="360" w:type="dxa"/>
              </w:tcPr>
              <w:p w14:paraId="7F55B1B9" w14:textId="77777777" w:rsidR="00C00737" w:rsidRDefault="00CC406C">
                <w:r>
                  <w:t>Secure Deletion of TRE Data</w:t>
                </w:r>
              </w:p>
            </w:tc>
          </w:tr>
          <w:tr w:rsidR="00C00737" w14:paraId="7CD5FCC0" w14:textId="77777777" w:rsidTr="00C007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51F69FFC" w14:textId="77777777" w:rsidR="00C00737" w:rsidRDefault="00CC406C">
                <w:r>
                  <w:t>SOP-09-13</w:t>
                </w:r>
              </w:p>
            </w:tc>
            <w:tc>
              <w:tcPr>
                <w:tcW w:w="360" w:type="dxa"/>
              </w:tcPr>
              <w:p w14:paraId="7D645A2A" w14:textId="77777777" w:rsidR="00C00737" w:rsidRDefault="00CC406C">
                <w:r>
                  <w:t>ISMS\SOP\TRE System Administration - SOP</w:t>
                </w:r>
              </w:p>
            </w:tc>
            <w:tc>
              <w:tcPr>
                <w:tcW w:w="360" w:type="dxa"/>
              </w:tcPr>
              <w:p w14:paraId="0DE3F260" w14:textId="77777777" w:rsidR="00C00737" w:rsidRDefault="00CC406C">
                <w:r>
                  <w:t>TRE Access Control</w:t>
                </w:r>
              </w:p>
            </w:tc>
          </w:tr>
          <w:tr w:rsidR="00C00737" w14:paraId="6BD3403E" w14:textId="77777777" w:rsidTr="00C007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384E5493" w14:textId="77777777" w:rsidR="00C00737" w:rsidRDefault="00CC406C">
                <w:r>
                  <w:t>SOP-09-14</w:t>
                </w:r>
              </w:p>
            </w:tc>
            <w:tc>
              <w:tcPr>
                <w:tcW w:w="360" w:type="dxa"/>
              </w:tcPr>
              <w:p w14:paraId="300F6AF0" w14:textId="77777777" w:rsidR="00C00737" w:rsidRDefault="00CC406C">
                <w:r>
                  <w:t>ISMS\SOP\TRE System Administration - SOP</w:t>
                </w:r>
              </w:p>
            </w:tc>
            <w:tc>
              <w:tcPr>
                <w:tcW w:w="360" w:type="dxa"/>
              </w:tcPr>
              <w:p w14:paraId="5A86435D" w14:textId="77777777" w:rsidR="00C00737" w:rsidRDefault="00CC406C">
                <w:r>
                  <w:t>Secure File Transfer client setup</w:t>
                </w:r>
              </w:p>
            </w:tc>
          </w:tr>
        </w:tbl>
        <w:p w14:paraId="22547539" w14:textId="77777777" w:rsidR="0050071A" w:rsidRPr="002C7566" w:rsidRDefault="0080496E" w:rsidP="00C76644">
          <w:pPr>
            <w:rPr>
              <w:rFonts w:eastAsia="Times New Roman"/>
              <w:lang w:val="en-US"/>
            </w:rPr>
          </w:pPr>
        </w:p>
      </w:sdtContent>
    </w:sdt>
    <w:p w14:paraId="1D21D85C" w14:textId="77777777" w:rsidR="0050071A" w:rsidRDefault="00CC406C" w:rsidP="0050071A">
      <w:pPr>
        <w:pStyle w:val="ISMSHeading1"/>
      </w:pPr>
      <w:bookmarkStart w:id="55" w:name="_Toc256000048"/>
      <w:bookmarkStart w:id="56" w:name="_Toc256000036"/>
      <w:bookmarkStart w:id="57" w:name="_Toc256000025"/>
      <w:bookmarkStart w:id="58" w:name="_Toc256000015"/>
      <w:bookmarkStart w:id="59" w:name="_Toc256000011"/>
      <w:bookmarkStart w:id="60" w:name="_Toc256000005"/>
      <w:bookmarkStart w:id="61" w:name="_Toc481579531"/>
      <w:bookmarkStart w:id="62" w:name="_Toc490662966"/>
      <w:bookmarkStart w:id="63" w:name="_Toc1038429"/>
      <w:r w:rsidRPr="009D002B">
        <w:t>Appendices</w:t>
      </w:r>
      <w:bookmarkEnd w:id="55"/>
      <w:bookmarkEnd w:id="56"/>
      <w:bookmarkEnd w:id="57"/>
      <w:bookmarkEnd w:id="58"/>
      <w:bookmarkEnd w:id="59"/>
      <w:bookmarkEnd w:id="60"/>
      <w:bookmarkEnd w:id="61"/>
      <w:bookmarkEnd w:id="62"/>
      <w:bookmarkEnd w:id="63"/>
    </w:p>
    <w:p w14:paraId="3676144B" w14:textId="77777777" w:rsidR="002C7566" w:rsidRDefault="00CC406C">
      <w:pPr>
        <w:spacing w:after="200" w:line="276" w:lineRule="auto"/>
      </w:pPr>
      <w:r>
        <w:rPr>
          <w:rFonts w:eastAsia="Times New Roman"/>
          <w:lang w:val="en-US"/>
        </w:rPr>
        <w:t>None</w:t>
      </w:r>
    </w:p>
    <w:sectPr w:rsidR="002C7566" w:rsidSect="00F64866">
      <w:headerReference w:type="even" r:id="rId10"/>
      <w:headerReference w:type="default" r:id="rId11"/>
      <w:footerReference w:type="default" r:id="rId12"/>
      <w:headerReference w:type="first" r:id="rId13"/>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8528F" w14:textId="77777777" w:rsidR="0080496E" w:rsidRDefault="0080496E">
      <w:r>
        <w:separator/>
      </w:r>
    </w:p>
  </w:endnote>
  <w:endnote w:type="continuationSeparator" w:id="0">
    <w:p w14:paraId="0A138680" w14:textId="77777777" w:rsidR="0080496E" w:rsidRDefault="00804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75FC4" w14:textId="77777777" w:rsidR="008C17CD" w:rsidRDefault="0080496E" w:rsidP="008C17CD">
    <w:pPr>
      <w:pBdr>
        <w:bottom w:val="single" w:sz="6" w:space="1" w:color="auto"/>
      </w:pBdr>
      <w:spacing w:before="60"/>
      <w:rPr>
        <w:rFonts w:asciiTheme="minorHAnsi" w:hAnsiTheme="minorHAnsi" w:cstheme="minorHAnsi"/>
      </w:rPr>
    </w:pPr>
  </w:p>
  <w:p w14:paraId="75B1BB11" w14:textId="77777777" w:rsidR="008C17CD" w:rsidRPr="00823E00" w:rsidRDefault="00CC406C"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SOP-03-24</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Migrating Projects out of the TRE</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1.1</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14:paraId="3E626559" w14:textId="77777777" w:rsidR="008C17CD" w:rsidRDefault="00CC406C"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20 Jan 2020</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6</w:t>
    </w:r>
    <w:r w:rsidRPr="00823E00">
      <w:rPr>
        <w:rStyle w:val="PageNumber"/>
        <w:rFonts w:asciiTheme="minorHAnsi" w:hAnsiTheme="minorHAnsi"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3D8CF" w14:textId="77777777" w:rsidR="0080496E" w:rsidRDefault="0080496E">
      <w:r>
        <w:separator/>
      </w:r>
    </w:p>
  </w:footnote>
  <w:footnote w:type="continuationSeparator" w:id="0">
    <w:p w14:paraId="3D5D7226" w14:textId="77777777" w:rsidR="0080496E" w:rsidRDefault="00804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6C288" w14:textId="77777777" w:rsidR="00193143" w:rsidRDefault="0080496E" w:rsidP="00A35784">
    <w:pPr>
      <w:pStyle w:val="Header"/>
    </w:pPr>
    <w:r>
      <w:rPr>
        <w:noProof/>
      </w:rPr>
      <w:pict w14:anchorId="4F416A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0555A" w14:textId="77777777" w:rsidR="00AC34D1" w:rsidRDefault="0080496E">
    <w:pPr>
      <w:pStyle w:val="Header"/>
    </w:pPr>
    <w:r>
      <w:rPr>
        <w:noProof/>
      </w:rPr>
      <w:pict w14:anchorId="5CAB64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24D0C" w14:textId="77777777" w:rsidR="00AC34D1" w:rsidRDefault="0080496E">
    <w:pPr>
      <w:pStyle w:val="Header"/>
    </w:pPr>
    <w:r>
      <w:rPr>
        <w:noProof/>
      </w:rPr>
      <w:pict w14:anchorId="76513D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D5C03"/>
    <w:multiLevelType w:val="hybridMultilevel"/>
    <w:tmpl w:val="41DCF810"/>
    <w:lvl w:ilvl="0" w:tplc="6B284330">
      <w:start w:val="1"/>
      <w:numFmt w:val="bullet"/>
      <w:lvlText w:val=""/>
      <w:lvlJc w:val="left"/>
      <w:pPr>
        <w:ind w:left="720" w:hanging="360"/>
      </w:pPr>
      <w:rPr>
        <w:rFonts w:ascii="Symbol" w:hAnsi="Symbol" w:hint="default"/>
      </w:rPr>
    </w:lvl>
    <w:lvl w:ilvl="1" w:tplc="133A03D0" w:tentative="1">
      <w:start w:val="1"/>
      <w:numFmt w:val="bullet"/>
      <w:lvlText w:val="o"/>
      <w:lvlJc w:val="left"/>
      <w:pPr>
        <w:ind w:left="1440" w:hanging="360"/>
      </w:pPr>
      <w:rPr>
        <w:rFonts w:ascii="Courier New" w:hAnsi="Courier New" w:cs="Courier New" w:hint="default"/>
      </w:rPr>
    </w:lvl>
    <w:lvl w:ilvl="2" w:tplc="BB2AD4B2" w:tentative="1">
      <w:start w:val="1"/>
      <w:numFmt w:val="bullet"/>
      <w:lvlText w:val=""/>
      <w:lvlJc w:val="left"/>
      <w:pPr>
        <w:ind w:left="2160" w:hanging="360"/>
      </w:pPr>
      <w:rPr>
        <w:rFonts w:ascii="Wingdings" w:hAnsi="Wingdings" w:hint="default"/>
      </w:rPr>
    </w:lvl>
    <w:lvl w:ilvl="3" w:tplc="67EC2276" w:tentative="1">
      <w:start w:val="1"/>
      <w:numFmt w:val="bullet"/>
      <w:lvlText w:val=""/>
      <w:lvlJc w:val="left"/>
      <w:pPr>
        <w:ind w:left="2880" w:hanging="360"/>
      </w:pPr>
      <w:rPr>
        <w:rFonts w:ascii="Symbol" w:hAnsi="Symbol" w:hint="default"/>
      </w:rPr>
    </w:lvl>
    <w:lvl w:ilvl="4" w:tplc="8E20D498" w:tentative="1">
      <w:start w:val="1"/>
      <w:numFmt w:val="bullet"/>
      <w:lvlText w:val="o"/>
      <w:lvlJc w:val="left"/>
      <w:pPr>
        <w:ind w:left="3600" w:hanging="360"/>
      </w:pPr>
      <w:rPr>
        <w:rFonts w:ascii="Courier New" w:hAnsi="Courier New" w:cs="Courier New" w:hint="default"/>
      </w:rPr>
    </w:lvl>
    <w:lvl w:ilvl="5" w:tplc="7AD6DEDC" w:tentative="1">
      <w:start w:val="1"/>
      <w:numFmt w:val="bullet"/>
      <w:lvlText w:val=""/>
      <w:lvlJc w:val="left"/>
      <w:pPr>
        <w:ind w:left="4320" w:hanging="360"/>
      </w:pPr>
      <w:rPr>
        <w:rFonts w:ascii="Wingdings" w:hAnsi="Wingdings" w:hint="default"/>
      </w:rPr>
    </w:lvl>
    <w:lvl w:ilvl="6" w:tplc="5E6CDC68" w:tentative="1">
      <w:start w:val="1"/>
      <w:numFmt w:val="bullet"/>
      <w:lvlText w:val=""/>
      <w:lvlJc w:val="left"/>
      <w:pPr>
        <w:ind w:left="5040" w:hanging="360"/>
      </w:pPr>
      <w:rPr>
        <w:rFonts w:ascii="Symbol" w:hAnsi="Symbol" w:hint="default"/>
      </w:rPr>
    </w:lvl>
    <w:lvl w:ilvl="7" w:tplc="23DE80C8" w:tentative="1">
      <w:start w:val="1"/>
      <w:numFmt w:val="bullet"/>
      <w:lvlText w:val="o"/>
      <w:lvlJc w:val="left"/>
      <w:pPr>
        <w:ind w:left="5760" w:hanging="360"/>
      </w:pPr>
      <w:rPr>
        <w:rFonts w:ascii="Courier New" w:hAnsi="Courier New" w:cs="Courier New" w:hint="default"/>
      </w:rPr>
    </w:lvl>
    <w:lvl w:ilvl="8" w:tplc="0EE825F6" w:tentative="1">
      <w:start w:val="1"/>
      <w:numFmt w:val="bullet"/>
      <w:lvlText w:val=""/>
      <w:lvlJc w:val="left"/>
      <w:pPr>
        <w:ind w:left="6480" w:hanging="360"/>
      </w:pPr>
      <w:rPr>
        <w:rFonts w:ascii="Wingdings" w:hAnsi="Wingdings" w:hint="default"/>
      </w:rPr>
    </w:lvl>
  </w:abstractNum>
  <w:abstractNum w:abstractNumId="1" w15:restartNumberingAfterBreak="0">
    <w:nsid w:val="161C61DF"/>
    <w:multiLevelType w:val="hybridMultilevel"/>
    <w:tmpl w:val="EB026038"/>
    <w:lvl w:ilvl="0" w:tplc="DD12BFE8">
      <w:start w:val="1"/>
      <w:numFmt w:val="bullet"/>
      <w:lvlText w:val=""/>
      <w:lvlJc w:val="left"/>
      <w:pPr>
        <w:ind w:left="765" w:hanging="360"/>
      </w:pPr>
      <w:rPr>
        <w:rFonts w:ascii="Symbol" w:hAnsi="Symbol" w:hint="default"/>
      </w:rPr>
    </w:lvl>
    <w:lvl w:ilvl="1" w:tplc="A9D49B16" w:tentative="1">
      <w:start w:val="1"/>
      <w:numFmt w:val="bullet"/>
      <w:lvlText w:val="o"/>
      <w:lvlJc w:val="left"/>
      <w:pPr>
        <w:ind w:left="1485" w:hanging="360"/>
      </w:pPr>
      <w:rPr>
        <w:rFonts w:ascii="Courier New" w:hAnsi="Courier New" w:cs="Courier New" w:hint="default"/>
      </w:rPr>
    </w:lvl>
    <w:lvl w:ilvl="2" w:tplc="2B027A3E" w:tentative="1">
      <w:start w:val="1"/>
      <w:numFmt w:val="bullet"/>
      <w:lvlText w:val=""/>
      <w:lvlJc w:val="left"/>
      <w:pPr>
        <w:ind w:left="2205" w:hanging="360"/>
      </w:pPr>
      <w:rPr>
        <w:rFonts w:ascii="Wingdings" w:hAnsi="Wingdings" w:hint="default"/>
      </w:rPr>
    </w:lvl>
    <w:lvl w:ilvl="3" w:tplc="04046CCE" w:tentative="1">
      <w:start w:val="1"/>
      <w:numFmt w:val="bullet"/>
      <w:lvlText w:val=""/>
      <w:lvlJc w:val="left"/>
      <w:pPr>
        <w:ind w:left="2925" w:hanging="360"/>
      </w:pPr>
      <w:rPr>
        <w:rFonts w:ascii="Symbol" w:hAnsi="Symbol" w:hint="default"/>
      </w:rPr>
    </w:lvl>
    <w:lvl w:ilvl="4" w:tplc="AC6AEEBA" w:tentative="1">
      <w:start w:val="1"/>
      <w:numFmt w:val="bullet"/>
      <w:lvlText w:val="o"/>
      <w:lvlJc w:val="left"/>
      <w:pPr>
        <w:ind w:left="3645" w:hanging="360"/>
      </w:pPr>
      <w:rPr>
        <w:rFonts w:ascii="Courier New" w:hAnsi="Courier New" w:cs="Courier New" w:hint="default"/>
      </w:rPr>
    </w:lvl>
    <w:lvl w:ilvl="5" w:tplc="D818CFF4" w:tentative="1">
      <w:start w:val="1"/>
      <w:numFmt w:val="bullet"/>
      <w:lvlText w:val=""/>
      <w:lvlJc w:val="left"/>
      <w:pPr>
        <w:ind w:left="4365" w:hanging="360"/>
      </w:pPr>
      <w:rPr>
        <w:rFonts w:ascii="Wingdings" w:hAnsi="Wingdings" w:hint="default"/>
      </w:rPr>
    </w:lvl>
    <w:lvl w:ilvl="6" w:tplc="7D70C80C" w:tentative="1">
      <w:start w:val="1"/>
      <w:numFmt w:val="bullet"/>
      <w:lvlText w:val=""/>
      <w:lvlJc w:val="left"/>
      <w:pPr>
        <w:ind w:left="5085" w:hanging="360"/>
      </w:pPr>
      <w:rPr>
        <w:rFonts w:ascii="Symbol" w:hAnsi="Symbol" w:hint="default"/>
      </w:rPr>
    </w:lvl>
    <w:lvl w:ilvl="7" w:tplc="EB3CF60A" w:tentative="1">
      <w:start w:val="1"/>
      <w:numFmt w:val="bullet"/>
      <w:lvlText w:val="o"/>
      <w:lvlJc w:val="left"/>
      <w:pPr>
        <w:ind w:left="5805" w:hanging="360"/>
      </w:pPr>
      <w:rPr>
        <w:rFonts w:ascii="Courier New" w:hAnsi="Courier New" w:cs="Courier New" w:hint="default"/>
      </w:rPr>
    </w:lvl>
    <w:lvl w:ilvl="8" w:tplc="7F8CAEA2" w:tentative="1">
      <w:start w:val="1"/>
      <w:numFmt w:val="bullet"/>
      <w:lvlText w:val=""/>
      <w:lvlJc w:val="left"/>
      <w:pPr>
        <w:ind w:left="6525" w:hanging="360"/>
      </w:pPr>
      <w:rPr>
        <w:rFonts w:ascii="Wingdings" w:hAnsi="Wingdings" w:hint="default"/>
      </w:rPr>
    </w:lvl>
  </w:abstractNum>
  <w:abstractNum w:abstractNumId="2"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37752A"/>
    <w:multiLevelType w:val="hybridMultilevel"/>
    <w:tmpl w:val="2D6A9DC0"/>
    <w:lvl w:ilvl="0" w:tplc="FCAAC8D4">
      <w:start w:val="1"/>
      <w:numFmt w:val="bullet"/>
      <w:lvlText w:val=""/>
      <w:lvlJc w:val="left"/>
      <w:pPr>
        <w:ind w:left="720" w:hanging="360"/>
      </w:pPr>
      <w:rPr>
        <w:rFonts w:ascii="Symbol" w:hAnsi="Symbol" w:hint="default"/>
      </w:rPr>
    </w:lvl>
    <w:lvl w:ilvl="1" w:tplc="E1C87310" w:tentative="1">
      <w:start w:val="1"/>
      <w:numFmt w:val="bullet"/>
      <w:lvlText w:val="o"/>
      <w:lvlJc w:val="left"/>
      <w:pPr>
        <w:ind w:left="1440" w:hanging="360"/>
      </w:pPr>
      <w:rPr>
        <w:rFonts w:ascii="Courier New" w:hAnsi="Courier New" w:cs="Courier New" w:hint="default"/>
      </w:rPr>
    </w:lvl>
    <w:lvl w:ilvl="2" w:tplc="91C23C3E" w:tentative="1">
      <w:start w:val="1"/>
      <w:numFmt w:val="bullet"/>
      <w:lvlText w:val=""/>
      <w:lvlJc w:val="left"/>
      <w:pPr>
        <w:ind w:left="2160" w:hanging="360"/>
      </w:pPr>
      <w:rPr>
        <w:rFonts w:ascii="Wingdings" w:hAnsi="Wingdings" w:hint="default"/>
      </w:rPr>
    </w:lvl>
    <w:lvl w:ilvl="3" w:tplc="95E86528" w:tentative="1">
      <w:start w:val="1"/>
      <w:numFmt w:val="bullet"/>
      <w:lvlText w:val=""/>
      <w:lvlJc w:val="left"/>
      <w:pPr>
        <w:ind w:left="2880" w:hanging="360"/>
      </w:pPr>
      <w:rPr>
        <w:rFonts w:ascii="Symbol" w:hAnsi="Symbol" w:hint="default"/>
      </w:rPr>
    </w:lvl>
    <w:lvl w:ilvl="4" w:tplc="28280306" w:tentative="1">
      <w:start w:val="1"/>
      <w:numFmt w:val="bullet"/>
      <w:lvlText w:val="o"/>
      <w:lvlJc w:val="left"/>
      <w:pPr>
        <w:ind w:left="3600" w:hanging="360"/>
      </w:pPr>
      <w:rPr>
        <w:rFonts w:ascii="Courier New" w:hAnsi="Courier New" w:cs="Courier New" w:hint="default"/>
      </w:rPr>
    </w:lvl>
    <w:lvl w:ilvl="5" w:tplc="6762B81C" w:tentative="1">
      <w:start w:val="1"/>
      <w:numFmt w:val="bullet"/>
      <w:lvlText w:val=""/>
      <w:lvlJc w:val="left"/>
      <w:pPr>
        <w:ind w:left="4320" w:hanging="360"/>
      </w:pPr>
      <w:rPr>
        <w:rFonts w:ascii="Wingdings" w:hAnsi="Wingdings" w:hint="default"/>
      </w:rPr>
    </w:lvl>
    <w:lvl w:ilvl="6" w:tplc="835003C0" w:tentative="1">
      <w:start w:val="1"/>
      <w:numFmt w:val="bullet"/>
      <w:lvlText w:val=""/>
      <w:lvlJc w:val="left"/>
      <w:pPr>
        <w:ind w:left="5040" w:hanging="360"/>
      </w:pPr>
      <w:rPr>
        <w:rFonts w:ascii="Symbol" w:hAnsi="Symbol" w:hint="default"/>
      </w:rPr>
    </w:lvl>
    <w:lvl w:ilvl="7" w:tplc="552610A2" w:tentative="1">
      <w:start w:val="1"/>
      <w:numFmt w:val="bullet"/>
      <w:lvlText w:val="o"/>
      <w:lvlJc w:val="left"/>
      <w:pPr>
        <w:ind w:left="5760" w:hanging="360"/>
      </w:pPr>
      <w:rPr>
        <w:rFonts w:ascii="Courier New" w:hAnsi="Courier New" w:cs="Courier New" w:hint="default"/>
      </w:rPr>
    </w:lvl>
    <w:lvl w:ilvl="8" w:tplc="6FB4F06A" w:tentative="1">
      <w:start w:val="1"/>
      <w:numFmt w:val="bullet"/>
      <w:lvlText w:val=""/>
      <w:lvlJc w:val="left"/>
      <w:pPr>
        <w:ind w:left="6480" w:hanging="360"/>
      </w:pPr>
      <w:rPr>
        <w:rFonts w:ascii="Wingdings" w:hAnsi="Wingdings" w:hint="default"/>
      </w:rPr>
    </w:lvl>
  </w:abstractNum>
  <w:abstractNum w:abstractNumId="4" w15:restartNumberingAfterBreak="0">
    <w:nsid w:val="3B5A34E2"/>
    <w:multiLevelType w:val="hybridMultilevel"/>
    <w:tmpl w:val="C19E5E3A"/>
    <w:lvl w:ilvl="0" w:tplc="3E12BE00">
      <w:start w:val="5"/>
      <w:numFmt w:val="bullet"/>
      <w:lvlText w:val="-"/>
      <w:lvlJc w:val="left"/>
      <w:pPr>
        <w:ind w:left="720" w:hanging="360"/>
      </w:pPr>
      <w:rPr>
        <w:rFonts w:ascii="Arial" w:eastAsia="Times New Roman" w:hAnsi="Arial" w:cs="Arial" w:hint="default"/>
      </w:rPr>
    </w:lvl>
    <w:lvl w:ilvl="1" w:tplc="83109AF2" w:tentative="1">
      <w:start w:val="1"/>
      <w:numFmt w:val="bullet"/>
      <w:lvlText w:val="o"/>
      <w:lvlJc w:val="left"/>
      <w:pPr>
        <w:ind w:left="1440" w:hanging="360"/>
      </w:pPr>
      <w:rPr>
        <w:rFonts w:ascii="Courier New" w:hAnsi="Courier New" w:cs="Courier New" w:hint="default"/>
      </w:rPr>
    </w:lvl>
    <w:lvl w:ilvl="2" w:tplc="A058C5E6" w:tentative="1">
      <w:start w:val="1"/>
      <w:numFmt w:val="bullet"/>
      <w:lvlText w:val=""/>
      <w:lvlJc w:val="left"/>
      <w:pPr>
        <w:ind w:left="2160" w:hanging="360"/>
      </w:pPr>
      <w:rPr>
        <w:rFonts w:ascii="Wingdings" w:hAnsi="Wingdings" w:hint="default"/>
      </w:rPr>
    </w:lvl>
    <w:lvl w:ilvl="3" w:tplc="7EBC8B54" w:tentative="1">
      <w:start w:val="1"/>
      <w:numFmt w:val="bullet"/>
      <w:lvlText w:val=""/>
      <w:lvlJc w:val="left"/>
      <w:pPr>
        <w:ind w:left="2880" w:hanging="360"/>
      </w:pPr>
      <w:rPr>
        <w:rFonts w:ascii="Symbol" w:hAnsi="Symbol" w:hint="default"/>
      </w:rPr>
    </w:lvl>
    <w:lvl w:ilvl="4" w:tplc="909069AC" w:tentative="1">
      <w:start w:val="1"/>
      <w:numFmt w:val="bullet"/>
      <w:lvlText w:val="o"/>
      <w:lvlJc w:val="left"/>
      <w:pPr>
        <w:ind w:left="3600" w:hanging="360"/>
      </w:pPr>
      <w:rPr>
        <w:rFonts w:ascii="Courier New" w:hAnsi="Courier New" w:cs="Courier New" w:hint="default"/>
      </w:rPr>
    </w:lvl>
    <w:lvl w:ilvl="5" w:tplc="5EAA23D4" w:tentative="1">
      <w:start w:val="1"/>
      <w:numFmt w:val="bullet"/>
      <w:lvlText w:val=""/>
      <w:lvlJc w:val="left"/>
      <w:pPr>
        <w:ind w:left="4320" w:hanging="360"/>
      </w:pPr>
      <w:rPr>
        <w:rFonts w:ascii="Wingdings" w:hAnsi="Wingdings" w:hint="default"/>
      </w:rPr>
    </w:lvl>
    <w:lvl w:ilvl="6" w:tplc="E42ADFBA" w:tentative="1">
      <w:start w:val="1"/>
      <w:numFmt w:val="bullet"/>
      <w:lvlText w:val=""/>
      <w:lvlJc w:val="left"/>
      <w:pPr>
        <w:ind w:left="5040" w:hanging="360"/>
      </w:pPr>
      <w:rPr>
        <w:rFonts w:ascii="Symbol" w:hAnsi="Symbol" w:hint="default"/>
      </w:rPr>
    </w:lvl>
    <w:lvl w:ilvl="7" w:tplc="70D4F9E4" w:tentative="1">
      <w:start w:val="1"/>
      <w:numFmt w:val="bullet"/>
      <w:lvlText w:val="o"/>
      <w:lvlJc w:val="left"/>
      <w:pPr>
        <w:ind w:left="5760" w:hanging="360"/>
      </w:pPr>
      <w:rPr>
        <w:rFonts w:ascii="Courier New" w:hAnsi="Courier New" w:cs="Courier New" w:hint="default"/>
      </w:rPr>
    </w:lvl>
    <w:lvl w:ilvl="8" w:tplc="591AB984" w:tentative="1">
      <w:start w:val="1"/>
      <w:numFmt w:val="bullet"/>
      <w:lvlText w:val=""/>
      <w:lvlJc w:val="left"/>
      <w:pPr>
        <w:ind w:left="6480" w:hanging="360"/>
      </w:pPr>
      <w:rPr>
        <w:rFonts w:ascii="Wingdings" w:hAnsi="Wingdings" w:hint="default"/>
      </w:rPr>
    </w:lvl>
  </w:abstractNum>
  <w:abstractNum w:abstractNumId="5" w15:restartNumberingAfterBreak="0">
    <w:nsid w:val="42527614"/>
    <w:multiLevelType w:val="hybridMultilevel"/>
    <w:tmpl w:val="74D0C46E"/>
    <w:lvl w:ilvl="0" w:tplc="1056F374">
      <w:start w:val="1"/>
      <w:numFmt w:val="decimal"/>
      <w:pStyle w:val="Heading2"/>
      <w:lvlText w:val="%1."/>
      <w:lvlJc w:val="left"/>
      <w:pPr>
        <w:ind w:left="5760" w:hanging="360"/>
      </w:pPr>
    </w:lvl>
    <w:lvl w:ilvl="1" w:tplc="59883362" w:tentative="1">
      <w:start w:val="1"/>
      <w:numFmt w:val="lowerLetter"/>
      <w:lvlText w:val="%2."/>
      <w:lvlJc w:val="left"/>
      <w:pPr>
        <w:ind w:left="6480" w:hanging="360"/>
      </w:pPr>
    </w:lvl>
    <w:lvl w:ilvl="2" w:tplc="C41ABC44" w:tentative="1">
      <w:start w:val="1"/>
      <w:numFmt w:val="lowerRoman"/>
      <w:lvlText w:val="%3."/>
      <w:lvlJc w:val="right"/>
      <w:pPr>
        <w:ind w:left="7200" w:hanging="180"/>
      </w:pPr>
    </w:lvl>
    <w:lvl w:ilvl="3" w:tplc="05DADC02" w:tentative="1">
      <w:start w:val="1"/>
      <w:numFmt w:val="decimal"/>
      <w:lvlText w:val="%4."/>
      <w:lvlJc w:val="left"/>
      <w:pPr>
        <w:ind w:left="7920" w:hanging="360"/>
      </w:pPr>
    </w:lvl>
    <w:lvl w:ilvl="4" w:tplc="F2B80406" w:tentative="1">
      <w:start w:val="1"/>
      <w:numFmt w:val="lowerLetter"/>
      <w:lvlText w:val="%5."/>
      <w:lvlJc w:val="left"/>
      <w:pPr>
        <w:ind w:left="8640" w:hanging="360"/>
      </w:pPr>
    </w:lvl>
    <w:lvl w:ilvl="5" w:tplc="C9E6341E" w:tentative="1">
      <w:start w:val="1"/>
      <w:numFmt w:val="lowerRoman"/>
      <w:lvlText w:val="%6."/>
      <w:lvlJc w:val="right"/>
      <w:pPr>
        <w:ind w:left="9360" w:hanging="180"/>
      </w:pPr>
    </w:lvl>
    <w:lvl w:ilvl="6" w:tplc="D1645FEE" w:tentative="1">
      <w:start w:val="1"/>
      <w:numFmt w:val="decimal"/>
      <w:lvlText w:val="%7."/>
      <w:lvlJc w:val="left"/>
      <w:pPr>
        <w:ind w:left="10080" w:hanging="360"/>
      </w:pPr>
    </w:lvl>
    <w:lvl w:ilvl="7" w:tplc="8DF679DC" w:tentative="1">
      <w:start w:val="1"/>
      <w:numFmt w:val="lowerLetter"/>
      <w:lvlText w:val="%8."/>
      <w:lvlJc w:val="left"/>
      <w:pPr>
        <w:ind w:left="10800" w:hanging="360"/>
      </w:pPr>
    </w:lvl>
    <w:lvl w:ilvl="8" w:tplc="6EFA0C22" w:tentative="1">
      <w:start w:val="1"/>
      <w:numFmt w:val="lowerRoman"/>
      <w:lvlText w:val="%9."/>
      <w:lvlJc w:val="right"/>
      <w:pPr>
        <w:ind w:left="11520" w:hanging="180"/>
      </w:pPr>
    </w:lvl>
  </w:abstractNum>
  <w:abstractNum w:abstractNumId="6" w15:restartNumberingAfterBreak="0">
    <w:nsid w:val="465572C6"/>
    <w:multiLevelType w:val="hybridMultilevel"/>
    <w:tmpl w:val="E66A2990"/>
    <w:lvl w:ilvl="0" w:tplc="C9F8D6F4">
      <w:start w:val="1"/>
      <w:numFmt w:val="bullet"/>
      <w:lvlText w:val=""/>
      <w:lvlJc w:val="left"/>
      <w:pPr>
        <w:ind w:left="720" w:hanging="360"/>
      </w:pPr>
      <w:rPr>
        <w:rFonts w:ascii="Symbol" w:hAnsi="Symbol" w:hint="default"/>
      </w:rPr>
    </w:lvl>
    <w:lvl w:ilvl="1" w:tplc="D6D0834C" w:tentative="1">
      <w:start w:val="1"/>
      <w:numFmt w:val="bullet"/>
      <w:lvlText w:val="o"/>
      <w:lvlJc w:val="left"/>
      <w:pPr>
        <w:ind w:left="1440" w:hanging="360"/>
      </w:pPr>
      <w:rPr>
        <w:rFonts w:ascii="Courier New" w:hAnsi="Courier New" w:hint="default"/>
      </w:rPr>
    </w:lvl>
    <w:lvl w:ilvl="2" w:tplc="8A22E23C" w:tentative="1">
      <w:start w:val="1"/>
      <w:numFmt w:val="bullet"/>
      <w:lvlText w:val=""/>
      <w:lvlJc w:val="left"/>
      <w:pPr>
        <w:ind w:left="2160" w:hanging="360"/>
      </w:pPr>
      <w:rPr>
        <w:rFonts w:ascii="Wingdings" w:hAnsi="Wingdings" w:hint="default"/>
      </w:rPr>
    </w:lvl>
    <w:lvl w:ilvl="3" w:tplc="B274BB72" w:tentative="1">
      <w:start w:val="1"/>
      <w:numFmt w:val="bullet"/>
      <w:lvlText w:val=""/>
      <w:lvlJc w:val="left"/>
      <w:pPr>
        <w:ind w:left="2880" w:hanging="360"/>
      </w:pPr>
      <w:rPr>
        <w:rFonts w:ascii="Symbol" w:hAnsi="Symbol" w:hint="default"/>
      </w:rPr>
    </w:lvl>
    <w:lvl w:ilvl="4" w:tplc="A224E3AC" w:tentative="1">
      <w:start w:val="1"/>
      <w:numFmt w:val="bullet"/>
      <w:lvlText w:val="o"/>
      <w:lvlJc w:val="left"/>
      <w:pPr>
        <w:ind w:left="3600" w:hanging="360"/>
      </w:pPr>
      <w:rPr>
        <w:rFonts w:ascii="Courier New" w:hAnsi="Courier New" w:hint="default"/>
      </w:rPr>
    </w:lvl>
    <w:lvl w:ilvl="5" w:tplc="DF02F4A4" w:tentative="1">
      <w:start w:val="1"/>
      <w:numFmt w:val="bullet"/>
      <w:lvlText w:val=""/>
      <w:lvlJc w:val="left"/>
      <w:pPr>
        <w:ind w:left="4320" w:hanging="360"/>
      </w:pPr>
      <w:rPr>
        <w:rFonts w:ascii="Wingdings" w:hAnsi="Wingdings" w:hint="default"/>
      </w:rPr>
    </w:lvl>
    <w:lvl w:ilvl="6" w:tplc="D22C7E7E" w:tentative="1">
      <w:start w:val="1"/>
      <w:numFmt w:val="bullet"/>
      <w:lvlText w:val=""/>
      <w:lvlJc w:val="left"/>
      <w:pPr>
        <w:ind w:left="5040" w:hanging="360"/>
      </w:pPr>
      <w:rPr>
        <w:rFonts w:ascii="Symbol" w:hAnsi="Symbol" w:hint="default"/>
      </w:rPr>
    </w:lvl>
    <w:lvl w:ilvl="7" w:tplc="1DAEEBB2" w:tentative="1">
      <w:start w:val="1"/>
      <w:numFmt w:val="bullet"/>
      <w:lvlText w:val="o"/>
      <w:lvlJc w:val="left"/>
      <w:pPr>
        <w:ind w:left="5760" w:hanging="360"/>
      </w:pPr>
      <w:rPr>
        <w:rFonts w:ascii="Courier New" w:hAnsi="Courier New" w:hint="default"/>
      </w:rPr>
    </w:lvl>
    <w:lvl w:ilvl="8" w:tplc="8BA4B750" w:tentative="1">
      <w:start w:val="1"/>
      <w:numFmt w:val="bullet"/>
      <w:lvlText w:val=""/>
      <w:lvlJc w:val="left"/>
      <w:pPr>
        <w:ind w:left="6480" w:hanging="360"/>
      </w:pPr>
      <w:rPr>
        <w:rFonts w:ascii="Wingdings" w:hAnsi="Wingdings" w:hint="default"/>
      </w:rPr>
    </w:lvl>
  </w:abstractNum>
  <w:abstractNum w:abstractNumId="7" w15:restartNumberingAfterBreak="0">
    <w:nsid w:val="488C5EA8"/>
    <w:multiLevelType w:val="hybridMultilevel"/>
    <w:tmpl w:val="C2F6EC74"/>
    <w:lvl w:ilvl="0" w:tplc="33F481D2">
      <w:start w:val="3"/>
      <w:numFmt w:val="bullet"/>
      <w:lvlText w:val="-"/>
      <w:lvlJc w:val="left"/>
      <w:pPr>
        <w:ind w:left="720" w:hanging="360"/>
      </w:pPr>
      <w:rPr>
        <w:rFonts w:ascii="Arial" w:eastAsia="Times New Roman" w:hAnsi="Arial" w:cs="Arial" w:hint="default"/>
      </w:rPr>
    </w:lvl>
    <w:lvl w:ilvl="1" w:tplc="E346793E" w:tentative="1">
      <w:start w:val="1"/>
      <w:numFmt w:val="bullet"/>
      <w:lvlText w:val="o"/>
      <w:lvlJc w:val="left"/>
      <w:pPr>
        <w:ind w:left="1440" w:hanging="360"/>
      </w:pPr>
      <w:rPr>
        <w:rFonts w:ascii="Courier New" w:hAnsi="Courier New" w:cs="Courier New" w:hint="default"/>
      </w:rPr>
    </w:lvl>
    <w:lvl w:ilvl="2" w:tplc="CB9C9AEA" w:tentative="1">
      <w:start w:val="1"/>
      <w:numFmt w:val="bullet"/>
      <w:lvlText w:val=""/>
      <w:lvlJc w:val="left"/>
      <w:pPr>
        <w:ind w:left="2160" w:hanging="360"/>
      </w:pPr>
      <w:rPr>
        <w:rFonts w:ascii="Wingdings" w:hAnsi="Wingdings" w:hint="default"/>
      </w:rPr>
    </w:lvl>
    <w:lvl w:ilvl="3" w:tplc="993AF08C" w:tentative="1">
      <w:start w:val="1"/>
      <w:numFmt w:val="bullet"/>
      <w:lvlText w:val=""/>
      <w:lvlJc w:val="left"/>
      <w:pPr>
        <w:ind w:left="2880" w:hanging="360"/>
      </w:pPr>
      <w:rPr>
        <w:rFonts w:ascii="Symbol" w:hAnsi="Symbol" w:hint="default"/>
      </w:rPr>
    </w:lvl>
    <w:lvl w:ilvl="4" w:tplc="C69240A8" w:tentative="1">
      <w:start w:val="1"/>
      <w:numFmt w:val="bullet"/>
      <w:lvlText w:val="o"/>
      <w:lvlJc w:val="left"/>
      <w:pPr>
        <w:ind w:left="3600" w:hanging="360"/>
      </w:pPr>
      <w:rPr>
        <w:rFonts w:ascii="Courier New" w:hAnsi="Courier New" w:cs="Courier New" w:hint="default"/>
      </w:rPr>
    </w:lvl>
    <w:lvl w:ilvl="5" w:tplc="EE3E8002" w:tentative="1">
      <w:start w:val="1"/>
      <w:numFmt w:val="bullet"/>
      <w:lvlText w:val=""/>
      <w:lvlJc w:val="left"/>
      <w:pPr>
        <w:ind w:left="4320" w:hanging="360"/>
      </w:pPr>
      <w:rPr>
        <w:rFonts w:ascii="Wingdings" w:hAnsi="Wingdings" w:hint="default"/>
      </w:rPr>
    </w:lvl>
    <w:lvl w:ilvl="6" w:tplc="4A0C150E" w:tentative="1">
      <w:start w:val="1"/>
      <w:numFmt w:val="bullet"/>
      <w:lvlText w:val=""/>
      <w:lvlJc w:val="left"/>
      <w:pPr>
        <w:ind w:left="5040" w:hanging="360"/>
      </w:pPr>
      <w:rPr>
        <w:rFonts w:ascii="Symbol" w:hAnsi="Symbol" w:hint="default"/>
      </w:rPr>
    </w:lvl>
    <w:lvl w:ilvl="7" w:tplc="F794759A" w:tentative="1">
      <w:start w:val="1"/>
      <w:numFmt w:val="bullet"/>
      <w:lvlText w:val="o"/>
      <w:lvlJc w:val="left"/>
      <w:pPr>
        <w:ind w:left="5760" w:hanging="360"/>
      </w:pPr>
      <w:rPr>
        <w:rFonts w:ascii="Courier New" w:hAnsi="Courier New" w:cs="Courier New" w:hint="default"/>
      </w:rPr>
    </w:lvl>
    <w:lvl w:ilvl="8" w:tplc="34283552" w:tentative="1">
      <w:start w:val="1"/>
      <w:numFmt w:val="bullet"/>
      <w:lvlText w:val=""/>
      <w:lvlJc w:val="left"/>
      <w:pPr>
        <w:ind w:left="6480" w:hanging="360"/>
      </w:pPr>
      <w:rPr>
        <w:rFonts w:ascii="Wingdings" w:hAnsi="Wingdings" w:hint="default"/>
      </w:rPr>
    </w:lvl>
  </w:abstractNum>
  <w:abstractNum w:abstractNumId="8" w15:restartNumberingAfterBreak="0">
    <w:nsid w:val="4A0267FA"/>
    <w:multiLevelType w:val="hybridMultilevel"/>
    <w:tmpl w:val="D2F472FA"/>
    <w:lvl w:ilvl="0" w:tplc="5890E0DE">
      <w:start w:val="3"/>
      <w:numFmt w:val="bullet"/>
      <w:pStyle w:val="ListParagraph"/>
      <w:lvlText w:val="-"/>
      <w:lvlJc w:val="left"/>
      <w:pPr>
        <w:ind w:left="720" w:hanging="360"/>
      </w:pPr>
      <w:rPr>
        <w:rFonts w:ascii="Arial" w:eastAsia="Times New Roman" w:hAnsi="Arial" w:cs="Arial" w:hint="default"/>
      </w:rPr>
    </w:lvl>
    <w:lvl w:ilvl="1" w:tplc="519EA780" w:tentative="1">
      <w:start w:val="1"/>
      <w:numFmt w:val="bullet"/>
      <w:lvlText w:val="o"/>
      <w:lvlJc w:val="left"/>
      <w:pPr>
        <w:ind w:left="1440" w:hanging="360"/>
      </w:pPr>
      <w:rPr>
        <w:rFonts w:ascii="Courier New" w:hAnsi="Courier New" w:cs="Courier New" w:hint="default"/>
      </w:rPr>
    </w:lvl>
    <w:lvl w:ilvl="2" w:tplc="53AA2EEA" w:tentative="1">
      <w:start w:val="1"/>
      <w:numFmt w:val="bullet"/>
      <w:lvlText w:val=""/>
      <w:lvlJc w:val="left"/>
      <w:pPr>
        <w:ind w:left="2160" w:hanging="360"/>
      </w:pPr>
      <w:rPr>
        <w:rFonts w:ascii="Wingdings" w:hAnsi="Wingdings" w:hint="default"/>
      </w:rPr>
    </w:lvl>
    <w:lvl w:ilvl="3" w:tplc="543E27E0" w:tentative="1">
      <w:start w:val="1"/>
      <w:numFmt w:val="bullet"/>
      <w:lvlText w:val=""/>
      <w:lvlJc w:val="left"/>
      <w:pPr>
        <w:ind w:left="2880" w:hanging="360"/>
      </w:pPr>
      <w:rPr>
        <w:rFonts w:ascii="Symbol" w:hAnsi="Symbol" w:hint="default"/>
      </w:rPr>
    </w:lvl>
    <w:lvl w:ilvl="4" w:tplc="38FC7E96" w:tentative="1">
      <w:start w:val="1"/>
      <w:numFmt w:val="bullet"/>
      <w:lvlText w:val="o"/>
      <w:lvlJc w:val="left"/>
      <w:pPr>
        <w:ind w:left="3600" w:hanging="360"/>
      </w:pPr>
      <w:rPr>
        <w:rFonts w:ascii="Courier New" w:hAnsi="Courier New" w:cs="Courier New" w:hint="default"/>
      </w:rPr>
    </w:lvl>
    <w:lvl w:ilvl="5" w:tplc="DFA098E0" w:tentative="1">
      <w:start w:val="1"/>
      <w:numFmt w:val="bullet"/>
      <w:lvlText w:val=""/>
      <w:lvlJc w:val="left"/>
      <w:pPr>
        <w:ind w:left="4320" w:hanging="360"/>
      </w:pPr>
      <w:rPr>
        <w:rFonts w:ascii="Wingdings" w:hAnsi="Wingdings" w:hint="default"/>
      </w:rPr>
    </w:lvl>
    <w:lvl w:ilvl="6" w:tplc="32E4A084" w:tentative="1">
      <w:start w:val="1"/>
      <w:numFmt w:val="bullet"/>
      <w:lvlText w:val=""/>
      <w:lvlJc w:val="left"/>
      <w:pPr>
        <w:ind w:left="5040" w:hanging="360"/>
      </w:pPr>
      <w:rPr>
        <w:rFonts w:ascii="Symbol" w:hAnsi="Symbol" w:hint="default"/>
      </w:rPr>
    </w:lvl>
    <w:lvl w:ilvl="7" w:tplc="98F43BF8" w:tentative="1">
      <w:start w:val="1"/>
      <w:numFmt w:val="bullet"/>
      <w:lvlText w:val="o"/>
      <w:lvlJc w:val="left"/>
      <w:pPr>
        <w:ind w:left="5760" w:hanging="360"/>
      </w:pPr>
      <w:rPr>
        <w:rFonts w:ascii="Courier New" w:hAnsi="Courier New" w:cs="Courier New" w:hint="default"/>
      </w:rPr>
    </w:lvl>
    <w:lvl w:ilvl="8" w:tplc="FD76468C" w:tentative="1">
      <w:start w:val="1"/>
      <w:numFmt w:val="bullet"/>
      <w:lvlText w:val=""/>
      <w:lvlJc w:val="left"/>
      <w:pPr>
        <w:ind w:left="6480" w:hanging="360"/>
      </w:pPr>
      <w:rPr>
        <w:rFonts w:ascii="Wingdings" w:hAnsi="Wingdings" w:hint="default"/>
      </w:rPr>
    </w:lvl>
  </w:abstractNum>
  <w:abstractNum w:abstractNumId="9" w15:restartNumberingAfterBreak="0">
    <w:nsid w:val="4A141379"/>
    <w:multiLevelType w:val="hybridMultilevel"/>
    <w:tmpl w:val="90BE444A"/>
    <w:lvl w:ilvl="0" w:tplc="46522C54">
      <w:start w:val="1"/>
      <w:numFmt w:val="bullet"/>
      <w:lvlText w:val=""/>
      <w:lvlJc w:val="left"/>
      <w:pPr>
        <w:ind w:left="765" w:hanging="360"/>
      </w:pPr>
      <w:rPr>
        <w:rFonts w:ascii="Symbol" w:hAnsi="Symbol" w:hint="default"/>
      </w:rPr>
    </w:lvl>
    <w:lvl w:ilvl="1" w:tplc="13A87BA0" w:tentative="1">
      <w:start w:val="1"/>
      <w:numFmt w:val="bullet"/>
      <w:lvlText w:val="o"/>
      <w:lvlJc w:val="left"/>
      <w:pPr>
        <w:ind w:left="1485" w:hanging="360"/>
      </w:pPr>
      <w:rPr>
        <w:rFonts w:ascii="Courier New" w:hAnsi="Courier New" w:cs="Courier New" w:hint="default"/>
      </w:rPr>
    </w:lvl>
    <w:lvl w:ilvl="2" w:tplc="44108C74" w:tentative="1">
      <w:start w:val="1"/>
      <w:numFmt w:val="bullet"/>
      <w:lvlText w:val=""/>
      <w:lvlJc w:val="left"/>
      <w:pPr>
        <w:ind w:left="2205" w:hanging="360"/>
      </w:pPr>
      <w:rPr>
        <w:rFonts w:ascii="Wingdings" w:hAnsi="Wingdings" w:hint="default"/>
      </w:rPr>
    </w:lvl>
    <w:lvl w:ilvl="3" w:tplc="A0B015F4" w:tentative="1">
      <w:start w:val="1"/>
      <w:numFmt w:val="bullet"/>
      <w:lvlText w:val=""/>
      <w:lvlJc w:val="left"/>
      <w:pPr>
        <w:ind w:left="2925" w:hanging="360"/>
      </w:pPr>
      <w:rPr>
        <w:rFonts w:ascii="Symbol" w:hAnsi="Symbol" w:hint="default"/>
      </w:rPr>
    </w:lvl>
    <w:lvl w:ilvl="4" w:tplc="A2A40CA8" w:tentative="1">
      <w:start w:val="1"/>
      <w:numFmt w:val="bullet"/>
      <w:lvlText w:val="o"/>
      <w:lvlJc w:val="left"/>
      <w:pPr>
        <w:ind w:left="3645" w:hanging="360"/>
      </w:pPr>
      <w:rPr>
        <w:rFonts w:ascii="Courier New" w:hAnsi="Courier New" w:cs="Courier New" w:hint="default"/>
      </w:rPr>
    </w:lvl>
    <w:lvl w:ilvl="5" w:tplc="D036231C" w:tentative="1">
      <w:start w:val="1"/>
      <w:numFmt w:val="bullet"/>
      <w:lvlText w:val=""/>
      <w:lvlJc w:val="left"/>
      <w:pPr>
        <w:ind w:left="4365" w:hanging="360"/>
      </w:pPr>
      <w:rPr>
        <w:rFonts w:ascii="Wingdings" w:hAnsi="Wingdings" w:hint="default"/>
      </w:rPr>
    </w:lvl>
    <w:lvl w:ilvl="6" w:tplc="6DFCECEC" w:tentative="1">
      <w:start w:val="1"/>
      <w:numFmt w:val="bullet"/>
      <w:lvlText w:val=""/>
      <w:lvlJc w:val="left"/>
      <w:pPr>
        <w:ind w:left="5085" w:hanging="360"/>
      </w:pPr>
      <w:rPr>
        <w:rFonts w:ascii="Symbol" w:hAnsi="Symbol" w:hint="default"/>
      </w:rPr>
    </w:lvl>
    <w:lvl w:ilvl="7" w:tplc="971E03B8" w:tentative="1">
      <w:start w:val="1"/>
      <w:numFmt w:val="bullet"/>
      <w:lvlText w:val="o"/>
      <w:lvlJc w:val="left"/>
      <w:pPr>
        <w:ind w:left="5805" w:hanging="360"/>
      </w:pPr>
      <w:rPr>
        <w:rFonts w:ascii="Courier New" w:hAnsi="Courier New" w:cs="Courier New" w:hint="default"/>
      </w:rPr>
    </w:lvl>
    <w:lvl w:ilvl="8" w:tplc="0882AD18" w:tentative="1">
      <w:start w:val="1"/>
      <w:numFmt w:val="bullet"/>
      <w:lvlText w:val=""/>
      <w:lvlJc w:val="left"/>
      <w:pPr>
        <w:ind w:left="6525" w:hanging="360"/>
      </w:pPr>
      <w:rPr>
        <w:rFonts w:ascii="Wingdings" w:hAnsi="Wingdings" w:hint="default"/>
      </w:rPr>
    </w:lvl>
  </w:abstractNum>
  <w:abstractNum w:abstractNumId="10" w15:restartNumberingAfterBreak="0">
    <w:nsid w:val="59AF6546"/>
    <w:multiLevelType w:val="hybridMultilevel"/>
    <w:tmpl w:val="D26C17CE"/>
    <w:lvl w:ilvl="0" w:tplc="FF6CA06A">
      <w:start w:val="1"/>
      <w:numFmt w:val="decimal"/>
      <w:lvlText w:val="%1."/>
      <w:lvlJc w:val="left"/>
      <w:pPr>
        <w:ind w:left="765" w:hanging="360"/>
      </w:pPr>
    </w:lvl>
    <w:lvl w:ilvl="1" w:tplc="8AA4586E" w:tentative="1">
      <w:start w:val="1"/>
      <w:numFmt w:val="lowerLetter"/>
      <w:lvlText w:val="%2."/>
      <w:lvlJc w:val="left"/>
      <w:pPr>
        <w:ind w:left="1485" w:hanging="360"/>
      </w:pPr>
    </w:lvl>
    <w:lvl w:ilvl="2" w:tplc="075220C4" w:tentative="1">
      <w:start w:val="1"/>
      <w:numFmt w:val="lowerRoman"/>
      <w:lvlText w:val="%3."/>
      <w:lvlJc w:val="right"/>
      <w:pPr>
        <w:ind w:left="2205" w:hanging="180"/>
      </w:pPr>
    </w:lvl>
    <w:lvl w:ilvl="3" w:tplc="684A65D8" w:tentative="1">
      <w:start w:val="1"/>
      <w:numFmt w:val="decimal"/>
      <w:lvlText w:val="%4."/>
      <w:lvlJc w:val="left"/>
      <w:pPr>
        <w:ind w:left="2925" w:hanging="360"/>
      </w:pPr>
    </w:lvl>
    <w:lvl w:ilvl="4" w:tplc="67F81132" w:tentative="1">
      <w:start w:val="1"/>
      <w:numFmt w:val="lowerLetter"/>
      <w:lvlText w:val="%5."/>
      <w:lvlJc w:val="left"/>
      <w:pPr>
        <w:ind w:left="3645" w:hanging="360"/>
      </w:pPr>
    </w:lvl>
    <w:lvl w:ilvl="5" w:tplc="1954F94A" w:tentative="1">
      <w:start w:val="1"/>
      <w:numFmt w:val="lowerRoman"/>
      <w:lvlText w:val="%6."/>
      <w:lvlJc w:val="right"/>
      <w:pPr>
        <w:ind w:left="4365" w:hanging="180"/>
      </w:pPr>
    </w:lvl>
    <w:lvl w:ilvl="6" w:tplc="28A0C4BC" w:tentative="1">
      <w:start w:val="1"/>
      <w:numFmt w:val="decimal"/>
      <w:lvlText w:val="%7."/>
      <w:lvlJc w:val="left"/>
      <w:pPr>
        <w:ind w:left="5085" w:hanging="360"/>
      </w:pPr>
    </w:lvl>
    <w:lvl w:ilvl="7" w:tplc="DFAE9108" w:tentative="1">
      <w:start w:val="1"/>
      <w:numFmt w:val="lowerLetter"/>
      <w:lvlText w:val="%8."/>
      <w:lvlJc w:val="left"/>
      <w:pPr>
        <w:ind w:left="5805" w:hanging="360"/>
      </w:pPr>
    </w:lvl>
    <w:lvl w:ilvl="8" w:tplc="6AD857C4" w:tentative="1">
      <w:start w:val="1"/>
      <w:numFmt w:val="lowerRoman"/>
      <w:lvlText w:val="%9."/>
      <w:lvlJc w:val="right"/>
      <w:pPr>
        <w:ind w:left="6525" w:hanging="180"/>
      </w:pPr>
    </w:lvl>
  </w:abstractNum>
  <w:abstractNum w:abstractNumId="11" w15:restartNumberingAfterBreak="0">
    <w:nsid w:val="5C4207D1"/>
    <w:multiLevelType w:val="hybridMultilevel"/>
    <w:tmpl w:val="336E9016"/>
    <w:lvl w:ilvl="0" w:tplc="4A6EC6CA">
      <w:start w:val="1"/>
      <w:numFmt w:val="bullet"/>
      <w:lvlText w:val=""/>
      <w:lvlJc w:val="left"/>
      <w:pPr>
        <w:ind w:left="720" w:hanging="360"/>
      </w:pPr>
      <w:rPr>
        <w:rFonts w:ascii="Symbol" w:hAnsi="Symbol" w:hint="default"/>
      </w:rPr>
    </w:lvl>
    <w:lvl w:ilvl="1" w:tplc="AF165146" w:tentative="1">
      <w:start w:val="1"/>
      <w:numFmt w:val="bullet"/>
      <w:lvlText w:val="o"/>
      <w:lvlJc w:val="left"/>
      <w:pPr>
        <w:ind w:left="1440" w:hanging="360"/>
      </w:pPr>
      <w:rPr>
        <w:rFonts w:ascii="Courier New" w:hAnsi="Courier New" w:cs="Courier New" w:hint="default"/>
      </w:rPr>
    </w:lvl>
    <w:lvl w:ilvl="2" w:tplc="76341620" w:tentative="1">
      <w:start w:val="1"/>
      <w:numFmt w:val="bullet"/>
      <w:lvlText w:val=""/>
      <w:lvlJc w:val="left"/>
      <w:pPr>
        <w:ind w:left="2160" w:hanging="360"/>
      </w:pPr>
      <w:rPr>
        <w:rFonts w:ascii="Wingdings" w:hAnsi="Wingdings" w:hint="default"/>
      </w:rPr>
    </w:lvl>
    <w:lvl w:ilvl="3" w:tplc="2E5E1C4E" w:tentative="1">
      <w:start w:val="1"/>
      <w:numFmt w:val="bullet"/>
      <w:lvlText w:val=""/>
      <w:lvlJc w:val="left"/>
      <w:pPr>
        <w:ind w:left="2880" w:hanging="360"/>
      </w:pPr>
      <w:rPr>
        <w:rFonts w:ascii="Symbol" w:hAnsi="Symbol" w:hint="default"/>
      </w:rPr>
    </w:lvl>
    <w:lvl w:ilvl="4" w:tplc="65A6E7BE" w:tentative="1">
      <w:start w:val="1"/>
      <w:numFmt w:val="bullet"/>
      <w:lvlText w:val="o"/>
      <w:lvlJc w:val="left"/>
      <w:pPr>
        <w:ind w:left="3600" w:hanging="360"/>
      </w:pPr>
      <w:rPr>
        <w:rFonts w:ascii="Courier New" w:hAnsi="Courier New" w:cs="Courier New" w:hint="default"/>
      </w:rPr>
    </w:lvl>
    <w:lvl w:ilvl="5" w:tplc="FE90638E" w:tentative="1">
      <w:start w:val="1"/>
      <w:numFmt w:val="bullet"/>
      <w:lvlText w:val=""/>
      <w:lvlJc w:val="left"/>
      <w:pPr>
        <w:ind w:left="4320" w:hanging="360"/>
      </w:pPr>
      <w:rPr>
        <w:rFonts w:ascii="Wingdings" w:hAnsi="Wingdings" w:hint="default"/>
      </w:rPr>
    </w:lvl>
    <w:lvl w:ilvl="6" w:tplc="C8D883BE" w:tentative="1">
      <w:start w:val="1"/>
      <w:numFmt w:val="bullet"/>
      <w:lvlText w:val=""/>
      <w:lvlJc w:val="left"/>
      <w:pPr>
        <w:ind w:left="5040" w:hanging="360"/>
      </w:pPr>
      <w:rPr>
        <w:rFonts w:ascii="Symbol" w:hAnsi="Symbol" w:hint="default"/>
      </w:rPr>
    </w:lvl>
    <w:lvl w:ilvl="7" w:tplc="ACF0EB14" w:tentative="1">
      <w:start w:val="1"/>
      <w:numFmt w:val="bullet"/>
      <w:lvlText w:val="o"/>
      <w:lvlJc w:val="left"/>
      <w:pPr>
        <w:ind w:left="5760" w:hanging="360"/>
      </w:pPr>
      <w:rPr>
        <w:rFonts w:ascii="Courier New" w:hAnsi="Courier New" w:cs="Courier New" w:hint="default"/>
      </w:rPr>
    </w:lvl>
    <w:lvl w:ilvl="8" w:tplc="0A164928" w:tentative="1">
      <w:start w:val="1"/>
      <w:numFmt w:val="bullet"/>
      <w:lvlText w:val=""/>
      <w:lvlJc w:val="left"/>
      <w:pPr>
        <w:ind w:left="6480" w:hanging="360"/>
      </w:pPr>
      <w:rPr>
        <w:rFonts w:ascii="Wingdings" w:hAnsi="Wingdings" w:hint="default"/>
      </w:rPr>
    </w:lvl>
  </w:abstractNum>
  <w:abstractNum w:abstractNumId="12" w15:restartNumberingAfterBreak="0">
    <w:nsid w:val="787E41E8"/>
    <w:multiLevelType w:val="hybridMultilevel"/>
    <w:tmpl w:val="5BBEDE86"/>
    <w:lvl w:ilvl="0" w:tplc="889EB664">
      <w:start w:val="1"/>
      <w:numFmt w:val="decimal"/>
      <w:lvlText w:val="%1."/>
      <w:lvlJc w:val="left"/>
      <w:pPr>
        <w:ind w:left="4680" w:hanging="360"/>
      </w:pPr>
    </w:lvl>
    <w:lvl w:ilvl="1" w:tplc="C13CCE1E" w:tentative="1">
      <w:start w:val="1"/>
      <w:numFmt w:val="lowerLetter"/>
      <w:lvlText w:val="%2."/>
      <w:lvlJc w:val="left"/>
      <w:pPr>
        <w:ind w:left="5400" w:hanging="360"/>
      </w:pPr>
    </w:lvl>
    <w:lvl w:ilvl="2" w:tplc="D0026D8A" w:tentative="1">
      <w:start w:val="1"/>
      <w:numFmt w:val="lowerRoman"/>
      <w:lvlText w:val="%3."/>
      <w:lvlJc w:val="right"/>
      <w:pPr>
        <w:ind w:left="6120" w:hanging="180"/>
      </w:pPr>
    </w:lvl>
    <w:lvl w:ilvl="3" w:tplc="E5385AAC" w:tentative="1">
      <w:start w:val="1"/>
      <w:numFmt w:val="decimal"/>
      <w:lvlText w:val="%4."/>
      <w:lvlJc w:val="left"/>
      <w:pPr>
        <w:ind w:left="6840" w:hanging="360"/>
      </w:pPr>
    </w:lvl>
    <w:lvl w:ilvl="4" w:tplc="DFEC19B2" w:tentative="1">
      <w:start w:val="1"/>
      <w:numFmt w:val="lowerLetter"/>
      <w:lvlText w:val="%5."/>
      <w:lvlJc w:val="left"/>
      <w:pPr>
        <w:ind w:left="7560" w:hanging="360"/>
      </w:pPr>
    </w:lvl>
    <w:lvl w:ilvl="5" w:tplc="4524FEBE" w:tentative="1">
      <w:start w:val="1"/>
      <w:numFmt w:val="lowerRoman"/>
      <w:lvlText w:val="%6."/>
      <w:lvlJc w:val="right"/>
      <w:pPr>
        <w:ind w:left="8280" w:hanging="180"/>
      </w:pPr>
    </w:lvl>
    <w:lvl w:ilvl="6" w:tplc="41AE1BCC" w:tentative="1">
      <w:start w:val="1"/>
      <w:numFmt w:val="decimal"/>
      <w:lvlText w:val="%7."/>
      <w:lvlJc w:val="left"/>
      <w:pPr>
        <w:ind w:left="9000" w:hanging="360"/>
      </w:pPr>
    </w:lvl>
    <w:lvl w:ilvl="7" w:tplc="C7AEE95A" w:tentative="1">
      <w:start w:val="1"/>
      <w:numFmt w:val="lowerLetter"/>
      <w:lvlText w:val="%8."/>
      <w:lvlJc w:val="left"/>
      <w:pPr>
        <w:ind w:left="9720" w:hanging="360"/>
      </w:pPr>
    </w:lvl>
    <w:lvl w:ilvl="8" w:tplc="A4803FD2" w:tentative="1">
      <w:start w:val="1"/>
      <w:numFmt w:val="lowerRoman"/>
      <w:lvlText w:val="%9."/>
      <w:lvlJc w:val="right"/>
      <w:pPr>
        <w:ind w:left="10440" w:hanging="180"/>
      </w:pPr>
    </w:lvl>
  </w:abstractNum>
  <w:num w:numId="1">
    <w:abstractNumId w:val="2"/>
  </w:num>
  <w:num w:numId="2">
    <w:abstractNumId w:val="5"/>
  </w:num>
  <w:num w:numId="3">
    <w:abstractNumId w:val="12"/>
  </w:num>
  <w:num w:numId="4">
    <w:abstractNumId w:val="6"/>
  </w:num>
  <w:num w:numId="5">
    <w:abstractNumId w:val="7"/>
  </w:num>
  <w:num w:numId="6">
    <w:abstractNumId w:val="4"/>
  </w:num>
  <w:num w:numId="7">
    <w:abstractNumId w:val="8"/>
  </w:num>
  <w:num w:numId="8">
    <w:abstractNumId w:val="11"/>
  </w:num>
  <w:num w:numId="9">
    <w:abstractNumId w:val="0"/>
  </w:num>
  <w:num w:numId="10">
    <w:abstractNumId w:val="1"/>
  </w:num>
  <w:num w:numId="11">
    <w:abstractNumId w:val="1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41"/>
    <w:docVar w:name="InternalQPulse_CurrentUserName" w:val="Document Management Process Owner,  "/>
    <w:docVar w:name="InternalQPulse_DatabaseAlias" w:val="Default"/>
    <w:docVar w:name="InternalQPulse_DocActiveDate" w:val="20/01/2020"/>
    <w:docVar w:name="InternalQPulse_DocAuthor" w:val="Information Security Manager,  "/>
    <w:docVar w:name="InternalQPulse_DocChangeDetails" w:val="Added details of encrypting the portable storage device."/>
    <w:docVar w:name="InternalQPulse_DocNumber" w:val="SOP-03-24"/>
    <w:docVar w:name="InternalQPulse_DocOwner" w:val="Information Security Manager,  "/>
    <w:docVar w:name="InternalQPulse_DocReviewDate" w:val="15/10/2021"/>
    <w:docVar w:name="InternalQPulse_DocRevisionNumber" w:val="1.1"/>
    <w:docVar w:name="InternalQPulse_DocStatus" w:val="Active"/>
    <w:docVar w:name="InternalQPulse_DocTitle" w:val="Migrating Projects out of the TRE"/>
    <w:docVar w:name="InternalQPulse_DocType" w:val="ISMS\SOP\TRE Operations - SOP"/>
    <w:docVar w:name="InternalQPulse_LanguageID" w:val="0"/>
    <w:docVar w:name="QPulse_CurrentDateTime" w:val="19/03/2020 17:54:41"/>
    <w:docVar w:name="QPulse_CurrentUserName" w:val="Document Management Process Owner,  "/>
    <w:docVar w:name="QPulse_DatabaseAlias" w:val="Default"/>
    <w:docVar w:name="QPulse_DocActiveDate" w:val="20/01/2020"/>
    <w:docVar w:name="QPulse_DocAuthor" w:val="Information Security Manager,  "/>
    <w:docVar w:name="QPulse_DocChangeDetails" w:val="Added details of encrypting the portable storage device."/>
    <w:docVar w:name="QPulse_DocLastReviewDate" w:val="&lt;QPulse_DocLastReviewDate&gt;"/>
    <w:docVar w:name="QPulse_DocLastReviewDetails" w:val="&lt;QPulse_DocLastReviewDetails&gt;"/>
    <w:docVar w:name="QPulse_DocLastReviewOwner" w:val="&lt;QPulse_DocLastReviewOwner&gt;"/>
    <w:docVar w:name="QPulse_DocNumber" w:val="SOP-03-24"/>
    <w:docVar w:name="QPulse_DocOwner" w:val="Information Security Manager,  "/>
    <w:docVar w:name="QPulse_DocReviewDate" w:val="15/10/2021"/>
    <w:docVar w:name="QPulse_DocRevisionNumber" w:val="1.1"/>
    <w:docVar w:name="QPulse_DocStatus" w:val="Active"/>
    <w:docVar w:name="QPulse_DocTitle" w:val="Migrating Projects out of the TRE"/>
    <w:docVar w:name="QPulse_DocType" w:val="ISMS\SOP\TRE Operations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c0a53501-67ea-4df1-a5a2-73871996b375"/>
  </w:docVars>
  <w:rsids>
    <w:rsidRoot w:val="00C00737"/>
    <w:rsid w:val="0017448D"/>
    <w:rsid w:val="006473D1"/>
    <w:rsid w:val="0080496E"/>
    <w:rsid w:val="00C00737"/>
    <w:rsid w:val="00CC40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5DB2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244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24B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8460D-400B-E445-BC74-2B9A5ABD4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2020-04-19T10:13:00Z</dcterms:modified>
</cp:coreProperties>
</file>