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00" w:rsidRPr="00616989" w:rsidRDefault="00D37900" w:rsidP="00CF436F">
      <w:pPr>
        <w:tabs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autoSpaceDE w:val="0"/>
        <w:autoSpaceDN w:val="0"/>
        <w:adjustRightInd w:val="0"/>
        <w:ind w:left="4956" w:right="142"/>
        <w:rPr>
          <w:rFonts w:ascii="Arial" w:hAnsi="Arial" w:cs="Arial"/>
          <w:color w:val="000000"/>
          <w:sz w:val="22"/>
          <w:szCs w:val="22"/>
        </w:rPr>
      </w:pPr>
    </w:p>
    <w:p w:rsidR="000259C5" w:rsidRDefault="000259C5" w:rsidP="00ED38B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center"/>
        <w:rPr>
          <w:rFonts w:ascii="Arial" w:hAnsi="Arial" w:cs="Arial"/>
          <w:b/>
          <w:sz w:val="28"/>
        </w:rPr>
      </w:pPr>
    </w:p>
    <w:p w:rsidR="00ED38B7" w:rsidRDefault="00200B04" w:rsidP="00ED38B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center"/>
        <w:rPr>
          <w:rFonts w:ascii="Arial" w:hAnsi="Arial" w:cs="Arial"/>
          <w:b/>
          <w:sz w:val="28"/>
        </w:rPr>
      </w:pPr>
      <w:r w:rsidRPr="006F231B">
        <w:rPr>
          <w:rFonts w:ascii="Arial" w:hAnsi="Arial" w:cs="Arial"/>
          <w:b/>
          <w:sz w:val="28"/>
        </w:rPr>
        <w:t xml:space="preserve">PRINCIPAIS </w:t>
      </w:r>
      <w:r w:rsidRPr="006F231B">
        <w:rPr>
          <w:rFonts w:ascii="Arial" w:hAnsi="Arial" w:cs="Arial"/>
          <w:b/>
          <w:i/>
          <w:sz w:val="28"/>
        </w:rPr>
        <w:t>ABSTRACTS</w:t>
      </w:r>
      <w:r w:rsidRPr="006F231B">
        <w:rPr>
          <w:rFonts w:ascii="Arial" w:hAnsi="Arial" w:cs="Arial"/>
          <w:b/>
          <w:sz w:val="28"/>
        </w:rPr>
        <w:t xml:space="preserve"> </w:t>
      </w:r>
      <w:r w:rsidR="00E92610" w:rsidRPr="006F231B">
        <w:rPr>
          <w:rFonts w:ascii="Arial" w:hAnsi="Arial" w:cs="Arial"/>
          <w:b/>
          <w:sz w:val="28"/>
        </w:rPr>
        <w:t xml:space="preserve">DE ESTUDOS EM </w:t>
      </w:r>
      <w:r w:rsidRPr="006F231B">
        <w:rPr>
          <w:rFonts w:ascii="Arial" w:hAnsi="Arial" w:cs="Arial"/>
          <w:b/>
          <w:sz w:val="28"/>
        </w:rPr>
        <w:t>INFECTOLOGIA</w:t>
      </w:r>
    </w:p>
    <w:p w:rsidR="000259C5" w:rsidRDefault="000259C5" w:rsidP="00ED38B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center"/>
        <w:rPr>
          <w:rFonts w:ascii="Arial" w:hAnsi="Arial" w:cs="Arial"/>
          <w:b/>
          <w:sz w:val="28"/>
        </w:rPr>
      </w:pPr>
    </w:p>
    <w:p w:rsidR="000259C5" w:rsidRDefault="000259C5" w:rsidP="000259C5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</w:rPr>
      </w:pPr>
    </w:p>
    <w:p w:rsidR="000259C5" w:rsidRDefault="000259C5" w:rsidP="000259C5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PRODUTOS: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Ecalta</w:t>
      </w:r>
      <w:proofErr w:type="spellEnd"/>
      <w:r w:rsidRPr="000259C5">
        <w:rPr>
          <w:rFonts w:ascii="Calibri" w:hAnsi="Calibri" w:cs="Arial"/>
          <w:sz w:val="28"/>
        </w:rPr>
        <w:t>®</w:t>
      </w:r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anidulafungina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Tazocin</w:t>
      </w:r>
      <w:proofErr w:type="spellEnd"/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piperacilina-tazobactam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Tygacil</w:t>
      </w:r>
      <w:proofErr w:type="spellEnd"/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tigeciclina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Vfend</w:t>
      </w:r>
      <w:proofErr w:type="spellEnd"/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voriconazol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Zitromax</w:t>
      </w:r>
      <w:proofErr w:type="spellEnd"/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azitromicina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0259C5" w:rsidRDefault="000259C5" w:rsidP="000259C5">
      <w:pPr>
        <w:pStyle w:val="PargrafodaLista"/>
        <w:keepLines/>
        <w:numPr>
          <w:ilvl w:val="0"/>
          <w:numId w:val="11"/>
        </w:numPr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sz w:val="28"/>
        </w:rPr>
      </w:pPr>
      <w:proofErr w:type="spellStart"/>
      <w:r w:rsidRPr="000259C5">
        <w:rPr>
          <w:rFonts w:ascii="Arial" w:hAnsi="Arial" w:cs="Arial"/>
          <w:sz w:val="28"/>
        </w:rPr>
        <w:t>Zyvox</w:t>
      </w:r>
      <w:proofErr w:type="spellEnd"/>
      <w:r w:rsidRPr="000259C5">
        <w:rPr>
          <w:rFonts w:ascii="Arial" w:hAnsi="Arial" w:cs="Arial"/>
          <w:sz w:val="28"/>
        </w:rPr>
        <w:t xml:space="preserve"> (</w:t>
      </w:r>
      <w:proofErr w:type="spellStart"/>
      <w:r w:rsidRPr="000259C5">
        <w:rPr>
          <w:rFonts w:ascii="Arial" w:hAnsi="Arial" w:cs="Arial"/>
          <w:sz w:val="28"/>
        </w:rPr>
        <w:t>linezolida</w:t>
      </w:r>
      <w:proofErr w:type="spellEnd"/>
      <w:r w:rsidRPr="000259C5">
        <w:rPr>
          <w:rFonts w:ascii="Arial" w:hAnsi="Arial" w:cs="Arial"/>
          <w:sz w:val="28"/>
        </w:rPr>
        <w:t>)</w:t>
      </w:r>
    </w:p>
    <w:p w:rsidR="000259C5" w:rsidRPr="006F231B" w:rsidRDefault="000259C5" w:rsidP="000259C5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</w:rPr>
      </w:pPr>
    </w:p>
    <w:p w:rsidR="00200B04" w:rsidRPr="006F231B" w:rsidRDefault="00200B04" w:rsidP="00ED38B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center"/>
        <w:rPr>
          <w:rFonts w:ascii="Arial" w:hAnsi="Arial" w:cs="Arial"/>
          <w:b/>
          <w:sz w:val="28"/>
        </w:rPr>
      </w:pPr>
    </w:p>
    <w:p w:rsidR="00200B04" w:rsidRPr="006F231B" w:rsidRDefault="00200B04" w:rsidP="00200B04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</w:rPr>
      </w:pPr>
    </w:p>
    <w:p w:rsidR="00E92610" w:rsidRPr="00E92610" w:rsidRDefault="00E92610" w:rsidP="00E92610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ECALTA</w:t>
      </w:r>
      <w:r>
        <w:rPr>
          <w:rFonts w:ascii="Calibri" w:hAnsi="Calibri" w:cs="Arial"/>
          <w:b/>
          <w:sz w:val="28"/>
          <w:lang w:val="en-US"/>
        </w:rPr>
        <w:t>®</w:t>
      </w:r>
      <w:r>
        <w:rPr>
          <w:rFonts w:ascii="Arial" w:hAnsi="Arial" w:cs="Arial"/>
          <w:b/>
          <w:sz w:val="28"/>
          <w:lang w:val="en-US"/>
        </w:rPr>
        <w:t xml:space="preserve"> (ANIDULAFUNGINA)</w:t>
      </w:r>
    </w:p>
    <w:p w:rsidR="00E92610" w:rsidRDefault="00E92610" w:rsidP="00E92610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E92610" w:rsidRPr="006F231B" w:rsidRDefault="00E92610" w:rsidP="00E92610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6F231B">
        <w:rPr>
          <w:rFonts w:ascii="Arial" w:hAnsi="Arial" w:cs="Arial"/>
          <w:b/>
          <w:color w:val="000000"/>
          <w:lang w:val="en-US"/>
        </w:rPr>
        <w:t>ANIDULAFUNGIN VERSUS FLUCONAZOLE FOR INVASIVE CANDIDIASIS</w:t>
      </w:r>
    </w:p>
    <w:p w:rsidR="00E92610" w:rsidRPr="006F231B" w:rsidRDefault="00E92610" w:rsidP="00E92610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color w:val="000000" w:themeColor="text1"/>
          <w:lang w:val="en-US"/>
        </w:rPr>
      </w:pPr>
      <w:r w:rsidRPr="006F231B">
        <w:rPr>
          <w:rFonts w:ascii="Arial" w:hAnsi="Arial" w:cs="Arial"/>
          <w:color w:val="000000" w:themeColor="text1"/>
          <w:lang w:val="en-US"/>
        </w:rPr>
        <w:t xml:space="preserve">Annette C. </w:t>
      </w:r>
      <w:proofErr w:type="spellStart"/>
      <w:r w:rsidRPr="006F231B">
        <w:rPr>
          <w:rFonts w:ascii="Arial" w:hAnsi="Arial" w:cs="Arial"/>
          <w:color w:val="000000" w:themeColor="text1"/>
          <w:lang w:val="en-US"/>
        </w:rPr>
        <w:t>Reboli</w:t>
      </w:r>
      <w:proofErr w:type="spellEnd"/>
      <w:r w:rsidRPr="006F231B">
        <w:rPr>
          <w:rFonts w:ascii="Arial" w:hAnsi="Arial" w:cs="Arial"/>
          <w:color w:val="000000" w:themeColor="text1"/>
          <w:lang w:val="en-US"/>
        </w:rPr>
        <w:t>, et al.</w:t>
      </w:r>
    </w:p>
    <w:p w:rsidR="00E92610" w:rsidRPr="006F231B" w:rsidRDefault="00E92610" w:rsidP="00E92610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color w:val="5A5A5A"/>
          <w:lang w:val="en-US"/>
        </w:rPr>
      </w:pPr>
      <w:r w:rsidRPr="006F231B">
        <w:rPr>
          <w:rFonts w:ascii="Arial" w:hAnsi="Arial" w:cs="Arial"/>
          <w:lang w:val="en-US"/>
        </w:rPr>
        <w:t xml:space="preserve">N </w:t>
      </w:r>
      <w:proofErr w:type="spellStart"/>
      <w:r w:rsidRPr="006F231B">
        <w:rPr>
          <w:rFonts w:ascii="Arial" w:hAnsi="Arial" w:cs="Arial"/>
          <w:lang w:val="en-US"/>
        </w:rPr>
        <w:t>Engl</w:t>
      </w:r>
      <w:proofErr w:type="spellEnd"/>
      <w:r w:rsidRPr="006F231B">
        <w:rPr>
          <w:rFonts w:ascii="Arial" w:hAnsi="Arial" w:cs="Arial"/>
          <w:lang w:val="en-US"/>
        </w:rPr>
        <w:t xml:space="preserve"> J Med 2007</w:t>
      </w:r>
      <w:proofErr w:type="gramStart"/>
      <w:r w:rsidRPr="006F231B">
        <w:rPr>
          <w:rFonts w:ascii="Arial" w:hAnsi="Arial" w:cs="Arial"/>
          <w:lang w:val="en-US"/>
        </w:rPr>
        <w:t>;356:2472</w:t>
      </w:r>
      <w:proofErr w:type="gramEnd"/>
      <w:r w:rsidRPr="006F231B">
        <w:rPr>
          <w:rFonts w:ascii="Arial" w:hAnsi="Arial" w:cs="Arial"/>
          <w:lang w:val="en-US"/>
        </w:rPr>
        <w:t>-82.</w:t>
      </w:r>
    </w:p>
    <w:p w:rsidR="00E92610" w:rsidRDefault="00E92610" w:rsidP="00E92610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92610" w:rsidRPr="00E92610" w:rsidRDefault="00E92610" w:rsidP="00E92610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lang w:val="en-US"/>
        </w:rPr>
      </w:pPr>
      <w:r w:rsidRPr="00E92610">
        <w:rPr>
          <w:rFonts w:ascii="Arial" w:hAnsi="Arial" w:cs="Arial"/>
          <w:b/>
          <w:bCs/>
          <w:color w:val="000000" w:themeColor="text1"/>
          <w:lang w:val="en-US"/>
        </w:rPr>
        <w:t>BACKGROUND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, a new </w:t>
      </w:r>
      <w:proofErr w:type="spellStart"/>
      <w:r w:rsidRPr="00E92610">
        <w:rPr>
          <w:rFonts w:ascii="Arial" w:hAnsi="Arial" w:cs="Arial"/>
          <w:color w:val="000000"/>
          <w:lang w:val="en-US"/>
        </w:rPr>
        <w:t>echinocandin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, has potent activity against </w:t>
      </w:r>
      <w:proofErr w:type="spellStart"/>
      <w:r w:rsidRPr="00E92610">
        <w:rPr>
          <w:rFonts w:ascii="Arial" w:hAnsi="Arial" w:cs="Arial"/>
          <w:color w:val="000000"/>
          <w:lang w:val="en-US"/>
        </w:rPr>
        <w:t>candida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species.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 xml:space="preserve">We compared </w:t>
      </w: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with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in a randomized, double-blind, </w:t>
      </w:r>
      <w:proofErr w:type="spellStart"/>
      <w:r w:rsidRPr="00E92610">
        <w:rPr>
          <w:rFonts w:ascii="Arial" w:hAnsi="Arial" w:cs="Arial"/>
          <w:color w:val="000000"/>
          <w:lang w:val="en-US"/>
        </w:rPr>
        <w:t>noninferiority</w:t>
      </w:r>
      <w:proofErr w:type="spellEnd"/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E92610">
        <w:rPr>
          <w:rFonts w:ascii="Arial" w:hAnsi="Arial" w:cs="Arial"/>
          <w:color w:val="000000"/>
          <w:lang w:val="en-US"/>
        </w:rPr>
        <w:t>trial</w:t>
      </w:r>
      <w:proofErr w:type="gramEnd"/>
      <w:r w:rsidRPr="00E92610">
        <w:rPr>
          <w:rFonts w:ascii="Arial" w:hAnsi="Arial" w:cs="Arial"/>
          <w:color w:val="000000"/>
          <w:lang w:val="en-US"/>
        </w:rPr>
        <w:t xml:space="preserve"> of treatment for invasive </w:t>
      </w:r>
      <w:proofErr w:type="spellStart"/>
      <w:r w:rsidRPr="00E92610">
        <w:rPr>
          <w:rFonts w:ascii="Arial" w:hAnsi="Arial" w:cs="Arial"/>
          <w:color w:val="000000"/>
          <w:lang w:val="en-US"/>
        </w:rPr>
        <w:t>candidiasis</w:t>
      </w:r>
      <w:proofErr w:type="spellEnd"/>
      <w:r w:rsidRPr="00E92610">
        <w:rPr>
          <w:rFonts w:ascii="Arial" w:hAnsi="Arial" w:cs="Arial"/>
          <w:color w:val="000000"/>
          <w:lang w:val="en-US"/>
        </w:rPr>
        <w:t>.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E92610">
        <w:rPr>
          <w:rFonts w:ascii="Arial" w:hAnsi="Arial" w:cs="Arial"/>
          <w:b/>
          <w:bCs/>
          <w:color w:val="000000" w:themeColor="text1"/>
          <w:lang w:val="en-US"/>
        </w:rPr>
        <w:t>METHODS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r w:rsidRPr="00E92610">
        <w:rPr>
          <w:rFonts w:ascii="Arial" w:hAnsi="Arial" w:cs="Arial"/>
          <w:color w:val="000000"/>
          <w:lang w:val="en-US"/>
        </w:rPr>
        <w:t xml:space="preserve">Adults with invasive </w:t>
      </w:r>
      <w:proofErr w:type="spellStart"/>
      <w:r w:rsidRPr="00E92610">
        <w:rPr>
          <w:rFonts w:ascii="Arial" w:hAnsi="Arial" w:cs="Arial"/>
          <w:color w:val="000000"/>
          <w:lang w:val="en-US"/>
        </w:rPr>
        <w:t>candidiasis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were randomly assigned to receive either intravenous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proofErr w:type="gramEnd"/>
      <w:r w:rsidRPr="00E92610">
        <w:rPr>
          <w:rFonts w:ascii="Arial" w:hAnsi="Arial" w:cs="Arial"/>
          <w:color w:val="000000"/>
          <w:lang w:val="en-US"/>
        </w:rPr>
        <w:t xml:space="preserve"> or intravenous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. All patients could receive oral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E92610">
        <w:rPr>
          <w:rFonts w:ascii="Arial" w:hAnsi="Arial" w:cs="Arial"/>
          <w:color w:val="000000"/>
          <w:lang w:val="en-US"/>
        </w:rPr>
        <w:t>after</w:t>
      </w:r>
      <w:proofErr w:type="gramEnd"/>
      <w:r w:rsidRPr="00E92610">
        <w:rPr>
          <w:rFonts w:ascii="Arial" w:hAnsi="Arial" w:cs="Arial"/>
          <w:color w:val="000000"/>
          <w:lang w:val="en-US"/>
        </w:rPr>
        <w:t xml:space="preserve"> 10 days of intravenous therapy. The primary efficacy analysis assessed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the global response (clinical and microbiologic) at the end of intravenous therapy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in patients who had a positive baseline culture. Efficacy was also assessed at other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time points.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E92610">
        <w:rPr>
          <w:rFonts w:ascii="Arial" w:hAnsi="Arial" w:cs="Arial"/>
          <w:b/>
          <w:bCs/>
          <w:color w:val="000000" w:themeColor="text1"/>
          <w:lang w:val="en-US"/>
        </w:rPr>
        <w:t>RESULTS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r w:rsidRPr="00E92610">
        <w:rPr>
          <w:rFonts w:ascii="Arial" w:hAnsi="Arial" w:cs="Arial"/>
          <w:color w:val="000000"/>
          <w:lang w:val="en-US"/>
        </w:rPr>
        <w:t xml:space="preserve">Eighty-nine percent of the 245 patients in the primary analysis had </w:t>
      </w:r>
      <w:proofErr w:type="spellStart"/>
      <w:r w:rsidRPr="00E92610">
        <w:rPr>
          <w:rFonts w:ascii="Arial" w:hAnsi="Arial" w:cs="Arial"/>
          <w:color w:val="000000"/>
          <w:lang w:val="en-US"/>
        </w:rPr>
        <w:t>candidemia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only.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r w:rsidRPr="00E92610">
        <w:rPr>
          <w:rFonts w:ascii="Arial" w:hAnsi="Arial" w:cs="Arial"/>
          <w:i/>
          <w:iCs/>
          <w:color w:val="000000"/>
          <w:lang w:val="en-US"/>
        </w:rPr>
        <w:t xml:space="preserve">Candida </w:t>
      </w:r>
      <w:proofErr w:type="spellStart"/>
      <w:r w:rsidRPr="00E92610">
        <w:rPr>
          <w:rFonts w:ascii="Arial" w:hAnsi="Arial" w:cs="Arial"/>
          <w:i/>
          <w:iCs/>
          <w:color w:val="000000"/>
          <w:lang w:val="en-US"/>
        </w:rPr>
        <w:t>albicans</w:t>
      </w:r>
      <w:proofErr w:type="spellEnd"/>
      <w:r w:rsidRPr="00E92610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 xml:space="preserve">was isolated in 62% of the 245 patients. In vitro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resistance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 xml:space="preserve">was infrequent. Most of the patients (97%) did not have </w:t>
      </w:r>
      <w:proofErr w:type="spellStart"/>
      <w:r w:rsidRPr="00E92610">
        <w:rPr>
          <w:rFonts w:ascii="Arial" w:hAnsi="Arial" w:cs="Arial"/>
          <w:color w:val="000000"/>
          <w:lang w:val="en-US"/>
        </w:rPr>
        <w:t>neutropenia</w:t>
      </w:r>
      <w:proofErr w:type="spellEnd"/>
      <w:r w:rsidRPr="00E92610">
        <w:rPr>
          <w:rFonts w:ascii="Arial" w:hAnsi="Arial" w:cs="Arial"/>
          <w:color w:val="000000"/>
          <w:lang w:val="en-US"/>
        </w:rPr>
        <w:t>. At the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end of intravenous therapy, treatment was successful in 75.6% of patients treated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gramStart"/>
      <w:r w:rsidRPr="00E92610">
        <w:rPr>
          <w:rFonts w:ascii="Arial" w:hAnsi="Arial" w:cs="Arial"/>
          <w:color w:val="000000"/>
          <w:lang w:val="en-US"/>
        </w:rPr>
        <w:lastRenderedPageBreak/>
        <w:t>with</w:t>
      </w:r>
      <w:proofErr w:type="gramEnd"/>
      <w:r w:rsidRPr="00E9261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, as compared with 60.2% of those treated with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(difference, 15.4 percentage points; 95% confidence interval [CI], 3.9 to 27.0). The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results were similar for other efficacy end points. The statistical analyses failed to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show a “center effect”; when data from the site enrolling the largest number of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patients were removed, success rates at the end of intravenous therapy were 73.2%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 xml:space="preserve">in the </w:t>
      </w: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group and 61.1% in the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</w:t>
      </w:r>
      <w:r>
        <w:rPr>
          <w:rFonts w:ascii="Arial" w:hAnsi="Arial" w:cs="Arial"/>
          <w:color w:val="000000"/>
          <w:lang w:val="en-US"/>
        </w:rPr>
        <w:t>onazole</w:t>
      </w:r>
      <w:proofErr w:type="spellEnd"/>
      <w:r>
        <w:rPr>
          <w:rFonts w:ascii="Arial" w:hAnsi="Arial" w:cs="Arial"/>
          <w:color w:val="000000"/>
          <w:lang w:val="en-US"/>
        </w:rPr>
        <w:t xml:space="preserve"> group (difference, 12.1 </w:t>
      </w:r>
      <w:r w:rsidRPr="00E92610">
        <w:rPr>
          <w:rFonts w:ascii="Arial" w:hAnsi="Arial" w:cs="Arial"/>
          <w:color w:val="000000"/>
          <w:lang w:val="en-US"/>
        </w:rPr>
        <w:t>percentage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points; 95% CI, −1.1 to 25.3). The frequency and types of adverse events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E92610">
        <w:rPr>
          <w:rFonts w:ascii="Arial" w:hAnsi="Arial" w:cs="Arial"/>
          <w:color w:val="000000"/>
          <w:lang w:val="en-US"/>
        </w:rPr>
        <w:t>were similar in the two groups. The rate of death from all causes was 31% in the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group and 23% in the </w:t>
      </w: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group (P = 0.13).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E92610">
        <w:rPr>
          <w:rFonts w:ascii="Arial" w:hAnsi="Arial" w:cs="Arial"/>
          <w:b/>
          <w:bCs/>
          <w:color w:val="000000" w:themeColor="text1"/>
          <w:lang w:val="en-US"/>
        </w:rPr>
        <w:t>CONCLUSIONS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E92610">
        <w:rPr>
          <w:rFonts w:ascii="Arial" w:hAnsi="Arial" w:cs="Arial"/>
          <w:color w:val="000000"/>
          <w:lang w:val="en-US"/>
        </w:rPr>
        <w:t>Anidulafungin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was shown to be </w:t>
      </w:r>
      <w:proofErr w:type="spellStart"/>
      <w:r w:rsidRPr="00E92610">
        <w:rPr>
          <w:rFonts w:ascii="Arial" w:hAnsi="Arial" w:cs="Arial"/>
          <w:color w:val="000000"/>
          <w:lang w:val="en-US"/>
        </w:rPr>
        <w:t>noninferior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to </w:t>
      </w:r>
      <w:proofErr w:type="spellStart"/>
      <w:r w:rsidRPr="00E92610">
        <w:rPr>
          <w:rFonts w:ascii="Arial" w:hAnsi="Arial" w:cs="Arial"/>
          <w:color w:val="000000"/>
          <w:lang w:val="en-US"/>
        </w:rPr>
        <w:t>fluconazole</w:t>
      </w:r>
      <w:proofErr w:type="spellEnd"/>
      <w:r w:rsidRPr="00E92610">
        <w:rPr>
          <w:rFonts w:ascii="Arial" w:hAnsi="Arial" w:cs="Arial"/>
          <w:color w:val="000000"/>
          <w:lang w:val="en-US"/>
        </w:rPr>
        <w:t xml:space="preserve"> in the treatment of invasive</w:t>
      </w:r>
    </w:p>
    <w:p w:rsidR="00E92610" w:rsidRPr="00E92610" w:rsidRDefault="00E92610" w:rsidP="00E9261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E92610">
        <w:rPr>
          <w:rFonts w:ascii="Arial" w:hAnsi="Arial" w:cs="Arial"/>
          <w:color w:val="000000"/>
          <w:lang w:val="en-US"/>
        </w:rPr>
        <w:t>candidiasis</w:t>
      </w:r>
      <w:proofErr w:type="spellEnd"/>
      <w:proofErr w:type="gramEnd"/>
      <w:r w:rsidRPr="00E92610">
        <w:rPr>
          <w:rFonts w:ascii="Arial" w:hAnsi="Arial" w:cs="Arial"/>
          <w:color w:val="000000"/>
          <w:lang w:val="en-US"/>
        </w:rPr>
        <w:t xml:space="preserve">. </w:t>
      </w:r>
      <w:proofErr w:type="gramStart"/>
      <w:r w:rsidRPr="00E92610">
        <w:rPr>
          <w:rFonts w:ascii="Arial" w:hAnsi="Arial" w:cs="Arial"/>
          <w:color w:val="000000"/>
          <w:lang w:val="en-US"/>
        </w:rPr>
        <w:t>(ClinicalTrials.gov number, NCT00056368).</w:t>
      </w:r>
      <w:proofErr w:type="gramEnd"/>
    </w:p>
    <w:p w:rsidR="006F231B" w:rsidRDefault="006F231B" w:rsidP="00E92610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6F231B" w:rsidRPr="00A019DE" w:rsidRDefault="006F231B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 w:rsidRPr="00A019DE">
        <w:rPr>
          <w:rFonts w:ascii="Arial" w:hAnsi="Arial" w:cs="Arial"/>
          <w:b/>
          <w:sz w:val="28"/>
          <w:lang w:val="en-US"/>
        </w:rPr>
        <w:t>TAZOCIN</w:t>
      </w:r>
      <w:r w:rsidRPr="00A019DE">
        <w:rPr>
          <w:rFonts w:ascii="Calibri" w:hAnsi="Calibri" w:cs="Arial"/>
          <w:b/>
          <w:sz w:val="28"/>
          <w:lang w:val="en-US"/>
        </w:rPr>
        <w:t>®</w:t>
      </w:r>
      <w:r w:rsidRPr="00A019DE">
        <w:rPr>
          <w:rFonts w:ascii="Arial" w:hAnsi="Arial" w:cs="Arial"/>
          <w:b/>
          <w:sz w:val="28"/>
          <w:lang w:val="en-US"/>
        </w:rPr>
        <w:t xml:space="preserve"> (PIPERACILINA/TAZOBACTAM)</w:t>
      </w:r>
    </w:p>
    <w:p w:rsidR="006F231B" w:rsidRDefault="006F231B" w:rsidP="006F231B">
      <w:pPr>
        <w:autoSpaceDE w:val="0"/>
        <w:autoSpaceDN w:val="0"/>
        <w:adjustRightInd w:val="0"/>
        <w:rPr>
          <w:rFonts w:ascii="AdvTT5235d5a9" w:hAnsi="AdvTT5235d5a9" w:cs="AdvTT5235d5a9"/>
          <w:color w:val="000000"/>
          <w:sz w:val="27"/>
          <w:szCs w:val="27"/>
          <w:lang w:val="en-US"/>
        </w:rPr>
      </w:pPr>
    </w:p>
    <w:p w:rsidR="006F231B" w:rsidRPr="006F231B" w:rsidRDefault="006F231B" w:rsidP="006F231B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6F231B">
        <w:rPr>
          <w:rFonts w:ascii="Arial" w:hAnsi="Arial" w:cs="Arial"/>
          <w:b/>
          <w:lang w:val="en-US"/>
        </w:rPr>
        <w:t>MORE POTENCY ASSAY RESULTS FOR GENERIC NON-USA LOTS</w:t>
      </w:r>
      <w:r>
        <w:rPr>
          <w:rFonts w:ascii="Arial" w:hAnsi="Arial" w:cs="Arial"/>
          <w:b/>
          <w:lang w:val="en-US"/>
        </w:rPr>
        <w:t xml:space="preserve"> OF PIPERACILLIN/TAZOBACTAM AND </w:t>
      </w:r>
      <w:r w:rsidRPr="006F231B">
        <w:rPr>
          <w:rFonts w:ascii="Arial" w:hAnsi="Arial" w:cs="Arial"/>
          <w:b/>
          <w:lang w:val="en-US"/>
        </w:rPr>
        <w:t>INITIAL REPORTS FOR GENERIC MEROPENEM COMPOUNDS MARKETED IN THE USA</w:t>
      </w:r>
    </w:p>
    <w:p w:rsidR="006F231B" w:rsidRDefault="006F231B" w:rsidP="006F231B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r w:rsidRPr="006F231B">
        <w:rPr>
          <w:rFonts w:ascii="Arial" w:hAnsi="Arial" w:cs="Arial"/>
          <w:bCs/>
          <w:lang w:val="en-US"/>
        </w:rPr>
        <w:t>Ronald N. Jones</w:t>
      </w:r>
    </w:p>
    <w:p w:rsidR="006F231B" w:rsidRDefault="006F231B" w:rsidP="006F231B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</w:p>
    <w:p w:rsidR="006F231B" w:rsidRPr="006F231B" w:rsidRDefault="006F231B" w:rsidP="00A66A37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6F231B">
        <w:rPr>
          <w:rFonts w:ascii="Arial" w:hAnsi="Arial" w:cs="Arial"/>
          <w:bCs/>
          <w:lang w:val="en-US"/>
        </w:rPr>
        <w:t>An ongoing program of international generic a</w:t>
      </w:r>
      <w:r>
        <w:rPr>
          <w:rFonts w:ascii="Arial" w:hAnsi="Arial" w:cs="Arial"/>
          <w:bCs/>
          <w:lang w:val="en-US"/>
        </w:rPr>
        <w:t xml:space="preserve">ntimicrobial potency assays for </w:t>
      </w:r>
      <w:proofErr w:type="spellStart"/>
      <w:r w:rsidRPr="006F231B">
        <w:rPr>
          <w:rFonts w:ascii="Arial" w:hAnsi="Arial" w:cs="Arial"/>
          <w:bCs/>
          <w:lang w:val="en-US"/>
        </w:rPr>
        <w:t>piperacillin</w:t>
      </w:r>
      <w:proofErr w:type="spellEnd"/>
      <w:r w:rsidRPr="006F231B">
        <w:rPr>
          <w:rFonts w:ascii="Arial" w:hAnsi="Arial" w:cs="Arial"/>
          <w:bCs/>
          <w:lang w:val="en-US"/>
        </w:rPr>
        <w:t>/</w:t>
      </w:r>
      <w:proofErr w:type="spellStart"/>
      <w:r w:rsidRPr="006F231B">
        <w:rPr>
          <w:rFonts w:ascii="Arial" w:hAnsi="Arial" w:cs="Arial"/>
          <w:bCs/>
          <w:lang w:val="en-US"/>
        </w:rPr>
        <w:t>tazobactam</w:t>
      </w:r>
      <w:proofErr w:type="spellEnd"/>
      <w:r w:rsidRPr="006F231B">
        <w:rPr>
          <w:rFonts w:ascii="Arial" w:hAnsi="Arial" w:cs="Arial"/>
          <w:bCs/>
          <w:lang w:val="en-US"/>
        </w:rPr>
        <w:t xml:space="preserve"> has</w:t>
      </w:r>
      <w:r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 xml:space="preserve">been summarized here through December 2010, and the initial results for </w:t>
      </w:r>
      <w:proofErr w:type="spellStart"/>
      <w:r w:rsidRPr="006F231B">
        <w:rPr>
          <w:rFonts w:ascii="Arial" w:hAnsi="Arial" w:cs="Arial"/>
          <w:bCs/>
          <w:lang w:val="en-US"/>
        </w:rPr>
        <w:t>meropenem</w:t>
      </w:r>
      <w:proofErr w:type="spellEnd"/>
      <w:r w:rsidRPr="006F231B">
        <w:rPr>
          <w:rFonts w:ascii="Arial" w:hAnsi="Arial" w:cs="Arial"/>
          <w:bCs/>
          <w:lang w:val="en-US"/>
        </w:rPr>
        <w:t xml:space="preserve"> generic lots from the</w:t>
      </w:r>
      <w:r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 xml:space="preserve">United States are also presented. Fifteen additional </w:t>
      </w:r>
      <w:proofErr w:type="spellStart"/>
      <w:r w:rsidRPr="006F231B">
        <w:rPr>
          <w:rFonts w:ascii="Arial" w:hAnsi="Arial" w:cs="Arial"/>
          <w:bCs/>
          <w:lang w:val="en-US"/>
        </w:rPr>
        <w:t>piperacillin</w:t>
      </w:r>
      <w:proofErr w:type="spellEnd"/>
      <w:r w:rsidRPr="006F231B">
        <w:rPr>
          <w:rFonts w:ascii="Arial" w:hAnsi="Arial" w:cs="Arial"/>
          <w:bCs/>
          <w:lang w:val="en-US"/>
        </w:rPr>
        <w:t>/</w:t>
      </w:r>
      <w:proofErr w:type="spellStart"/>
      <w:r w:rsidRPr="006F231B">
        <w:rPr>
          <w:rFonts w:ascii="Arial" w:hAnsi="Arial" w:cs="Arial"/>
          <w:bCs/>
          <w:lang w:val="en-US"/>
        </w:rPr>
        <w:t>tazobactam</w:t>
      </w:r>
      <w:proofErr w:type="spellEnd"/>
      <w:r w:rsidRPr="006F231B">
        <w:rPr>
          <w:rFonts w:ascii="Arial" w:hAnsi="Arial" w:cs="Arial"/>
          <w:bCs/>
          <w:lang w:val="en-US"/>
        </w:rPr>
        <w:t xml:space="preserve"> generic lots revealed an average of</w:t>
      </w:r>
      <w:r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>−10% activity (range, +3 to −23%) compared to the branded product (</w:t>
      </w:r>
      <w:proofErr w:type="spellStart"/>
      <w:r w:rsidRPr="006F231B">
        <w:rPr>
          <w:rFonts w:ascii="Arial" w:hAnsi="Arial" w:cs="Arial"/>
          <w:bCs/>
          <w:lang w:val="en-US"/>
        </w:rPr>
        <w:t>Zosyn</w:t>
      </w:r>
      <w:proofErr w:type="spellEnd"/>
      <w:r w:rsidRPr="006F231B">
        <w:rPr>
          <w:rFonts w:ascii="Arial" w:hAnsi="Arial" w:cs="Arial"/>
          <w:bCs/>
          <w:lang w:val="en-US"/>
        </w:rPr>
        <w:t>®; Wyeth-</w:t>
      </w:r>
      <w:r>
        <w:rPr>
          <w:rFonts w:ascii="Arial" w:hAnsi="Arial" w:cs="Arial"/>
          <w:bCs/>
          <w:lang w:val="en-US"/>
        </w:rPr>
        <w:t>p</w:t>
      </w:r>
      <w:r w:rsidRPr="006F231B">
        <w:rPr>
          <w:rFonts w:ascii="Arial" w:hAnsi="Arial" w:cs="Arial"/>
          <w:bCs/>
          <w:lang w:val="en-US"/>
        </w:rPr>
        <w:t>fizer), a finding</w:t>
      </w:r>
      <w:r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>consistent with prior reports (46 lots) of −</w:t>
      </w:r>
      <w:r w:rsidR="00A66A37">
        <w:rPr>
          <w:rFonts w:ascii="Arial" w:hAnsi="Arial" w:cs="Arial"/>
          <w:bCs/>
          <w:lang w:val="en-US"/>
        </w:rPr>
        <w:t xml:space="preserve">16%. In contrast, </w:t>
      </w:r>
      <w:proofErr w:type="spellStart"/>
      <w:r w:rsidR="00A66A37">
        <w:rPr>
          <w:rFonts w:ascii="Arial" w:hAnsi="Arial" w:cs="Arial"/>
          <w:bCs/>
          <w:lang w:val="en-US"/>
        </w:rPr>
        <w:t>M</w:t>
      </w:r>
      <w:r w:rsidRPr="006F231B">
        <w:rPr>
          <w:rFonts w:ascii="Arial" w:hAnsi="Arial" w:cs="Arial"/>
          <w:bCs/>
          <w:lang w:val="en-US"/>
        </w:rPr>
        <w:t>eropenem</w:t>
      </w:r>
      <w:proofErr w:type="spellEnd"/>
      <w:r w:rsidRPr="006F231B">
        <w:rPr>
          <w:rFonts w:ascii="Arial" w:hAnsi="Arial" w:cs="Arial"/>
          <w:bCs/>
          <w:lang w:val="en-US"/>
        </w:rPr>
        <w:t xml:space="preserve"> branded </w:t>
      </w:r>
      <w:proofErr w:type="gramStart"/>
      <w:r w:rsidRPr="006F231B">
        <w:rPr>
          <w:rFonts w:ascii="Arial" w:hAnsi="Arial" w:cs="Arial"/>
          <w:bCs/>
          <w:lang w:val="en-US"/>
        </w:rPr>
        <w:t xml:space="preserve">and </w:t>
      </w:r>
      <w:r>
        <w:rPr>
          <w:rFonts w:ascii="Arial" w:hAnsi="Arial" w:cs="Arial"/>
          <w:bCs/>
          <w:lang w:val="en-US"/>
        </w:rPr>
        <w:t xml:space="preserve"> G</w:t>
      </w:r>
      <w:r w:rsidRPr="006F231B">
        <w:rPr>
          <w:rFonts w:ascii="Arial" w:hAnsi="Arial" w:cs="Arial"/>
          <w:bCs/>
          <w:lang w:val="en-US"/>
        </w:rPr>
        <w:t>eneric</w:t>
      </w:r>
      <w:proofErr w:type="gramEnd"/>
      <w:r w:rsidRPr="006F231B">
        <w:rPr>
          <w:rFonts w:ascii="Arial" w:hAnsi="Arial" w:cs="Arial"/>
          <w:bCs/>
          <w:lang w:val="en-US"/>
        </w:rPr>
        <w:t xml:space="preserve"> products had</w:t>
      </w:r>
      <w:r w:rsidR="00A66A37"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>equivalent assay results (5 generic lots from 2 manufacturers [</w:t>
      </w:r>
      <w:proofErr w:type="spellStart"/>
      <w:r w:rsidRPr="006F231B">
        <w:rPr>
          <w:rFonts w:ascii="Arial" w:hAnsi="Arial" w:cs="Arial"/>
          <w:bCs/>
          <w:lang w:val="en-US"/>
        </w:rPr>
        <w:t>Hospira</w:t>
      </w:r>
      <w:proofErr w:type="spellEnd"/>
      <w:r w:rsidRPr="006F231B">
        <w:rPr>
          <w:rFonts w:ascii="Arial" w:hAnsi="Arial" w:cs="Arial"/>
          <w:bCs/>
          <w:lang w:val="en-US"/>
        </w:rPr>
        <w:t xml:space="preserve"> and Sandoz]). In conclusion, potencies</w:t>
      </w:r>
      <w:r w:rsidR="00A66A37"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 xml:space="preserve">for generic lots of </w:t>
      </w:r>
      <w:proofErr w:type="spellStart"/>
      <w:r w:rsidRPr="006F231B">
        <w:rPr>
          <w:rFonts w:ascii="Arial" w:hAnsi="Arial" w:cs="Arial"/>
          <w:bCs/>
          <w:lang w:val="en-US"/>
        </w:rPr>
        <w:t>parenteral</w:t>
      </w:r>
      <w:proofErr w:type="spellEnd"/>
      <w:r w:rsidRPr="006F231B">
        <w:rPr>
          <w:rFonts w:ascii="Arial" w:hAnsi="Arial" w:cs="Arial"/>
          <w:bCs/>
          <w:lang w:val="en-US"/>
        </w:rPr>
        <w:t xml:space="preserve"> broad-spectrum β-</w:t>
      </w:r>
      <w:proofErr w:type="spellStart"/>
      <w:r w:rsidRPr="006F231B">
        <w:rPr>
          <w:rFonts w:ascii="Arial" w:hAnsi="Arial" w:cs="Arial"/>
          <w:bCs/>
          <w:lang w:val="en-US"/>
        </w:rPr>
        <w:t>lactams</w:t>
      </w:r>
      <w:proofErr w:type="spellEnd"/>
      <w:r w:rsidRPr="006F231B">
        <w:rPr>
          <w:rFonts w:ascii="Arial" w:hAnsi="Arial" w:cs="Arial"/>
          <w:bCs/>
          <w:lang w:val="en-US"/>
        </w:rPr>
        <w:t xml:space="preserve"> can vary widely when directly compared to branded</w:t>
      </w:r>
      <w:r w:rsidR="00A66A37"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>products, requiring documentation by chemical, in vitro activity (potency assays as measured here), and</w:t>
      </w:r>
      <w:r w:rsidR="00A66A37">
        <w:rPr>
          <w:rFonts w:ascii="Arial" w:hAnsi="Arial" w:cs="Arial"/>
          <w:bCs/>
          <w:lang w:val="en-US"/>
        </w:rPr>
        <w:t xml:space="preserve"> </w:t>
      </w:r>
      <w:r w:rsidRPr="006F231B">
        <w:rPr>
          <w:rFonts w:ascii="Arial" w:hAnsi="Arial" w:cs="Arial"/>
          <w:bCs/>
          <w:lang w:val="en-US"/>
        </w:rPr>
        <w:t>purity testing before considering their addition to a hospital formulary.</w:t>
      </w:r>
    </w:p>
    <w:p w:rsidR="006F231B" w:rsidRDefault="006F231B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A66A37" w:rsidRDefault="00A66A37" w:rsidP="00A66A37">
      <w:pPr>
        <w:autoSpaceDE w:val="0"/>
        <w:autoSpaceDN w:val="0"/>
        <w:adjustRightInd w:val="0"/>
        <w:rPr>
          <w:rFonts w:ascii="Arial" w:hAnsi="Arial" w:cs="Arial"/>
          <w:b/>
          <w:color w:val="231F20"/>
          <w:lang w:val="en-US"/>
        </w:rPr>
      </w:pPr>
    </w:p>
    <w:p w:rsidR="00A66A37" w:rsidRPr="00A66A37" w:rsidRDefault="00A66A37" w:rsidP="00A66A37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231F20"/>
          <w:lang w:val="en-US"/>
        </w:rPr>
      </w:pPr>
      <w:r w:rsidRPr="00A66A37">
        <w:rPr>
          <w:rFonts w:ascii="Arial" w:hAnsi="Arial" w:cs="Arial"/>
          <w:b/>
          <w:color w:val="231F20"/>
          <w:lang w:val="en-US"/>
        </w:rPr>
        <w:lastRenderedPageBreak/>
        <w:t>EXPANDED STUDIES OF PIPERACILLIN/TAZO</w:t>
      </w:r>
      <w:r>
        <w:rPr>
          <w:rFonts w:ascii="Arial" w:hAnsi="Arial" w:cs="Arial"/>
          <w:b/>
          <w:color w:val="231F20"/>
          <w:lang w:val="en-US"/>
        </w:rPr>
        <w:t xml:space="preserve">BACTAM FORMULATIONS: VARIATIONS </w:t>
      </w:r>
      <w:r w:rsidRPr="00A66A37">
        <w:rPr>
          <w:rFonts w:ascii="Arial" w:hAnsi="Arial" w:cs="Arial"/>
          <w:b/>
          <w:color w:val="231F20"/>
          <w:lang w:val="en-US"/>
        </w:rPr>
        <w:t>AMONG BRANDED PRODUCT LOTS AND ASSESSMENT OF 46 GENERIC LOTS</w:t>
      </w:r>
    </w:p>
    <w:p w:rsidR="00A66A37" w:rsidRPr="00A019DE" w:rsidRDefault="00A66A37" w:rsidP="00A66A3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color w:val="231F20"/>
          <w:lang w:val="en-US"/>
        </w:rPr>
      </w:pPr>
      <w:r w:rsidRPr="00A019DE">
        <w:rPr>
          <w:rFonts w:ascii="Arial" w:hAnsi="Arial" w:cs="Arial"/>
          <w:color w:val="231F20"/>
          <w:lang w:val="en-US"/>
        </w:rPr>
        <w:t>Gary J. Moet</w:t>
      </w:r>
    </w:p>
    <w:p w:rsidR="00A66A37" w:rsidRPr="00A66A37" w:rsidRDefault="00A66A37" w:rsidP="00A66A3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color w:val="231F20"/>
          <w:lang w:val="en-US"/>
        </w:rPr>
      </w:pPr>
      <w:r w:rsidRPr="00A66A37">
        <w:rPr>
          <w:rFonts w:ascii="Arial" w:hAnsi="Arial" w:cs="Arial"/>
          <w:color w:val="231F20"/>
          <w:lang w:val="en-US"/>
        </w:rPr>
        <w:t>Diagnostic Microbiology and Infectious Disease 65 (2009) 319–322</w:t>
      </w:r>
    </w:p>
    <w:p w:rsidR="00A66A37" w:rsidRPr="00A66A37" w:rsidRDefault="00A66A37" w:rsidP="00A66A37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color w:val="231F20"/>
          <w:lang w:val="en-US"/>
        </w:rPr>
      </w:pPr>
    </w:p>
    <w:p w:rsidR="00A66A37" w:rsidRPr="00A66A37" w:rsidRDefault="00A66A37" w:rsidP="00A66A37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lang w:val="en-US"/>
        </w:rPr>
      </w:pPr>
      <w:r w:rsidRPr="00A66A37">
        <w:rPr>
          <w:rFonts w:ascii="Arial" w:hAnsi="Arial" w:cs="Arial"/>
          <w:color w:val="231F20"/>
          <w:lang w:val="en-US"/>
        </w:rPr>
        <w:t xml:space="preserve">The experience with analyzing the potency of </w:t>
      </w:r>
      <w:proofErr w:type="spellStart"/>
      <w:r>
        <w:rPr>
          <w:rFonts w:ascii="Arial" w:hAnsi="Arial" w:cs="Arial"/>
          <w:color w:val="231F20"/>
          <w:lang w:val="en-US"/>
        </w:rPr>
        <w:t>piperacillin</w:t>
      </w:r>
      <w:proofErr w:type="spellEnd"/>
      <w:r>
        <w:rPr>
          <w:rFonts w:ascii="Arial" w:hAnsi="Arial" w:cs="Arial"/>
          <w:color w:val="231F20"/>
          <w:lang w:val="en-US"/>
        </w:rPr>
        <w:t>/</w:t>
      </w:r>
      <w:proofErr w:type="spellStart"/>
      <w:r>
        <w:rPr>
          <w:rFonts w:ascii="Arial" w:hAnsi="Arial" w:cs="Arial"/>
          <w:color w:val="231F20"/>
          <w:lang w:val="en-US"/>
        </w:rPr>
        <w:t>tazobactam</w:t>
      </w:r>
      <w:proofErr w:type="spellEnd"/>
      <w:r>
        <w:rPr>
          <w:rFonts w:ascii="Arial" w:hAnsi="Arial" w:cs="Arial"/>
          <w:color w:val="231F20"/>
          <w:lang w:val="en-US"/>
        </w:rPr>
        <w:t xml:space="preserve"> generic </w:t>
      </w:r>
      <w:r w:rsidRPr="00A66A37">
        <w:rPr>
          <w:rFonts w:ascii="Arial" w:hAnsi="Arial" w:cs="Arial"/>
          <w:color w:val="231F20"/>
          <w:lang w:val="en-US"/>
        </w:rPr>
        <w:t>formulations by a preci</w:t>
      </w:r>
      <w:r>
        <w:rPr>
          <w:rFonts w:ascii="Arial" w:hAnsi="Arial" w:cs="Arial"/>
          <w:color w:val="231F20"/>
          <w:lang w:val="en-US"/>
        </w:rPr>
        <w:t xml:space="preserve">se </w:t>
      </w:r>
      <w:proofErr w:type="spellStart"/>
      <w:r>
        <w:rPr>
          <w:rFonts w:ascii="Arial" w:hAnsi="Arial" w:cs="Arial"/>
          <w:color w:val="231F20"/>
          <w:lang w:val="en-US"/>
        </w:rPr>
        <w:t>multiorganism</w:t>
      </w:r>
      <w:proofErr w:type="spellEnd"/>
      <w:r>
        <w:rPr>
          <w:rFonts w:ascii="Arial" w:hAnsi="Arial" w:cs="Arial"/>
          <w:color w:val="231F20"/>
          <w:lang w:val="en-US"/>
        </w:rPr>
        <w:t xml:space="preserve"> in vitro assay </w:t>
      </w:r>
      <w:r w:rsidRPr="00A66A37">
        <w:rPr>
          <w:rFonts w:ascii="Arial" w:hAnsi="Arial" w:cs="Arial"/>
          <w:color w:val="231F20"/>
          <w:lang w:val="en-US"/>
        </w:rPr>
        <w:t>was expanded to 46 lots (29 manufacturers, 17 countries). Across all generic lots, the range of activity compared with a reference branded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 xml:space="preserve">lot (RLOT; </w:t>
      </w:r>
      <w:proofErr w:type="spellStart"/>
      <w:r w:rsidRPr="00A66A37">
        <w:rPr>
          <w:rFonts w:ascii="Arial" w:hAnsi="Arial" w:cs="Arial"/>
          <w:color w:val="231F20"/>
          <w:lang w:val="en-US"/>
        </w:rPr>
        <w:t>Zosyn</w:t>
      </w:r>
      <w:proofErr w:type="spellEnd"/>
      <w:r w:rsidRPr="00A66A37">
        <w:rPr>
          <w:rFonts w:ascii="Arial" w:hAnsi="Arial" w:cs="Arial"/>
          <w:color w:val="231F20"/>
          <w:lang w:val="en-US"/>
        </w:rPr>
        <w:t xml:space="preserve">®; Wyeth Pharmaceuticals, Philadelphia, PA) was +10% to −42% (average, −16%). Eight lots of </w:t>
      </w:r>
      <w:proofErr w:type="spellStart"/>
      <w:r w:rsidRPr="00A66A37">
        <w:rPr>
          <w:rFonts w:ascii="Arial" w:hAnsi="Arial" w:cs="Arial"/>
          <w:color w:val="231F20"/>
          <w:lang w:val="en-US"/>
        </w:rPr>
        <w:t>Zosyn</w:t>
      </w:r>
      <w:proofErr w:type="spellEnd"/>
      <w:r w:rsidRPr="00A66A37">
        <w:rPr>
          <w:rFonts w:ascii="Arial" w:hAnsi="Arial" w:cs="Arial"/>
          <w:color w:val="231F20"/>
          <w:lang w:val="en-US"/>
        </w:rPr>
        <w:t>® were also tested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>with a range of +7 to −19 (average, only −6%), and the reproducibility (13 replicates) of the RLOT assay was confirmed (±3%). This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>ongoing quality assurance project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 xml:space="preserve">demonstrated wide activity variations in </w:t>
      </w:r>
      <w:proofErr w:type="spellStart"/>
      <w:r w:rsidRPr="00A66A37">
        <w:rPr>
          <w:rFonts w:ascii="Arial" w:hAnsi="Arial" w:cs="Arial"/>
          <w:color w:val="231F20"/>
          <w:lang w:val="en-US"/>
        </w:rPr>
        <w:t>piperacillin</w:t>
      </w:r>
      <w:proofErr w:type="spellEnd"/>
      <w:r w:rsidRPr="00A66A37">
        <w:rPr>
          <w:rFonts w:ascii="Arial" w:hAnsi="Arial" w:cs="Arial"/>
          <w:color w:val="231F20"/>
          <w:lang w:val="en-US"/>
        </w:rPr>
        <w:t>/</w:t>
      </w:r>
      <w:proofErr w:type="spellStart"/>
      <w:r w:rsidRPr="00A66A37">
        <w:rPr>
          <w:rFonts w:ascii="Arial" w:hAnsi="Arial" w:cs="Arial"/>
          <w:color w:val="231F20"/>
          <w:lang w:val="en-US"/>
        </w:rPr>
        <w:t>tazobactam</w:t>
      </w:r>
      <w:proofErr w:type="spellEnd"/>
      <w:r w:rsidRPr="00A66A37">
        <w:rPr>
          <w:rFonts w:ascii="Arial" w:hAnsi="Arial" w:cs="Arial"/>
          <w:color w:val="231F20"/>
          <w:lang w:val="en-US"/>
        </w:rPr>
        <w:t xml:space="preserve"> generic lots with a consistent trend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 xml:space="preserve">toward </w:t>
      </w:r>
      <w:proofErr w:type="spellStart"/>
      <w:r w:rsidRPr="00A66A37">
        <w:rPr>
          <w:rFonts w:ascii="Arial" w:hAnsi="Arial" w:cs="Arial"/>
          <w:color w:val="231F20"/>
          <w:lang w:val="en-US"/>
        </w:rPr>
        <w:t>subpotent</w:t>
      </w:r>
      <w:proofErr w:type="spellEnd"/>
      <w:r w:rsidRPr="00A66A37">
        <w:rPr>
          <w:rFonts w:ascii="Arial" w:hAnsi="Arial" w:cs="Arial"/>
          <w:color w:val="231F20"/>
          <w:lang w:val="en-US"/>
        </w:rPr>
        <w:t xml:space="preserve"> performance (−16%) compared with the branded product. Generic substitutions within hospital formularies should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A66A37">
        <w:rPr>
          <w:rFonts w:ascii="Arial" w:hAnsi="Arial" w:cs="Arial"/>
          <w:color w:val="231F20"/>
          <w:lang w:val="en-US"/>
        </w:rPr>
        <w:t>consider parameters of in vitro activity, in addition to applied chemical analyses and measures of bioavailabi</w:t>
      </w:r>
      <w:r>
        <w:rPr>
          <w:rFonts w:ascii="Arial" w:hAnsi="Arial" w:cs="Arial"/>
          <w:color w:val="231F20"/>
          <w:lang w:val="en-US"/>
        </w:rPr>
        <w:t xml:space="preserve">lity to avoid potential adverse </w:t>
      </w:r>
      <w:r w:rsidRPr="00A66A37">
        <w:rPr>
          <w:rFonts w:ascii="Arial" w:hAnsi="Arial" w:cs="Arial"/>
          <w:color w:val="231F20"/>
          <w:lang w:val="en-US"/>
        </w:rPr>
        <w:t>clinical consequences.</w:t>
      </w: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6F231B" w:rsidRPr="00A019DE" w:rsidRDefault="006F231B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 w:rsidRPr="00A019DE">
        <w:rPr>
          <w:rFonts w:ascii="Arial" w:hAnsi="Arial" w:cs="Arial"/>
          <w:b/>
          <w:sz w:val="28"/>
          <w:lang w:val="en-US"/>
        </w:rPr>
        <w:t>TYGACIL</w:t>
      </w:r>
      <w:r w:rsidRPr="00A019DE">
        <w:rPr>
          <w:rFonts w:ascii="Calibri" w:hAnsi="Calibri" w:cs="Arial"/>
          <w:b/>
          <w:sz w:val="28"/>
          <w:lang w:val="en-US"/>
        </w:rPr>
        <w:t>®</w:t>
      </w:r>
      <w:r w:rsidRPr="00A019DE">
        <w:rPr>
          <w:rFonts w:ascii="Arial" w:hAnsi="Arial" w:cs="Arial"/>
          <w:b/>
          <w:sz w:val="28"/>
          <w:lang w:val="en-US"/>
        </w:rPr>
        <w:t xml:space="preserve"> (TIGECICLINA)</w:t>
      </w:r>
    </w:p>
    <w:p w:rsidR="00200B04" w:rsidRPr="00A019DE" w:rsidRDefault="00200B04" w:rsidP="00200B04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200B04" w:rsidRPr="00200B04" w:rsidRDefault="006F231B" w:rsidP="00200B04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200B04">
        <w:rPr>
          <w:rFonts w:ascii="Arial" w:hAnsi="Arial" w:cs="Arial"/>
          <w:b/>
          <w:lang w:val="en-US"/>
        </w:rPr>
        <w:t>THE EFFICACY AND SAFETY OF TIGECYCLINE FOR THE TREATMENT OF COMPLICATED INTRA-ABDOMINAL INFECTIONS: ANALYSIS OF POOLED CLINICAL TRIAL DATA</w:t>
      </w:r>
    </w:p>
    <w:p w:rsidR="00200B04" w:rsidRPr="00200B04" w:rsidRDefault="00200B04" w:rsidP="00200B04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r w:rsidRPr="00200B04">
        <w:rPr>
          <w:rFonts w:ascii="Arial" w:hAnsi="Arial" w:cs="Arial"/>
          <w:bCs/>
          <w:lang w:val="en-US"/>
        </w:rPr>
        <w:t xml:space="preserve">Timothy </w:t>
      </w:r>
      <w:proofErr w:type="spellStart"/>
      <w:r w:rsidRPr="00200B04">
        <w:rPr>
          <w:rFonts w:ascii="Arial" w:hAnsi="Arial" w:cs="Arial"/>
          <w:bCs/>
          <w:lang w:val="en-US"/>
        </w:rPr>
        <w:t>Babinchak</w:t>
      </w:r>
      <w:proofErr w:type="spellEnd"/>
      <w:r>
        <w:rPr>
          <w:rFonts w:ascii="Arial" w:hAnsi="Arial" w:cs="Arial"/>
          <w:bCs/>
          <w:lang w:val="en-US"/>
        </w:rPr>
        <w:t xml:space="preserve"> et al.</w:t>
      </w:r>
    </w:p>
    <w:p w:rsidR="00200B04" w:rsidRPr="00200B04" w:rsidRDefault="00200B04" w:rsidP="00200B04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r w:rsidRPr="003C01E5">
        <w:rPr>
          <w:rFonts w:ascii="Arial" w:hAnsi="Arial" w:cs="Arial"/>
          <w:bCs/>
          <w:lang w:val="en-US"/>
        </w:rPr>
        <w:t>Clinical Infectious Diseases 2005; 41:S354–67</w:t>
      </w:r>
    </w:p>
    <w:p w:rsidR="00200B04" w:rsidRDefault="00200B04" w:rsidP="00200B04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</w:p>
    <w:p w:rsidR="00200B04" w:rsidRPr="00200B04" w:rsidRDefault="00200B04" w:rsidP="00200B04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200B04">
        <w:rPr>
          <w:rFonts w:ascii="Arial" w:hAnsi="Arial" w:cs="Arial"/>
          <w:bCs/>
          <w:lang w:val="en-US"/>
        </w:rPr>
        <w:t>This pooled analysis includes 2 phase 3, double-blind trials designed to evaluate the safety and efficacy of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, versus that of </w:t>
      </w:r>
      <w:proofErr w:type="spellStart"/>
      <w:r w:rsidRPr="00200B04">
        <w:rPr>
          <w:rFonts w:ascii="Arial" w:hAnsi="Arial" w:cs="Arial"/>
          <w:bCs/>
          <w:lang w:val="en-US"/>
        </w:rPr>
        <w:t>imipenem-cilastatin</w:t>
      </w:r>
      <w:proofErr w:type="spellEnd"/>
      <w:r w:rsidRPr="00200B04">
        <w:rPr>
          <w:rFonts w:ascii="Arial" w:hAnsi="Arial" w:cs="Arial"/>
          <w:bCs/>
          <w:lang w:val="en-US"/>
        </w:rPr>
        <w:t>, in 1642 adults with complicated intra-abdominal infections.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Patients were randomized to receive either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 (initial dose of 100 mg, followed by 50 mg intravenously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every 12 h) or </w:t>
      </w:r>
      <w:proofErr w:type="spellStart"/>
      <w:r w:rsidRPr="00200B04">
        <w:rPr>
          <w:rFonts w:ascii="Arial" w:hAnsi="Arial" w:cs="Arial"/>
          <w:bCs/>
          <w:lang w:val="en-US"/>
        </w:rPr>
        <w:t>imipenem-cilastatin</w:t>
      </w:r>
      <w:proofErr w:type="spellEnd"/>
      <w:r w:rsidRPr="00200B04">
        <w:rPr>
          <w:rFonts w:ascii="Arial" w:hAnsi="Arial" w:cs="Arial"/>
          <w:bCs/>
          <w:lang w:val="en-US"/>
        </w:rPr>
        <w:t xml:space="preserve"> (500/500 mg intravenously every 6 h) for 5–14 days. The </w:t>
      </w:r>
      <w:r>
        <w:rPr>
          <w:rFonts w:ascii="Arial" w:hAnsi="Arial" w:cs="Arial"/>
          <w:bCs/>
          <w:lang w:val="en-US"/>
        </w:rPr>
        <w:t>p</w:t>
      </w:r>
      <w:r w:rsidRPr="00200B04">
        <w:rPr>
          <w:rFonts w:ascii="Arial" w:hAnsi="Arial" w:cs="Arial"/>
          <w:bCs/>
          <w:lang w:val="en-US"/>
        </w:rPr>
        <w:t>rimary end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>point was the clinical response at the test-of-cure visit (12–42 days after therapy) in the co-primary end point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>microbiologically evaluable and microbiological modified intent-to-treat populations. For the microbiologically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evaluable group, clinical cure rates were 86.1% (441/512) for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, versus 86.2% (442/513) for </w:t>
      </w:r>
      <w:proofErr w:type="spellStart"/>
      <w:r w:rsidRPr="00200B04">
        <w:rPr>
          <w:rFonts w:ascii="Arial" w:hAnsi="Arial" w:cs="Arial"/>
          <w:bCs/>
          <w:lang w:val="en-US"/>
        </w:rPr>
        <w:t>imipenem</w:t>
      </w:r>
      <w:r>
        <w:rPr>
          <w:rFonts w:ascii="Arial" w:hAnsi="Arial" w:cs="Arial"/>
          <w:bCs/>
          <w:lang w:val="en-US"/>
        </w:rPr>
        <w:t>-</w:t>
      </w:r>
      <w:r w:rsidRPr="00200B04">
        <w:rPr>
          <w:rFonts w:ascii="Arial" w:hAnsi="Arial" w:cs="Arial"/>
          <w:bCs/>
          <w:lang w:val="en-US"/>
        </w:rPr>
        <w:t>cilastatin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(95% confidence interval for the difference, </w:t>
      </w:r>
      <w:r w:rsidRPr="00200B04">
        <w:rPr>
          <w:rFonts w:ascii="Arial" w:hAnsi="Arial" w:cs="Arial"/>
          <w:lang w:val="en-US"/>
        </w:rPr>
        <w:t>_</w:t>
      </w:r>
      <w:r w:rsidRPr="00200B04">
        <w:rPr>
          <w:rFonts w:ascii="Arial" w:hAnsi="Arial" w:cs="Arial"/>
          <w:bCs/>
          <w:lang w:val="en-US"/>
        </w:rPr>
        <w:t xml:space="preserve">4.5% to 4.4%; </w:t>
      </w:r>
      <w:proofErr w:type="gramStart"/>
      <w:r w:rsidRPr="00200B04">
        <w:rPr>
          <w:rFonts w:ascii="Arial" w:hAnsi="Arial" w:cs="Arial"/>
          <w:bCs/>
          <w:i/>
          <w:iCs/>
          <w:lang w:val="en-US"/>
        </w:rPr>
        <w:t xml:space="preserve">P </w:t>
      </w:r>
      <w:r w:rsidRPr="00200B04">
        <w:rPr>
          <w:rFonts w:ascii="Arial" w:hAnsi="Arial" w:cs="Arial"/>
          <w:lang w:val="en-US"/>
        </w:rPr>
        <w:t>!</w:t>
      </w:r>
      <w:proofErr w:type="gramEnd"/>
      <w:r w:rsidRPr="00200B04">
        <w:rPr>
          <w:rFonts w:ascii="Arial" w:hAnsi="Arial" w:cs="Arial"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lastRenderedPageBreak/>
        <w:t xml:space="preserve">.0001 for </w:t>
      </w:r>
      <w:proofErr w:type="spellStart"/>
      <w:r w:rsidRPr="00200B04">
        <w:rPr>
          <w:rFonts w:ascii="Arial" w:hAnsi="Arial" w:cs="Arial"/>
          <w:bCs/>
          <w:lang w:val="en-US"/>
        </w:rPr>
        <w:t>noninferiority</w:t>
      </w:r>
      <w:proofErr w:type="spellEnd"/>
      <w:r w:rsidRPr="00200B04">
        <w:rPr>
          <w:rFonts w:ascii="Arial" w:hAnsi="Arial" w:cs="Arial"/>
          <w:bCs/>
          <w:lang w:val="en-US"/>
        </w:rPr>
        <w:t>). Clinical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cure rates in the microbiological modified intent-to-treat population were 80.2% (506/631) for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versus 81.5% (514/631) for </w:t>
      </w:r>
      <w:proofErr w:type="spellStart"/>
      <w:r w:rsidRPr="00200B04">
        <w:rPr>
          <w:rFonts w:ascii="Arial" w:hAnsi="Arial" w:cs="Arial"/>
          <w:bCs/>
          <w:lang w:val="en-US"/>
        </w:rPr>
        <w:t>imipenem-cilastatin</w:t>
      </w:r>
      <w:proofErr w:type="spellEnd"/>
      <w:r w:rsidRPr="00200B04">
        <w:rPr>
          <w:rFonts w:ascii="Arial" w:hAnsi="Arial" w:cs="Arial"/>
          <w:bCs/>
          <w:lang w:val="en-US"/>
        </w:rPr>
        <w:t xml:space="preserve"> (95% confidence interval for the difference, </w:t>
      </w:r>
      <w:r w:rsidRPr="00200B04">
        <w:rPr>
          <w:rFonts w:ascii="Arial" w:hAnsi="Arial" w:cs="Arial"/>
          <w:lang w:val="en-US"/>
        </w:rPr>
        <w:t>_</w:t>
      </w:r>
      <w:r w:rsidRPr="00200B04">
        <w:rPr>
          <w:rFonts w:ascii="Arial" w:hAnsi="Arial" w:cs="Arial"/>
          <w:bCs/>
          <w:lang w:val="en-US"/>
        </w:rPr>
        <w:t>5.8% to 3.2%;</w:t>
      </w:r>
      <w:r>
        <w:rPr>
          <w:rFonts w:ascii="Arial" w:hAnsi="Arial" w:cs="Arial"/>
          <w:bCs/>
          <w:lang w:val="en-US"/>
        </w:rPr>
        <w:t xml:space="preserve"> </w:t>
      </w:r>
      <w:proofErr w:type="gramStart"/>
      <w:r w:rsidRPr="00200B04">
        <w:rPr>
          <w:rFonts w:ascii="Arial" w:hAnsi="Arial" w:cs="Arial"/>
          <w:bCs/>
          <w:i/>
          <w:iCs/>
          <w:lang w:val="en-US"/>
        </w:rPr>
        <w:t xml:space="preserve">P </w:t>
      </w:r>
      <w:r w:rsidRPr="00200B04">
        <w:rPr>
          <w:rFonts w:ascii="Arial" w:hAnsi="Arial" w:cs="Arial"/>
          <w:lang w:val="en-US"/>
        </w:rPr>
        <w:t>!</w:t>
      </w:r>
      <w:proofErr w:type="gramEnd"/>
      <w:r w:rsidRPr="00200B04">
        <w:rPr>
          <w:rFonts w:ascii="Arial" w:hAnsi="Arial" w:cs="Arial"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.0001 for </w:t>
      </w:r>
      <w:proofErr w:type="spellStart"/>
      <w:r w:rsidRPr="00200B04">
        <w:rPr>
          <w:rFonts w:ascii="Arial" w:hAnsi="Arial" w:cs="Arial"/>
          <w:bCs/>
          <w:lang w:val="en-US"/>
        </w:rPr>
        <w:t>noninferiority</w:t>
      </w:r>
      <w:proofErr w:type="spellEnd"/>
      <w:r w:rsidRPr="00200B04">
        <w:rPr>
          <w:rFonts w:ascii="Arial" w:hAnsi="Arial" w:cs="Arial"/>
          <w:bCs/>
          <w:lang w:val="en-US"/>
        </w:rPr>
        <w:t xml:space="preserve">). Nausea (24.4%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, 19.0% </w:t>
      </w:r>
      <w:proofErr w:type="spellStart"/>
      <w:r w:rsidRPr="00200B04">
        <w:rPr>
          <w:rFonts w:ascii="Arial" w:hAnsi="Arial" w:cs="Arial"/>
          <w:bCs/>
          <w:lang w:val="en-US"/>
        </w:rPr>
        <w:t>imipenem-cilastatin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>[</w:t>
      </w:r>
      <w:r w:rsidRPr="00200B04">
        <w:rPr>
          <w:rFonts w:ascii="Arial" w:hAnsi="Arial" w:cs="Arial"/>
          <w:bCs/>
          <w:i/>
          <w:iCs/>
          <w:lang w:val="en-US"/>
        </w:rPr>
        <w:t>P</w:t>
      </w:r>
      <w:r w:rsidRPr="00200B04">
        <w:rPr>
          <w:rFonts w:ascii="Arial" w:hAnsi="Arial" w:cs="Arial"/>
          <w:lang w:val="en-US"/>
        </w:rPr>
        <w:t>p</w:t>
      </w:r>
      <w:r w:rsidRPr="00200B04">
        <w:rPr>
          <w:rFonts w:ascii="Arial" w:hAnsi="Arial" w:cs="Arial"/>
          <w:bCs/>
          <w:lang w:val="en-US"/>
        </w:rPr>
        <w:t>.01]), vomiting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(19.2%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, 14.3% </w:t>
      </w:r>
      <w:proofErr w:type="spellStart"/>
      <w:r w:rsidRPr="00200B04">
        <w:rPr>
          <w:rFonts w:ascii="Arial" w:hAnsi="Arial" w:cs="Arial"/>
          <w:bCs/>
          <w:lang w:val="en-US"/>
        </w:rPr>
        <w:t>imipenem-cilastatin</w:t>
      </w:r>
      <w:proofErr w:type="spellEnd"/>
      <w:r w:rsidRPr="00200B04">
        <w:rPr>
          <w:rFonts w:ascii="Arial" w:hAnsi="Arial" w:cs="Arial"/>
          <w:bCs/>
          <w:lang w:val="en-US"/>
        </w:rPr>
        <w:t xml:space="preserve"> [</w:t>
      </w:r>
      <w:r w:rsidRPr="00200B04">
        <w:rPr>
          <w:rFonts w:ascii="Arial" w:hAnsi="Arial" w:cs="Arial"/>
          <w:bCs/>
          <w:i/>
          <w:iCs/>
          <w:lang w:val="en-US"/>
        </w:rPr>
        <w:t>P</w:t>
      </w:r>
      <w:r w:rsidRPr="00200B04">
        <w:rPr>
          <w:rFonts w:ascii="Arial" w:hAnsi="Arial" w:cs="Arial"/>
          <w:lang w:val="en-US"/>
        </w:rPr>
        <w:t>p</w:t>
      </w:r>
      <w:r w:rsidRPr="00200B04">
        <w:rPr>
          <w:rFonts w:ascii="Arial" w:hAnsi="Arial" w:cs="Arial"/>
          <w:bCs/>
          <w:lang w:val="en-US"/>
        </w:rPr>
        <w:t xml:space="preserve">.008]), and diarrhea (13.8%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, 13.2% </w:t>
      </w:r>
      <w:proofErr w:type="spellStart"/>
      <w:r w:rsidRPr="00200B04">
        <w:rPr>
          <w:rFonts w:ascii="Arial" w:hAnsi="Arial" w:cs="Arial"/>
          <w:bCs/>
          <w:lang w:val="en-US"/>
        </w:rPr>
        <w:t>imipenemcilastatin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>[</w:t>
      </w:r>
      <w:r w:rsidRPr="00200B04">
        <w:rPr>
          <w:rFonts w:ascii="Arial" w:hAnsi="Arial" w:cs="Arial"/>
          <w:bCs/>
          <w:i/>
          <w:iCs/>
          <w:lang w:val="en-US"/>
        </w:rPr>
        <w:t>P</w:t>
      </w:r>
      <w:r w:rsidRPr="00200B04">
        <w:rPr>
          <w:rFonts w:ascii="Arial" w:hAnsi="Arial" w:cs="Arial"/>
          <w:lang w:val="en-US"/>
        </w:rPr>
        <w:t>p</w:t>
      </w:r>
      <w:r w:rsidRPr="00200B04">
        <w:rPr>
          <w:rFonts w:ascii="Arial" w:hAnsi="Arial" w:cs="Arial"/>
          <w:bCs/>
          <w:lang w:val="en-US"/>
        </w:rPr>
        <w:t>.719]) were the most frequently reported adverse events. This pooled analysis demonstrates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 xml:space="preserve">that </w:t>
      </w:r>
      <w:proofErr w:type="spellStart"/>
      <w:r w:rsidRPr="00200B04">
        <w:rPr>
          <w:rFonts w:ascii="Arial" w:hAnsi="Arial" w:cs="Arial"/>
          <w:bCs/>
          <w:lang w:val="en-US"/>
        </w:rPr>
        <w:t>tigecycline</w:t>
      </w:r>
      <w:proofErr w:type="spellEnd"/>
      <w:r w:rsidRPr="00200B04">
        <w:rPr>
          <w:rFonts w:ascii="Arial" w:hAnsi="Arial" w:cs="Arial"/>
          <w:bCs/>
          <w:lang w:val="en-US"/>
        </w:rPr>
        <w:t xml:space="preserve"> was efficacious and well tolerated in the treatment of patients with complicated intra-abdominal</w:t>
      </w:r>
      <w:r>
        <w:rPr>
          <w:rFonts w:ascii="Arial" w:hAnsi="Arial" w:cs="Arial"/>
          <w:bCs/>
          <w:lang w:val="en-US"/>
        </w:rPr>
        <w:t xml:space="preserve"> </w:t>
      </w:r>
      <w:r w:rsidRPr="00200B04">
        <w:rPr>
          <w:rFonts w:ascii="Arial" w:hAnsi="Arial" w:cs="Arial"/>
          <w:bCs/>
          <w:lang w:val="en-US"/>
        </w:rPr>
        <w:t>infections.</w:t>
      </w:r>
    </w:p>
    <w:p w:rsidR="0075311D" w:rsidRPr="00200B04" w:rsidRDefault="0075311D" w:rsidP="00616989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lang w:val="en-US"/>
        </w:rPr>
      </w:pPr>
    </w:p>
    <w:p w:rsidR="001C55FD" w:rsidRPr="00200B04" w:rsidRDefault="001C55FD" w:rsidP="00616989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lang w:val="en-US"/>
        </w:rPr>
      </w:pPr>
    </w:p>
    <w:p w:rsidR="003C01E5" w:rsidRPr="003C01E5" w:rsidRDefault="006F231B" w:rsidP="003C01E5">
      <w:pPr>
        <w:autoSpaceDE w:val="0"/>
        <w:autoSpaceDN w:val="0"/>
        <w:adjustRightInd w:val="0"/>
        <w:rPr>
          <w:rFonts w:ascii="Arial" w:hAnsi="Arial" w:cs="Arial"/>
          <w:b/>
          <w:lang w:val="en-US"/>
        </w:rPr>
      </w:pPr>
      <w:r w:rsidRPr="003C01E5">
        <w:rPr>
          <w:rFonts w:ascii="Arial" w:hAnsi="Arial" w:cs="Arial"/>
          <w:b/>
          <w:lang w:val="en-US"/>
        </w:rPr>
        <w:t>THE EFFICACY A</w:t>
      </w:r>
      <w:r>
        <w:rPr>
          <w:rFonts w:ascii="Arial" w:hAnsi="Arial" w:cs="Arial"/>
          <w:b/>
          <w:lang w:val="en-US"/>
        </w:rPr>
        <w:t xml:space="preserve">ND SAFETY OF TIGECYCLINE IN THE </w:t>
      </w:r>
      <w:r w:rsidRPr="003C01E5">
        <w:rPr>
          <w:rFonts w:ascii="Arial" w:hAnsi="Arial" w:cs="Arial"/>
          <w:b/>
          <w:lang w:val="en-US"/>
        </w:rPr>
        <w:t>TREATMENT OF SKIN AND SKIN-</w:t>
      </w:r>
      <w:r>
        <w:rPr>
          <w:rFonts w:ascii="Arial" w:hAnsi="Arial" w:cs="Arial"/>
          <w:b/>
          <w:lang w:val="en-US"/>
        </w:rPr>
        <w:t>S</w:t>
      </w:r>
      <w:r w:rsidRPr="003C01E5">
        <w:rPr>
          <w:rFonts w:ascii="Arial" w:hAnsi="Arial" w:cs="Arial"/>
          <w:b/>
          <w:lang w:val="en-US"/>
        </w:rPr>
        <w:t>TRUCTURE INFECTIONS:</w:t>
      </w:r>
      <w:r>
        <w:rPr>
          <w:rFonts w:ascii="Arial" w:hAnsi="Arial" w:cs="Arial"/>
          <w:b/>
          <w:lang w:val="en-US"/>
        </w:rPr>
        <w:t xml:space="preserve"> </w:t>
      </w:r>
      <w:r w:rsidRPr="003C01E5">
        <w:rPr>
          <w:rFonts w:ascii="Arial" w:hAnsi="Arial" w:cs="Arial"/>
          <w:b/>
          <w:lang w:val="en-US"/>
        </w:rPr>
        <w:t xml:space="preserve">RESULTS OF 2 DOUBLE-BLIND </w:t>
      </w:r>
      <w:proofErr w:type="gramStart"/>
      <w:r w:rsidRPr="003C01E5">
        <w:rPr>
          <w:rFonts w:ascii="Arial" w:hAnsi="Arial" w:cs="Arial"/>
          <w:b/>
          <w:lang w:val="en-US"/>
        </w:rPr>
        <w:t>PHASE</w:t>
      </w:r>
      <w:proofErr w:type="gramEnd"/>
      <w:r w:rsidRPr="003C01E5">
        <w:rPr>
          <w:rFonts w:ascii="Arial" w:hAnsi="Arial" w:cs="Arial"/>
          <w:b/>
          <w:lang w:val="en-US"/>
        </w:rPr>
        <w:t xml:space="preserve"> 3 COMPARISONSTUDIES WITH VANCOMYCIN-AZTREONAM</w:t>
      </w:r>
    </w:p>
    <w:p w:rsidR="003C01E5" w:rsidRPr="003C01E5" w:rsidRDefault="003C01E5" w:rsidP="003C01E5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r w:rsidRPr="003C01E5">
        <w:rPr>
          <w:rFonts w:ascii="Arial" w:hAnsi="Arial" w:cs="Arial"/>
          <w:bCs/>
          <w:lang w:val="en-US"/>
        </w:rPr>
        <w:t>E. J. Ellis-Grosse, et al.</w:t>
      </w:r>
    </w:p>
    <w:p w:rsidR="003C01E5" w:rsidRDefault="003C01E5" w:rsidP="003C01E5">
      <w:pPr>
        <w:autoSpaceDE w:val="0"/>
        <w:autoSpaceDN w:val="0"/>
        <w:adjustRightInd w:val="0"/>
        <w:rPr>
          <w:rFonts w:ascii="Arial" w:hAnsi="Arial" w:cs="Arial"/>
          <w:bCs/>
          <w:lang w:val="en-US"/>
        </w:rPr>
      </w:pPr>
      <w:r w:rsidRPr="003C01E5">
        <w:rPr>
          <w:rFonts w:ascii="Arial" w:hAnsi="Arial" w:cs="Arial"/>
          <w:bCs/>
          <w:lang w:val="en-US"/>
        </w:rPr>
        <w:t>Clinical Infectious Diseases 2005; 41:S341–53</w:t>
      </w:r>
    </w:p>
    <w:p w:rsidR="003C01E5" w:rsidRPr="003C01E5" w:rsidRDefault="003C01E5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3C01E5">
        <w:rPr>
          <w:rFonts w:ascii="Arial" w:hAnsi="Arial" w:cs="Arial"/>
          <w:bCs/>
          <w:lang w:val="en-US"/>
        </w:rPr>
        <w:t xml:space="preserve">Two </w:t>
      </w:r>
      <w:proofErr w:type="gramStart"/>
      <w:r w:rsidRPr="003C01E5">
        <w:rPr>
          <w:rFonts w:ascii="Arial" w:hAnsi="Arial" w:cs="Arial"/>
          <w:bCs/>
          <w:lang w:val="en-US"/>
        </w:rPr>
        <w:t>phase</w:t>
      </w:r>
      <w:proofErr w:type="gramEnd"/>
      <w:r w:rsidRPr="003C01E5">
        <w:rPr>
          <w:rFonts w:ascii="Arial" w:hAnsi="Arial" w:cs="Arial"/>
          <w:bCs/>
          <w:lang w:val="en-US"/>
        </w:rPr>
        <w:t xml:space="preserve"> 3, double-blind studies in hospitalized adults with complicated skin and skin-structure infections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>(</w:t>
      </w:r>
      <w:proofErr w:type="spellStart"/>
      <w:r w:rsidRPr="003C01E5">
        <w:rPr>
          <w:rFonts w:ascii="Arial" w:hAnsi="Arial" w:cs="Arial"/>
          <w:bCs/>
          <w:lang w:val="en-US"/>
        </w:rPr>
        <w:t>cSSSI</w:t>
      </w:r>
      <w:proofErr w:type="spellEnd"/>
      <w:r w:rsidRPr="003C01E5">
        <w:rPr>
          <w:rFonts w:ascii="Arial" w:hAnsi="Arial" w:cs="Arial"/>
          <w:bCs/>
          <w:lang w:val="en-US"/>
        </w:rPr>
        <w:t xml:space="preserve">) determined the safety and efficacy of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 versus that of </w:t>
      </w:r>
      <w:proofErr w:type="spellStart"/>
      <w:r w:rsidRPr="003C01E5">
        <w:rPr>
          <w:rFonts w:ascii="Arial" w:hAnsi="Arial" w:cs="Arial"/>
          <w:bCs/>
          <w:lang w:val="en-US"/>
        </w:rPr>
        <w:t>vancomycin-aztreonam</w:t>
      </w:r>
      <w:proofErr w:type="spellEnd"/>
      <w:r w:rsidRPr="003C01E5">
        <w:rPr>
          <w:rFonts w:ascii="Arial" w:hAnsi="Arial" w:cs="Arial"/>
          <w:bCs/>
          <w:lang w:val="en-US"/>
        </w:rPr>
        <w:t>. Patients received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 (100 mg, followed by 50 mg intravenously twice daily) or </w:t>
      </w:r>
      <w:proofErr w:type="spellStart"/>
      <w:r w:rsidRPr="003C01E5">
        <w:rPr>
          <w:rFonts w:ascii="Arial" w:hAnsi="Arial" w:cs="Arial"/>
          <w:bCs/>
          <w:lang w:val="en-US"/>
        </w:rPr>
        <w:t>vancomycin</w:t>
      </w:r>
      <w:proofErr w:type="spellEnd"/>
      <w:r w:rsidRPr="003C01E5">
        <w:rPr>
          <w:rFonts w:ascii="Arial" w:hAnsi="Arial" w:cs="Arial"/>
          <w:bCs/>
          <w:lang w:val="en-US"/>
        </w:rPr>
        <w:t xml:space="preserve"> (1 g intravenously twice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daily) plus </w:t>
      </w:r>
      <w:proofErr w:type="spellStart"/>
      <w:r w:rsidRPr="003C01E5">
        <w:rPr>
          <w:rFonts w:ascii="Arial" w:hAnsi="Arial" w:cs="Arial"/>
          <w:bCs/>
          <w:lang w:val="en-US"/>
        </w:rPr>
        <w:t>aztreonam</w:t>
      </w:r>
      <w:proofErr w:type="spellEnd"/>
      <w:r w:rsidRPr="003C01E5">
        <w:rPr>
          <w:rFonts w:ascii="Arial" w:hAnsi="Arial" w:cs="Arial"/>
          <w:bCs/>
          <w:lang w:val="en-US"/>
        </w:rPr>
        <w:t xml:space="preserve"> (2 g intravenously twice daily) for up to 14 days. Populations were as </w:t>
      </w:r>
      <w:r>
        <w:rPr>
          <w:rFonts w:ascii="Arial" w:hAnsi="Arial" w:cs="Arial"/>
          <w:bCs/>
          <w:lang w:val="en-US"/>
        </w:rPr>
        <w:t>f</w:t>
      </w:r>
      <w:r w:rsidRPr="003C01E5">
        <w:rPr>
          <w:rFonts w:ascii="Arial" w:hAnsi="Arial" w:cs="Arial"/>
          <w:bCs/>
          <w:lang w:val="en-US"/>
        </w:rPr>
        <w:t>ollows: 1116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patients (566 treated with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, and 550 treated with </w:t>
      </w:r>
      <w:proofErr w:type="spellStart"/>
      <w:r w:rsidRPr="003C01E5">
        <w:rPr>
          <w:rFonts w:ascii="Arial" w:hAnsi="Arial" w:cs="Arial"/>
          <w:bCs/>
          <w:lang w:val="en-US"/>
        </w:rPr>
        <w:t>vancomycin-aztreonam</w:t>
      </w:r>
      <w:proofErr w:type="spellEnd"/>
      <w:r w:rsidRPr="003C01E5">
        <w:rPr>
          <w:rFonts w:ascii="Arial" w:hAnsi="Arial" w:cs="Arial"/>
          <w:bCs/>
          <w:lang w:val="en-US"/>
        </w:rPr>
        <w:t>) constituted the modified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>intent-to-treat (</w:t>
      </w:r>
      <w:proofErr w:type="spellStart"/>
      <w:r w:rsidRPr="003C01E5">
        <w:rPr>
          <w:rFonts w:ascii="Arial" w:hAnsi="Arial" w:cs="Arial"/>
          <w:bCs/>
          <w:lang w:val="en-US"/>
        </w:rPr>
        <w:t>mITT</w:t>
      </w:r>
      <w:proofErr w:type="spellEnd"/>
      <w:r w:rsidRPr="003C01E5">
        <w:rPr>
          <w:rFonts w:ascii="Arial" w:hAnsi="Arial" w:cs="Arial"/>
          <w:bCs/>
          <w:lang w:val="en-US"/>
        </w:rPr>
        <w:t xml:space="preserve">) population, 1057 patients (538 treated with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, and 519 treated with </w:t>
      </w:r>
      <w:proofErr w:type="spellStart"/>
      <w:r w:rsidRPr="003C01E5">
        <w:rPr>
          <w:rFonts w:ascii="Arial" w:hAnsi="Arial" w:cs="Arial"/>
          <w:bCs/>
          <w:lang w:val="en-US"/>
        </w:rPr>
        <w:t>vancomycinaztreonam</w:t>
      </w:r>
      <w:proofErr w:type="spellEnd"/>
      <w:r w:rsidRPr="003C01E5">
        <w:rPr>
          <w:rFonts w:ascii="Arial" w:hAnsi="Arial" w:cs="Arial"/>
          <w:bCs/>
          <w:lang w:val="en-US"/>
        </w:rPr>
        <w:t>)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constituted the clinical </w:t>
      </w:r>
      <w:proofErr w:type="spellStart"/>
      <w:r w:rsidRPr="003C01E5">
        <w:rPr>
          <w:rFonts w:ascii="Arial" w:hAnsi="Arial" w:cs="Arial"/>
          <w:bCs/>
          <w:lang w:val="en-US"/>
        </w:rPr>
        <w:t>mITT</w:t>
      </w:r>
      <w:proofErr w:type="spellEnd"/>
      <w:r w:rsidRPr="003C01E5">
        <w:rPr>
          <w:rFonts w:ascii="Arial" w:hAnsi="Arial" w:cs="Arial"/>
          <w:bCs/>
          <w:lang w:val="en-US"/>
        </w:rPr>
        <w:t xml:space="preserve"> (c-</w:t>
      </w:r>
      <w:proofErr w:type="spellStart"/>
      <w:r w:rsidRPr="003C01E5">
        <w:rPr>
          <w:rFonts w:ascii="Arial" w:hAnsi="Arial" w:cs="Arial"/>
          <w:bCs/>
          <w:lang w:val="en-US"/>
        </w:rPr>
        <w:t>mITT</w:t>
      </w:r>
      <w:proofErr w:type="spellEnd"/>
      <w:r w:rsidRPr="003C01E5">
        <w:rPr>
          <w:rFonts w:ascii="Arial" w:hAnsi="Arial" w:cs="Arial"/>
          <w:bCs/>
          <w:lang w:val="en-US"/>
        </w:rPr>
        <w:t xml:space="preserve">) population, and 833 patients (422 treated with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>,</w:t>
      </w:r>
    </w:p>
    <w:p w:rsidR="00F56BF0" w:rsidRDefault="003C01E5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proofErr w:type="gramStart"/>
      <w:r w:rsidRPr="003C01E5">
        <w:rPr>
          <w:rFonts w:ascii="Arial" w:hAnsi="Arial" w:cs="Arial"/>
          <w:bCs/>
          <w:lang w:val="en-US"/>
        </w:rPr>
        <w:t>and</w:t>
      </w:r>
      <w:proofErr w:type="gramEnd"/>
      <w:r w:rsidRPr="003C01E5">
        <w:rPr>
          <w:rFonts w:ascii="Arial" w:hAnsi="Arial" w:cs="Arial"/>
          <w:bCs/>
          <w:lang w:val="en-US"/>
        </w:rPr>
        <w:t xml:space="preserve"> 411 treated with </w:t>
      </w:r>
      <w:proofErr w:type="spellStart"/>
      <w:r w:rsidRPr="003C01E5">
        <w:rPr>
          <w:rFonts w:ascii="Arial" w:hAnsi="Arial" w:cs="Arial"/>
          <w:bCs/>
          <w:lang w:val="en-US"/>
        </w:rPr>
        <w:t>vancomycin-aztreonam</w:t>
      </w:r>
      <w:proofErr w:type="spellEnd"/>
      <w:r w:rsidRPr="003C01E5">
        <w:rPr>
          <w:rFonts w:ascii="Arial" w:hAnsi="Arial" w:cs="Arial"/>
          <w:bCs/>
          <w:lang w:val="en-US"/>
        </w:rPr>
        <w:t xml:space="preserve">) constituted the clinically evaluable </w:t>
      </w:r>
      <w:r>
        <w:rPr>
          <w:rFonts w:ascii="Arial" w:hAnsi="Arial" w:cs="Arial"/>
          <w:bCs/>
          <w:lang w:val="en-US"/>
        </w:rPr>
        <w:t>p</w:t>
      </w:r>
      <w:r w:rsidRPr="003C01E5">
        <w:rPr>
          <w:rFonts w:ascii="Arial" w:hAnsi="Arial" w:cs="Arial"/>
          <w:bCs/>
          <w:lang w:val="en-US"/>
        </w:rPr>
        <w:t>opulation. Clinical responses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to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 and </w:t>
      </w:r>
      <w:proofErr w:type="spellStart"/>
      <w:r w:rsidRPr="003C01E5">
        <w:rPr>
          <w:rFonts w:ascii="Arial" w:hAnsi="Arial" w:cs="Arial"/>
          <w:bCs/>
          <w:lang w:val="en-US"/>
        </w:rPr>
        <w:t>vancomycin-aztreonam</w:t>
      </w:r>
      <w:proofErr w:type="spellEnd"/>
      <w:r w:rsidRPr="003C01E5">
        <w:rPr>
          <w:rFonts w:ascii="Arial" w:hAnsi="Arial" w:cs="Arial"/>
          <w:bCs/>
          <w:lang w:val="en-US"/>
        </w:rPr>
        <w:t xml:space="preserve"> at test-of-cure were similar: c-</w:t>
      </w:r>
      <w:proofErr w:type="spellStart"/>
      <w:r w:rsidRPr="003C01E5">
        <w:rPr>
          <w:rFonts w:ascii="Arial" w:hAnsi="Arial" w:cs="Arial"/>
          <w:bCs/>
          <w:lang w:val="en-US"/>
        </w:rPr>
        <w:t>mITT</w:t>
      </w:r>
      <w:proofErr w:type="spellEnd"/>
      <w:r w:rsidRPr="003C01E5">
        <w:rPr>
          <w:rFonts w:ascii="Arial" w:hAnsi="Arial" w:cs="Arial"/>
          <w:bCs/>
          <w:lang w:val="en-US"/>
        </w:rPr>
        <w:t>, 79.7% (95% confidence interval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>[CI], 76.1%–83.1%) versus 81.9% (95% CI, 78.3%–85.1%) (</w:t>
      </w:r>
      <w:r w:rsidRPr="003C01E5">
        <w:rPr>
          <w:rFonts w:ascii="Arial" w:hAnsi="Arial" w:cs="Arial"/>
          <w:bCs/>
          <w:i/>
          <w:iCs/>
          <w:lang w:val="en-US"/>
        </w:rPr>
        <w:t>P</w:t>
      </w:r>
      <w:r w:rsidRPr="003C01E5">
        <w:rPr>
          <w:rFonts w:ascii="Arial" w:hAnsi="Arial" w:cs="Arial"/>
          <w:lang w:val="en-US"/>
        </w:rPr>
        <w:t>p</w:t>
      </w:r>
      <w:r w:rsidRPr="003C01E5">
        <w:rPr>
          <w:rFonts w:ascii="Arial" w:hAnsi="Arial" w:cs="Arial"/>
          <w:bCs/>
          <w:lang w:val="en-US"/>
        </w:rPr>
        <w:t>.4183); and clinically evaluable, 86.5% (95%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>CI, 82.9%–89.6%) versus 88.6% (95% CI, 85.1%–91.5%) (</w:t>
      </w:r>
      <w:r w:rsidRPr="003C01E5">
        <w:rPr>
          <w:rFonts w:ascii="Arial" w:hAnsi="Arial" w:cs="Arial"/>
          <w:bCs/>
          <w:i/>
          <w:iCs/>
          <w:lang w:val="en-US"/>
        </w:rPr>
        <w:t>P</w:t>
      </w:r>
      <w:r w:rsidRPr="003C01E5">
        <w:rPr>
          <w:rFonts w:ascii="Arial" w:hAnsi="Arial" w:cs="Arial"/>
          <w:lang w:val="en-US"/>
        </w:rPr>
        <w:t>p</w:t>
      </w:r>
      <w:r w:rsidRPr="003C01E5">
        <w:rPr>
          <w:rFonts w:ascii="Arial" w:hAnsi="Arial" w:cs="Arial"/>
          <w:bCs/>
          <w:lang w:val="en-US"/>
        </w:rPr>
        <w:t>.4233). Adverse events were similar, with increased</w:t>
      </w:r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nausea and vomiting in the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 group and increased rash and elevated hepatic </w:t>
      </w:r>
      <w:proofErr w:type="spellStart"/>
      <w:r w:rsidRPr="003C01E5">
        <w:rPr>
          <w:rFonts w:ascii="Arial" w:hAnsi="Arial" w:cs="Arial"/>
          <w:bCs/>
          <w:lang w:val="en-US"/>
        </w:rPr>
        <w:t>aminotransferase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3C01E5">
        <w:rPr>
          <w:rFonts w:ascii="Arial" w:hAnsi="Arial" w:cs="Arial"/>
          <w:bCs/>
          <w:lang w:val="en-US"/>
        </w:rPr>
        <w:t xml:space="preserve">levels in the </w:t>
      </w:r>
      <w:proofErr w:type="spellStart"/>
      <w:r w:rsidRPr="003C01E5">
        <w:rPr>
          <w:rFonts w:ascii="Arial" w:hAnsi="Arial" w:cs="Arial"/>
          <w:bCs/>
          <w:lang w:val="en-US"/>
        </w:rPr>
        <w:t>vancomycin-aztreonam</w:t>
      </w:r>
      <w:proofErr w:type="spellEnd"/>
      <w:r w:rsidRPr="003C01E5">
        <w:rPr>
          <w:rFonts w:ascii="Arial" w:hAnsi="Arial" w:cs="Arial"/>
          <w:bCs/>
          <w:lang w:val="en-US"/>
        </w:rPr>
        <w:t xml:space="preserve"> group. </w:t>
      </w:r>
      <w:proofErr w:type="spellStart"/>
      <w:r w:rsidRPr="003C01E5">
        <w:rPr>
          <w:rFonts w:ascii="Arial" w:hAnsi="Arial" w:cs="Arial"/>
          <w:bCs/>
          <w:lang w:val="en-US"/>
        </w:rPr>
        <w:t>Tigecycline</w:t>
      </w:r>
      <w:proofErr w:type="spellEnd"/>
      <w:r w:rsidRPr="003C01E5">
        <w:rPr>
          <w:rFonts w:ascii="Arial" w:hAnsi="Arial" w:cs="Arial"/>
          <w:bCs/>
          <w:lang w:val="en-US"/>
        </w:rPr>
        <w:t xml:space="preserve"> </w:t>
      </w:r>
      <w:proofErr w:type="spellStart"/>
      <w:r w:rsidRPr="003C01E5">
        <w:rPr>
          <w:rFonts w:ascii="Arial" w:hAnsi="Arial" w:cs="Arial"/>
          <w:bCs/>
          <w:lang w:val="en-US"/>
        </w:rPr>
        <w:t>monotherapy</w:t>
      </w:r>
      <w:proofErr w:type="spellEnd"/>
      <w:r w:rsidRPr="003C01E5">
        <w:rPr>
          <w:rFonts w:ascii="Arial" w:hAnsi="Arial" w:cs="Arial"/>
          <w:bCs/>
          <w:lang w:val="en-US"/>
        </w:rPr>
        <w:t xml:space="preserve"> is as safe and efficacious as the </w:t>
      </w:r>
      <w:proofErr w:type="spellStart"/>
      <w:r>
        <w:rPr>
          <w:rFonts w:ascii="Arial" w:hAnsi="Arial" w:cs="Arial"/>
          <w:bCs/>
          <w:lang w:val="en-US"/>
        </w:rPr>
        <w:t>v</w:t>
      </w:r>
      <w:r w:rsidRPr="003C01E5">
        <w:rPr>
          <w:rFonts w:ascii="Arial" w:hAnsi="Arial" w:cs="Arial"/>
          <w:bCs/>
          <w:lang w:val="en-US"/>
        </w:rPr>
        <w:t>ancomycin</w:t>
      </w:r>
      <w:proofErr w:type="spellEnd"/>
      <w:r w:rsidRPr="003C01E5">
        <w:rPr>
          <w:rFonts w:ascii="Arial" w:hAnsi="Arial" w:cs="Arial"/>
          <w:bCs/>
          <w:lang w:val="en-US"/>
        </w:rPr>
        <w:t>-</w:t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Pr="003C01E5">
        <w:rPr>
          <w:rFonts w:ascii="Arial" w:hAnsi="Arial" w:cs="Arial"/>
          <w:bCs/>
          <w:lang w:val="en-US"/>
        </w:rPr>
        <w:t>aztreonam</w:t>
      </w:r>
      <w:proofErr w:type="spellEnd"/>
      <w:r w:rsidRPr="003C01E5">
        <w:rPr>
          <w:rFonts w:ascii="Arial" w:hAnsi="Arial" w:cs="Arial"/>
          <w:bCs/>
          <w:lang w:val="en-US"/>
        </w:rPr>
        <w:t xml:space="preserve"> combination in treating patients with </w:t>
      </w:r>
      <w:proofErr w:type="spellStart"/>
      <w:r w:rsidRPr="003C01E5">
        <w:rPr>
          <w:rFonts w:ascii="Arial" w:hAnsi="Arial" w:cs="Arial"/>
          <w:bCs/>
          <w:lang w:val="en-US"/>
        </w:rPr>
        <w:t>cSSSI</w:t>
      </w:r>
      <w:proofErr w:type="spellEnd"/>
      <w:r w:rsidRPr="003C01E5">
        <w:rPr>
          <w:rFonts w:ascii="Arial" w:hAnsi="Arial" w:cs="Arial"/>
          <w:bCs/>
          <w:lang w:val="en-US"/>
        </w:rPr>
        <w:t>.</w:t>
      </w:r>
    </w:p>
    <w:p w:rsidR="006B67DD" w:rsidRDefault="006B67DD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6B67DD" w:rsidRDefault="006B67DD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6B67DD" w:rsidRDefault="006B67DD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0259C5" w:rsidRPr="00A019DE" w:rsidRDefault="000259C5" w:rsidP="006B67DD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6B67DD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6B67DD" w:rsidRPr="00A019DE" w:rsidRDefault="006B67DD" w:rsidP="006B67DD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 w:rsidRPr="00A019DE">
        <w:rPr>
          <w:rFonts w:ascii="Arial" w:hAnsi="Arial" w:cs="Arial"/>
          <w:b/>
          <w:sz w:val="28"/>
          <w:lang w:val="en-US"/>
        </w:rPr>
        <w:lastRenderedPageBreak/>
        <w:t>VFEND</w:t>
      </w:r>
      <w:r w:rsidR="00E92610" w:rsidRPr="00A019DE">
        <w:rPr>
          <w:rFonts w:ascii="Calibri" w:hAnsi="Calibri" w:cs="Arial"/>
          <w:b/>
          <w:sz w:val="28"/>
          <w:lang w:val="en-US"/>
        </w:rPr>
        <w:t>®</w:t>
      </w:r>
      <w:r w:rsidR="00E92610" w:rsidRPr="00A019DE">
        <w:rPr>
          <w:rFonts w:ascii="Arial" w:hAnsi="Arial" w:cs="Arial"/>
          <w:b/>
          <w:sz w:val="28"/>
          <w:lang w:val="en-US"/>
        </w:rPr>
        <w:t xml:space="preserve"> (VORICONAZOL)</w:t>
      </w:r>
    </w:p>
    <w:p w:rsidR="006B67DD" w:rsidRDefault="006B67DD" w:rsidP="003C01E5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VORICONAZOLE VERSUS AMPHOTERICIN B FOR PRIMARY THERAPY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OF INVASIVE ASPERGILLOSIS</w:t>
      </w:r>
    </w:p>
    <w:p w:rsidR="006B67DD" w:rsidRPr="00A019DE" w:rsidRDefault="00320B92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proofErr w:type="spellStart"/>
      <w:r w:rsidRPr="00A019DE">
        <w:rPr>
          <w:rFonts w:ascii="Arial" w:hAnsi="Arial" w:cs="Arial"/>
          <w:bCs/>
          <w:lang w:val="en-US"/>
        </w:rPr>
        <w:t>Raoul</w:t>
      </w:r>
      <w:proofErr w:type="spellEnd"/>
      <w:r w:rsidRPr="00A019DE">
        <w:rPr>
          <w:rFonts w:ascii="Arial" w:hAnsi="Arial" w:cs="Arial"/>
          <w:bCs/>
          <w:lang w:val="en-US"/>
        </w:rPr>
        <w:t xml:space="preserve"> </w:t>
      </w:r>
      <w:proofErr w:type="spellStart"/>
      <w:r w:rsidRPr="00A019DE">
        <w:rPr>
          <w:rFonts w:ascii="Arial" w:hAnsi="Arial" w:cs="Arial"/>
          <w:bCs/>
          <w:lang w:val="en-US"/>
        </w:rPr>
        <w:t>Herbrecht</w:t>
      </w:r>
      <w:proofErr w:type="spellEnd"/>
      <w:r w:rsidRPr="00A019DE">
        <w:rPr>
          <w:rFonts w:ascii="Arial" w:hAnsi="Arial" w:cs="Arial"/>
          <w:bCs/>
          <w:lang w:val="en-US"/>
        </w:rPr>
        <w:t xml:space="preserve"> </w:t>
      </w:r>
      <w:r w:rsidR="006B67DD" w:rsidRPr="00A019DE">
        <w:rPr>
          <w:rFonts w:ascii="Arial" w:hAnsi="Arial" w:cs="Arial"/>
          <w:bCs/>
          <w:lang w:val="en-US"/>
        </w:rPr>
        <w:t>et al.</w:t>
      </w:r>
    </w:p>
    <w:p w:rsidR="00320B92" w:rsidRPr="00A019DE" w:rsidRDefault="00320B92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A019DE">
        <w:rPr>
          <w:rFonts w:ascii="Arial" w:hAnsi="Arial" w:cs="Arial"/>
          <w:bCs/>
          <w:lang w:val="en-US"/>
        </w:rPr>
        <w:t xml:space="preserve">N </w:t>
      </w:r>
      <w:proofErr w:type="spellStart"/>
      <w:r w:rsidRPr="00A019DE">
        <w:rPr>
          <w:rFonts w:ascii="Arial" w:hAnsi="Arial" w:cs="Arial"/>
          <w:bCs/>
          <w:lang w:val="en-US"/>
        </w:rPr>
        <w:t>Engl</w:t>
      </w:r>
      <w:proofErr w:type="spellEnd"/>
      <w:r w:rsidRPr="00A019DE">
        <w:rPr>
          <w:rFonts w:ascii="Arial" w:hAnsi="Arial" w:cs="Arial"/>
          <w:bCs/>
          <w:lang w:val="en-US"/>
        </w:rPr>
        <w:t xml:space="preserve"> J Med 2002</w:t>
      </w:r>
      <w:proofErr w:type="gramStart"/>
      <w:r w:rsidRPr="00A019DE">
        <w:rPr>
          <w:rFonts w:ascii="Arial" w:hAnsi="Arial" w:cs="Arial"/>
          <w:bCs/>
          <w:lang w:val="en-US"/>
        </w:rPr>
        <w:t>;347:408</w:t>
      </w:r>
      <w:proofErr w:type="gramEnd"/>
      <w:r w:rsidRPr="00A019DE">
        <w:rPr>
          <w:rFonts w:ascii="Arial" w:hAnsi="Arial" w:cs="Arial"/>
          <w:bCs/>
          <w:lang w:val="en-US"/>
        </w:rPr>
        <w:t>-15</w:t>
      </w:r>
    </w:p>
    <w:p w:rsidR="00320B92" w:rsidRPr="00320B92" w:rsidRDefault="00320B92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Background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is a broad-spectrum </w:t>
      </w:r>
      <w:proofErr w:type="spellStart"/>
      <w:r w:rsidRPr="00320B92">
        <w:rPr>
          <w:rFonts w:ascii="Arial" w:hAnsi="Arial" w:cs="Arial"/>
          <w:bCs/>
          <w:lang w:val="en-US"/>
        </w:rPr>
        <w:t>triazole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that is active against </w:t>
      </w:r>
      <w:proofErr w:type="spellStart"/>
      <w:r w:rsidRPr="00320B92">
        <w:rPr>
          <w:rFonts w:ascii="Arial" w:hAnsi="Arial" w:cs="Arial"/>
          <w:bCs/>
          <w:lang w:val="en-US"/>
        </w:rPr>
        <w:t>aspergillus</w:t>
      </w:r>
      <w:proofErr w:type="spellEnd"/>
      <w:r w:rsidRPr="00320B92">
        <w:rPr>
          <w:rFonts w:ascii="Arial" w:hAnsi="Arial" w:cs="Arial"/>
          <w:bCs/>
          <w:lang w:val="en-US"/>
        </w:rPr>
        <w:t xml:space="preserve"> species. We conducted a randomized trial to compare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with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 for primary therapy of invasive </w:t>
      </w:r>
      <w:proofErr w:type="spellStart"/>
      <w:r w:rsidRPr="00320B92">
        <w:rPr>
          <w:rFonts w:ascii="Arial" w:hAnsi="Arial" w:cs="Arial"/>
          <w:bCs/>
          <w:lang w:val="en-US"/>
        </w:rPr>
        <w:t>aspergillosis</w:t>
      </w:r>
      <w:proofErr w:type="spellEnd"/>
      <w:r w:rsidRPr="00320B92">
        <w:rPr>
          <w:rFonts w:ascii="Arial" w:hAnsi="Arial" w:cs="Arial"/>
          <w:bCs/>
          <w:lang w:val="en-US"/>
        </w:rPr>
        <w:t>.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Methods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320B92">
        <w:rPr>
          <w:rFonts w:ascii="Arial" w:hAnsi="Arial" w:cs="Arial"/>
          <w:bCs/>
          <w:lang w:val="en-US"/>
        </w:rPr>
        <w:t xml:space="preserve">In this randomized, </w:t>
      </w:r>
      <w:proofErr w:type="spellStart"/>
      <w:r w:rsidRPr="00320B92">
        <w:rPr>
          <w:rFonts w:ascii="Arial" w:hAnsi="Arial" w:cs="Arial"/>
          <w:bCs/>
          <w:lang w:val="en-US"/>
        </w:rPr>
        <w:t>unblinded</w:t>
      </w:r>
      <w:proofErr w:type="spellEnd"/>
      <w:r w:rsidRPr="00320B92">
        <w:rPr>
          <w:rFonts w:ascii="Arial" w:hAnsi="Arial" w:cs="Arial"/>
          <w:bCs/>
          <w:lang w:val="en-US"/>
        </w:rPr>
        <w:t xml:space="preserve"> trial, patients received eithe</w:t>
      </w:r>
      <w:r w:rsidR="00320B92" w:rsidRPr="00320B92">
        <w:rPr>
          <w:rFonts w:ascii="Arial" w:hAnsi="Arial" w:cs="Arial"/>
          <w:bCs/>
          <w:lang w:val="en-US"/>
        </w:rPr>
        <w:t xml:space="preserve">r intravenous </w:t>
      </w:r>
      <w:proofErr w:type="spellStart"/>
      <w:r w:rsidR="00320B92" w:rsidRPr="00320B92">
        <w:rPr>
          <w:rFonts w:ascii="Arial" w:hAnsi="Arial" w:cs="Arial"/>
          <w:bCs/>
          <w:lang w:val="en-US"/>
        </w:rPr>
        <w:t>voriconazole</w:t>
      </w:r>
      <w:proofErr w:type="spellEnd"/>
      <w:r w:rsidR="00320B92" w:rsidRPr="00320B92">
        <w:rPr>
          <w:rFonts w:ascii="Arial" w:hAnsi="Arial" w:cs="Arial"/>
          <w:bCs/>
          <w:lang w:val="en-US"/>
        </w:rPr>
        <w:t xml:space="preserve"> (two </w:t>
      </w:r>
      <w:r w:rsidRPr="00320B92">
        <w:rPr>
          <w:rFonts w:ascii="Arial" w:hAnsi="Arial" w:cs="Arial"/>
          <w:bCs/>
          <w:lang w:val="en-US"/>
        </w:rPr>
        <w:t>doses of 6 mg per kilogram of body weight on day 1,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then 4 mg per kilogram twice daily for at least seven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proofErr w:type="gramStart"/>
      <w:r w:rsidRPr="00320B92">
        <w:rPr>
          <w:rFonts w:ascii="Arial" w:hAnsi="Arial" w:cs="Arial"/>
          <w:bCs/>
          <w:lang w:val="en-US"/>
        </w:rPr>
        <w:t>days</w:t>
      </w:r>
      <w:proofErr w:type="gramEnd"/>
      <w:r w:rsidRPr="00320B92">
        <w:rPr>
          <w:rFonts w:ascii="Arial" w:hAnsi="Arial" w:cs="Arial"/>
          <w:bCs/>
          <w:lang w:val="en-US"/>
        </w:rPr>
        <w:t>) followed by 200 mg orally twice daily or intravenous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 </w:t>
      </w:r>
      <w:proofErr w:type="spellStart"/>
      <w:r w:rsidRPr="00320B92">
        <w:rPr>
          <w:rFonts w:ascii="Arial" w:hAnsi="Arial" w:cs="Arial"/>
          <w:bCs/>
          <w:lang w:val="en-US"/>
        </w:rPr>
        <w:t>deoxycholate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(1 to 1.5 mg per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kilogram per day). Other licensed antifungal treatments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were allowed if the initial therapy failed or if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the patient had </w:t>
      </w:r>
      <w:proofErr w:type="gramStart"/>
      <w:r w:rsidRPr="00320B92">
        <w:rPr>
          <w:rFonts w:ascii="Arial" w:hAnsi="Arial" w:cs="Arial"/>
          <w:bCs/>
          <w:lang w:val="en-US"/>
        </w:rPr>
        <w:t>an intolerance</w:t>
      </w:r>
      <w:proofErr w:type="gramEnd"/>
      <w:r w:rsidRPr="00320B92">
        <w:rPr>
          <w:rFonts w:ascii="Arial" w:hAnsi="Arial" w:cs="Arial"/>
          <w:bCs/>
          <w:lang w:val="en-US"/>
        </w:rPr>
        <w:t xml:space="preserve"> to the first drug used.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A complete or partial response was considered to be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a successful outcome.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Results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320B92">
        <w:rPr>
          <w:rFonts w:ascii="Arial" w:hAnsi="Arial" w:cs="Arial"/>
          <w:bCs/>
          <w:lang w:val="en-US"/>
        </w:rPr>
        <w:t xml:space="preserve">A total of 144 patients in the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group and 133 patients in the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 group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with definite or probable </w:t>
      </w:r>
      <w:proofErr w:type="spellStart"/>
      <w:r w:rsidRPr="00320B92">
        <w:rPr>
          <w:rFonts w:ascii="Arial" w:hAnsi="Arial" w:cs="Arial"/>
          <w:bCs/>
          <w:lang w:val="en-US"/>
        </w:rPr>
        <w:t>aspergillosis</w:t>
      </w:r>
      <w:proofErr w:type="spellEnd"/>
      <w:r w:rsidRPr="00320B92">
        <w:rPr>
          <w:rFonts w:ascii="Arial" w:hAnsi="Arial" w:cs="Arial"/>
          <w:bCs/>
          <w:lang w:val="en-US"/>
        </w:rPr>
        <w:t xml:space="preserve"> received at least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one dose of treatment. In most of the patients, the underlying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condition was </w:t>
      </w:r>
      <w:proofErr w:type="spellStart"/>
      <w:r w:rsidRPr="00320B92">
        <w:rPr>
          <w:rFonts w:ascii="Arial" w:hAnsi="Arial" w:cs="Arial"/>
          <w:bCs/>
          <w:lang w:val="en-US"/>
        </w:rPr>
        <w:t>allogeneic</w:t>
      </w:r>
      <w:proofErr w:type="spellEnd"/>
      <w:r w:rsidRPr="00320B92">
        <w:rPr>
          <w:rFonts w:ascii="Arial" w:hAnsi="Arial" w:cs="Arial"/>
          <w:bCs/>
          <w:lang w:val="en-US"/>
        </w:rPr>
        <w:t xml:space="preserve"> hematopoietic-cell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transplantation, acute leukemia, or other hematologic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diseases. At week 12, there were successful outcomes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in 52.8 percent of the patients in the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group (complete responses in 20.8 percent and partial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responses in 31.9 percent) and 31.6 percent of those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in the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 group (complete responses in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16.5 percent and partial responses in 15.0 percent; absolute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difference, 21.2 percentage points; 95 percent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confidence interval, 10.4 to 32.9). The survival rate at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12 weeks was 70.8 percent in the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group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and 57.9 percent in the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 group (hazard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ratio, 0.59; 95 percent confidence interval, 0.40 to 0.88).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Pr="00320B92">
        <w:rPr>
          <w:rFonts w:ascii="Arial" w:hAnsi="Arial" w:cs="Arial"/>
          <w:bCs/>
          <w:lang w:val="en-US"/>
        </w:rPr>
        <w:t>-treated patients had significantly fewer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severe drug-related adverse events, but transient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visual disturbances were common with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(occurring in 44.8 percent of patients).</w:t>
      </w:r>
    </w:p>
    <w:p w:rsidR="006B67DD" w:rsidRPr="00320B92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320B92">
        <w:rPr>
          <w:rFonts w:ascii="Arial" w:hAnsi="Arial" w:cs="Arial"/>
          <w:b/>
          <w:bCs/>
          <w:lang w:val="en-US"/>
        </w:rPr>
        <w:t>Conclusions</w:t>
      </w:r>
    </w:p>
    <w:p w:rsidR="006B67DD" w:rsidRDefault="006B67DD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320B92">
        <w:rPr>
          <w:rFonts w:ascii="Arial" w:hAnsi="Arial" w:cs="Arial"/>
          <w:bCs/>
          <w:lang w:val="en-US"/>
        </w:rPr>
        <w:t xml:space="preserve">In patients with invasive </w:t>
      </w:r>
      <w:proofErr w:type="spellStart"/>
      <w:r w:rsidRPr="00320B92">
        <w:rPr>
          <w:rFonts w:ascii="Arial" w:hAnsi="Arial" w:cs="Arial"/>
          <w:bCs/>
          <w:lang w:val="en-US"/>
        </w:rPr>
        <w:t>aspergillosis</w:t>
      </w:r>
      <w:proofErr w:type="spellEnd"/>
      <w:r w:rsidRPr="00320B92">
        <w:rPr>
          <w:rFonts w:ascii="Arial" w:hAnsi="Arial" w:cs="Arial"/>
          <w:bCs/>
          <w:lang w:val="en-US"/>
        </w:rPr>
        <w:t>,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initial therapy with </w:t>
      </w:r>
      <w:proofErr w:type="spellStart"/>
      <w:r w:rsidRPr="00320B92">
        <w:rPr>
          <w:rFonts w:ascii="Arial" w:hAnsi="Arial" w:cs="Arial"/>
          <w:bCs/>
          <w:lang w:val="en-US"/>
        </w:rPr>
        <w:t>voriconazole</w:t>
      </w:r>
      <w:proofErr w:type="spellEnd"/>
      <w:r w:rsidRPr="00320B92">
        <w:rPr>
          <w:rFonts w:ascii="Arial" w:hAnsi="Arial" w:cs="Arial"/>
          <w:bCs/>
          <w:lang w:val="en-US"/>
        </w:rPr>
        <w:t xml:space="preserve"> led to better responses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and improved survival and resulted in fewer severe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>side effects than the standard approach of initial</w:t>
      </w:r>
      <w:r w:rsidR="00320B92" w:rsidRPr="00320B92">
        <w:rPr>
          <w:rFonts w:ascii="Arial" w:hAnsi="Arial" w:cs="Arial"/>
          <w:bCs/>
          <w:lang w:val="en-US"/>
        </w:rPr>
        <w:t xml:space="preserve"> </w:t>
      </w:r>
      <w:r w:rsidRPr="00320B92">
        <w:rPr>
          <w:rFonts w:ascii="Arial" w:hAnsi="Arial" w:cs="Arial"/>
          <w:bCs/>
          <w:lang w:val="en-US"/>
        </w:rPr>
        <w:t xml:space="preserve">therapy with </w:t>
      </w:r>
      <w:proofErr w:type="spellStart"/>
      <w:r w:rsidRPr="00320B92">
        <w:rPr>
          <w:rFonts w:ascii="Arial" w:hAnsi="Arial" w:cs="Arial"/>
          <w:bCs/>
          <w:lang w:val="en-US"/>
        </w:rPr>
        <w:t>amphotericin</w:t>
      </w:r>
      <w:proofErr w:type="spellEnd"/>
      <w:r w:rsidRPr="00320B92">
        <w:rPr>
          <w:rFonts w:ascii="Arial" w:hAnsi="Arial" w:cs="Arial"/>
          <w:bCs/>
          <w:lang w:val="en-US"/>
        </w:rPr>
        <w:t xml:space="preserve"> B. </w:t>
      </w:r>
    </w:p>
    <w:p w:rsidR="006F231B" w:rsidRPr="00A019DE" w:rsidRDefault="006F231B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B2505B" w:rsidRPr="00A019DE" w:rsidRDefault="00B2505B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6F231B" w:rsidRPr="00A019DE" w:rsidRDefault="00F91311" w:rsidP="006F231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 w:rsidRPr="00A019DE">
        <w:rPr>
          <w:rFonts w:ascii="Arial" w:hAnsi="Arial" w:cs="Arial"/>
          <w:b/>
          <w:sz w:val="28"/>
          <w:lang w:val="en-US"/>
        </w:rPr>
        <w:t>ZITROMAX</w:t>
      </w:r>
      <w:r w:rsidR="006F231B" w:rsidRPr="00A019DE">
        <w:rPr>
          <w:rFonts w:ascii="Calibri" w:hAnsi="Calibri" w:cs="Arial"/>
          <w:b/>
          <w:sz w:val="28"/>
          <w:lang w:val="en-US"/>
        </w:rPr>
        <w:t>®</w:t>
      </w:r>
      <w:r w:rsidR="006F231B" w:rsidRPr="00A019DE">
        <w:rPr>
          <w:rFonts w:ascii="Arial" w:hAnsi="Arial" w:cs="Arial"/>
          <w:b/>
          <w:sz w:val="28"/>
          <w:lang w:val="en-US"/>
        </w:rPr>
        <w:t xml:space="preserve"> (</w:t>
      </w:r>
      <w:r w:rsidRPr="00A019DE">
        <w:rPr>
          <w:rFonts w:ascii="Arial" w:hAnsi="Arial" w:cs="Arial"/>
          <w:b/>
          <w:sz w:val="28"/>
          <w:lang w:val="en-US"/>
        </w:rPr>
        <w:t>AZITROMICINA</w:t>
      </w:r>
      <w:r w:rsidR="006F231B" w:rsidRPr="00A019DE">
        <w:rPr>
          <w:rFonts w:ascii="Arial" w:hAnsi="Arial" w:cs="Arial"/>
          <w:b/>
          <w:sz w:val="28"/>
          <w:lang w:val="en-US"/>
        </w:rPr>
        <w:t>)</w:t>
      </w:r>
    </w:p>
    <w:p w:rsidR="006F231B" w:rsidRDefault="006F231B" w:rsidP="00320B92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F91311">
        <w:rPr>
          <w:rFonts w:ascii="Arial" w:hAnsi="Arial" w:cs="Arial"/>
          <w:b/>
          <w:bCs/>
          <w:lang w:val="en-US"/>
        </w:rPr>
        <w:t>IS AZITHROMYCIN THE FIRST-CHOICE MACROLIDE FOR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F91311">
        <w:rPr>
          <w:rFonts w:ascii="Arial" w:hAnsi="Arial" w:cs="Arial"/>
          <w:b/>
          <w:bCs/>
          <w:lang w:val="en-US"/>
        </w:rPr>
        <w:t>TREATMENT OF COMMUNITY-ACQUIRED PNEUMONIA?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F. Sa</w:t>
      </w:r>
      <w:r w:rsidRPr="00F91311">
        <w:rPr>
          <w:rFonts w:ascii="Arial" w:hAnsi="Arial" w:cs="Arial"/>
          <w:bCs/>
          <w:lang w:val="en-US"/>
        </w:rPr>
        <w:t>nchez</w:t>
      </w:r>
      <w:r>
        <w:rPr>
          <w:rFonts w:ascii="Arial" w:hAnsi="Arial" w:cs="Arial"/>
          <w:bCs/>
          <w:lang w:val="en-US"/>
        </w:rPr>
        <w:t xml:space="preserve"> et al.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Clinical Infectious Diseases 2003; 36:1239–45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Combination treatment with a b-</w:t>
      </w:r>
      <w:proofErr w:type="spellStart"/>
      <w:r w:rsidRPr="00F91311">
        <w:rPr>
          <w:rFonts w:ascii="Arial" w:hAnsi="Arial" w:cs="Arial"/>
          <w:bCs/>
          <w:lang w:val="en-US"/>
        </w:rPr>
        <w:t>lactam</w:t>
      </w:r>
      <w:proofErr w:type="spellEnd"/>
      <w:r w:rsidRPr="00F91311">
        <w:rPr>
          <w:rFonts w:ascii="Arial" w:hAnsi="Arial" w:cs="Arial"/>
          <w:bCs/>
          <w:lang w:val="en-US"/>
        </w:rPr>
        <w:t xml:space="preserve"> plus a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may improve the outcome for elderly patients with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community-acquired pneumonia (CAP). The prognoses and mortality rates for elderly patients with CAP who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receive </w:t>
      </w:r>
      <w:proofErr w:type="spellStart"/>
      <w:r w:rsidRPr="00F91311">
        <w:rPr>
          <w:rFonts w:ascii="Arial" w:hAnsi="Arial" w:cs="Arial"/>
          <w:bCs/>
          <w:lang w:val="en-US"/>
        </w:rPr>
        <w:t>ceftriaxone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combined with a 3-day course of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or a 10-day course of </w:t>
      </w:r>
      <w:proofErr w:type="spellStart"/>
      <w:r w:rsidRPr="00F91311">
        <w:rPr>
          <w:rFonts w:ascii="Arial" w:hAnsi="Arial" w:cs="Arial"/>
          <w:bCs/>
          <w:lang w:val="en-US"/>
        </w:rPr>
        <w:t>clarithromycin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were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compared in an open-label, prospective study. Of 896 assessable patients, 220 received </w:t>
      </w:r>
      <w:proofErr w:type="spellStart"/>
      <w:r w:rsidRPr="00F91311">
        <w:rPr>
          <w:rFonts w:ascii="Arial" w:hAnsi="Arial" w:cs="Arial"/>
          <w:bCs/>
          <w:lang w:val="en-US"/>
        </w:rPr>
        <w:t>clarithromycin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and 383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received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>. There were no significant differences between groups with regard to the severity score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defined by the Pneumonia Patient Outcomes Research Team (PORT) study group; the incidence of </w:t>
      </w:r>
      <w:proofErr w:type="spellStart"/>
      <w:r w:rsidRPr="00F91311">
        <w:rPr>
          <w:rFonts w:ascii="Arial" w:hAnsi="Arial" w:cs="Arial"/>
          <w:bCs/>
          <w:lang w:val="en-US"/>
        </w:rPr>
        <w:t>bacteremia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was also not significantly different. However, for patients treated with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>, the length of hospital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stay was shorter (</w:t>
      </w:r>
      <w:proofErr w:type="spellStart"/>
      <w:r w:rsidRPr="00F91311">
        <w:rPr>
          <w:rFonts w:ascii="Arial" w:hAnsi="Arial" w:cs="Arial"/>
          <w:bCs/>
          <w:lang w:val="en-US"/>
        </w:rPr>
        <w:t>mean_SD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7.4_5vs.9.4_7 days; </w:t>
      </w:r>
      <w:proofErr w:type="gramStart"/>
      <w:r w:rsidRPr="00F91311">
        <w:rPr>
          <w:rFonts w:ascii="Arial" w:hAnsi="Arial" w:cs="Arial"/>
          <w:bCs/>
          <w:lang w:val="en-US"/>
        </w:rPr>
        <w:t>P !</w:t>
      </w:r>
      <w:proofErr w:type="gramEnd"/>
      <w:r w:rsidRPr="00F91311">
        <w:rPr>
          <w:rFonts w:ascii="Arial" w:hAnsi="Arial" w:cs="Arial"/>
          <w:bCs/>
          <w:lang w:val="en-US"/>
        </w:rPr>
        <w:t xml:space="preserve"> .01) and the mortality rate was lower (3.6% vs.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7.2%; P ! .05), compared with those treated with </w:t>
      </w:r>
      <w:proofErr w:type="spellStart"/>
      <w:r w:rsidRPr="00F91311">
        <w:rPr>
          <w:rFonts w:ascii="Arial" w:hAnsi="Arial" w:cs="Arial"/>
          <w:bCs/>
          <w:lang w:val="en-US"/>
        </w:rPr>
        <w:t>clarithromycin</w:t>
      </w:r>
      <w:proofErr w:type="spellEnd"/>
      <w:r w:rsidRPr="00F91311">
        <w:rPr>
          <w:rFonts w:ascii="Arial" w:hAnsi="Arial" w:cs="Arial"/>
          <w:bCs/>
          <w:lang w:val="en-US"/>
        </w:rPr>
        <w:t>. There might be a difference in the outcome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for patients with CAP depending on the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used. A shorter treatment course with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may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proofErr w:type="gramStart"/>
      <w:r w:rsidRPr="00F91311">
        <w:rPr>
          <w:rFonts w:ascii="Arial" w:hAnsi="Arial" w:cs="Arial"/>
          <w:bCs/>
          <w:lang w:val="en-US"/>
        </w:rPr>
        <w:t>result</w:t>
      </w:r>
      <w:proofErr w:type="gramEnd"/>
      <w:r w:rsidRPr="00F91311">
        <w:rPr>
          <w:rFonts w:ascii="Arial" w:hAnsi="Arial" w:cs="Arial"/>
          <w:bCs/>
          <w:lang w:val="en-US"/>
        </w:rPr>
        <w:t xml:space="preserve"> in better compliance with therapy.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A019DE" w:rsidRDefault="00A019DE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r w:rsidRPr="00F91311">
        <w:rPr>
          <w:rFonts w:ascii="Arial" w:hAnsi="Arial" w:cs="Arial"/>
          <w:b/>
          <w:bCs/>
          <w:lang w:val="en-US"/>
        </w:rPr>
        <w:t>ANTIBIOTICS FOR BACTEREMIC PNEUMONIA</w:t>
      </w:r>
      <w:r>
        <w:rPr>
          <w:rFonts w:ascii="Arial" w:hAnsi="Arial" w:cs="Arial"/>
          <w:b/>
          <w:bCs/>
          <w:lang w:val="en-US"/>
        </w:rPr>
        <w:t xml:space="preserve">. </w:t>
      </w:r>
      <w:proofErr w:type="gramStart"/>
      <w:r w:rsidRPr="00F91311">
        <w:rPr>
          <w:rFonts w:ascii="Arial" w:hAnsi="Arial" w:cs="Arial"/>
          <w:b/>
          <w:bCs/>
          <w:lang w:val="en-US"/>
        </w:rPr>
        <w:t>IMPROVED OUTCOMES WITH MACROLIDES BUT NOT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F91311">
        <w:rPr>
          <w:rFonts w:ascii="Arial" w:hAnsi="Arial" w:cs="Arial"/>
          <w:b/>
          <w:bCs/>
          <w:lang w:val="en-US"/>
        </w:rPr>
        <w:t>FLUOROQUINOLONES</w:t>
      </w:r>
      <w:r>
        <w:rPr>
          <w:rFonts w:ascii="Arial" w:hAnsi="Arial" w:cs="Arial"/>
          <w:b/>
          <w:bCs/>
          <w:lang w:val="en-US"/>
        </w:rPr>
        <w:t>.</w:t>
      </w:r>
      <w:proofErr w:type="gramEnd"/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 xml:space="preserve">Mark L. </w:t>
      </w:r>
      <w:proofErr w:type="spellStart"/>
      <w:r w:rsidRPr="00F91311">
        <w:rPr>
          <w:rFonts w:ascii="Arial" w:hAnsi="Arial" w:cs="Arial"/>
          <w:bCs/>
          <w:lang w:val="en-US"/>
        </w:rPr>
        <w:t>Metersky</w:t>
      </w:r>
      <w:proofErr w:type="spellEnd"/>
      <w:r w:rsidRPr="00F91311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et al.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CHEST 2007; 131:466–473</w:t>
      </w:r>
      <w:r>
        <w:rPr>
          <w:rFonts w:ascii="Arial" w:hAnsi="Arial" w:cs="Arial"/>
          <w:bCs/>
          <w:lang w:val="en-US"/>
        </w:rPr>
        <w:t>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Background: The questions of whether the use of antibiotics that are active against atypical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organisms is beneficial in the treatment of community-acquired pneumonia and of the potential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mechanisms of any beneficial effects remain unresolved. Proposed mechanisms include activity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against atypical </w:t>
      </w:r>
      <w:proofErr w:type="gramStart"/>
      <w:r w:rsidRPr="00F91311">
        <w:rPr>
          <w:rFonts w:ascii="Arial" w:hAnsi="Arial" w:cs="Arial"/>
          <w:bCs/>
          <w:lang w:val="en-US"/>
        </w:rPr>
        <w:t>organisms</w:t>
      </w:r>
      <w:proofErr w:type="gramEnd"/>
      <w:r w:rsidRPr="00F91311">
        <w:rPr>
          <w:rFonts w:ascii="Arial" w:hAnsi="Arial" w:cs="Arial"/>
          <w:bCs/>
          <w:lang w:val="en-US"/>
        </w:rPr>
        <w:t xml:space="preserve"> </w:t>
      </w:r>
      <w:proofErr w:type="spellStart"/>
      <w:r w:rsidRPr="00F91311">
        <w:rPr>
          <w:rFonts w:ascii="Arial" w:hAnsi="Arial" w:cs="Arial"/>
          <w:bCs/>
          <w:lang w:val="en-US"/>
        </w:rPr>
        <w:t>vs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the </w:t>
      </w:r>
      <w:proofErr w:type="spellStart"/>
      <w:r w:rsidRPr="00F91311">
        <w:rPr>
          <w:rFonts w:ascii="Arial" w:hAnsi="Arial" w:cs="Arial"/>
          <w:bCs/>
          <w:lang w:val="en-US"/>
        </w:rPr>
        <w:t>immunomodulatory</w:t>
      </w:r>
      <w:proofErr w:type="spellEnd"/>
      <w:r w:rsidRPr="00F91311">
        <w:rPr>
          <w:rFonts w:ascii="Arial" w:hAnsi="Arial" w:cs="Arial"/>
          <w:bCs/>
          <w:lang w:val="en-US"/>
        </w:rPr>
        <w:t xml:space="preserve"> effects of these antibiotics. The study of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outcomes of a large cohort of patients with </w:t>
      </w:r>
      <w:proofErr w:type="spellStart"/>
      <w:r w:rsidRPr="00F91311">
        <w:rPr>
          <w:rFonts w:ascii="Arial" w:hAnsi="Arial" w:cs="Arial"/>
          <w:bCs/>
          <w:lang w:val="en-US"/>
        </w:rPr>
        <w:t>bacteremic</w:t>
      </w:r>
      <w:proofErr w:type="spellEnd"/>
      <w:r w:rsidRPr="00F91311">
        <w:rPr>
          <w:rFonts w:ascii="Arial" w:hAnsi="Arial" w:cs="Arial"/>
          <w:bCs/>
          <w:lang w:val="en-US"/>
        </w:rPr>
        <w:t xml:space="preserve"> pneumonia provides a unique opportunity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to address these questions by excluding patients with primary atypical infection.</w:t>
      </w: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Methods: We reviewed data from the charts of 2,209 Medicare patients who were admitted to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hospitals across the United States from either home or a nursing facility with </w:t>
      </w:r>
      <w:proofErr w:type="spellStart"/>
      <w:r w:rsidRPr="00F91311">
        <w:rPr>
          <w:rFonts w:ascii="Arial" w:hAnsi="Arial" w:cs="Arial"/>
          <w:bCs/>
          <w:lang w:val="en-US"/>
        </w:rPr>
        <w:t>bacteremic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pneumonia between 1998 and 2001. Patients were stratified according to the type of antibiotic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treatment. Multivariate modeling was performed to </w:t>
      </w:r>
      <w:r w:rsidRPr="00F91311">
        <w:rPr>
          <w:rFonts w:ascii="Arial" w:hAnsi="Arial" w:cs="Arial"/>
          <w:bCs/>
          <w:lang w:val="en-US"/>
        </w:rPr>
        <w:lastRenderedPageBreak/>
        <w:t>assess the relationship between the class of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antibiotic used and several outcome variables.</w:t>
      </w: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Results: The initial use of any antibiotic active against atypical organisms was independently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associated with a decreased risk of 30-day mortality (odds ratio [OR], 0.76; 95% confidence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interval [CI], 0.59 to 0.98; p _ 0.03) and hospital admission within 30 days of discharge (OR, 0.67;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95% CI, 0.51 to 0.89; p _ 0.02). Further analysis revealed that the benefits of atypical treatment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were associated with the use of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but not the use of </w:t>
      </w:r>
      <w:proofErr w:type="spellStart"/>
      <w:r w:rsidRPr="00F91311">
        <w:rPr>
          <w:rFonts w:ascii="Arial" w:hAnsi="Arial" w:cs="Arial"/>
          <w:bCs/>
          <w:lang w:val="en-US"/>
        </w:rPr>
        <w:t>fluoroquinolones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or </w:t>
      </w:r>
      <w:proofErr w:type="spellStart"/>
      <w:r w:rsidRPr="00F91311">
        <w:rPr>
          <w:rFonts w:ascii="Arial" w:hAnsi="Arial" w:cs="Arial"/>
          <w:bCs/>
          <w:lang w:val="en-US"/>
        </w:rPr>
        <w:t>tetracyclines</w:t>
      </w:r>
      <w:proofErr w:type="spellEnd"/>
      <w:r w:rsidRPr="00F91311">
        <w:rPr>
          <w:rFonts w:ascii="Arial" w:hAnsi="Arial" w:cs="Arial"/>
          <w:bCs/>
          <w:lang w:val="en-US"/>
        </w:rPr>
        <w:t>,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with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conferring lower risks of in-hospital mortality (OR, 0.59; 95% CI, 0.40 to 0.88;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p _ 0.01), 30-day mortality (OR, 0.61; 95% CI, 0.43 to 0.87; p _ 0.007), and hospital readmission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within 30 days of discharge (OR, 0.59; 95% CI, 0.42 to 0.85; p _ 0.004).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 xml:space="preserve">Conclusions: Initial antibiotic treatment including a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agent is associated with improved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outcomes in Medicare patients hospitalized with </w:t>
      </w:r>
      <w:proofErr w:type="spellStart"/>
      <w:r w:rsidRPr="00F91311">
        <w:rPr>
          <w:rFonts w:ascii="Arial" w:hAnsi="Arial" w:cs="Arial"/>
          <w:bCs/>
          <w:lang w:val="en-US"/>
        </w:rPr>
        <w:t>bacteremic</w:t>
      </w:r>
      <w:proofErr w:type="spellEnd"/>
      <w:r w:rsidRPr="00F91311">
        <w:rPr>
          <w:rFonts w:ascii="Arial" w:hAnsi="Arial" w:cs="Arial"/>
          <w:bCs/>
          <w:lang w:val="en-US"/>
        </w:rPr>
        <w:t xml:space="preserve"> pneumonia. These results have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implications regarding the mechanism by which the use of a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for treatment of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pneumonia is associated with improved outcomes.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B2505B" w:rsidRDefault="00B2505B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</w:p>
    <w:p w:rsidR="00B2505B" w:rsidRDefault="00B2505B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</w:p>
    <w:p w:rsidR="00F91311" w:rsidRP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proofErr w:type="gramStart"/>
      <w:r w:rsidRPr="00F91311">
        <w:rPr>
          <w:rFonts w:ascii="Arial" w:hAnsi="Arial" w:cs="Arial"/>
          <w:b/>
          <w:bCs/>
          <w:lang w:val="en-US"/>
        </w:rPr>
        <w:t>ANTI-INFLAMMATORY EFFECTS OF MACROLIDES—AN UNDERAPPRECIATED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F91311">
        <w:rPr>
          <w:rFonts w:ascii="Arial" w:hAnsi="Arial" w:cs="Arial"/>
          <w:b/>
          <w:bCs/>
          <w:lang w:val="en-US"/>
        </w:rPr>
        <w:t>BENEFIT IN THE TREATMENT OF COMMUNITY-ACQUIRED RESPIRATORY TRACT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F91311">
        <w:rPr>
          <w:rFonts w:ascii="Arial" w:hAnsi="Arial" w:cs="Arial"/>
          <w:b/>
          <w:bCs/>
          <w:lang w:val="en-US"/>
        </w:rPr>
        <w:t>INFECTIONS AND CHRONIC INFLAMMATORY PULMONARY CONDITIONS?</w:t>
      </w:r>
      <w:proofErr w:type="gramEnd"/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 xml:space="preserve">G. W. </w:t>
      </w:r>
      <w:proofErr w:type="spellStart"/>
      <w:r w:rsidRPr="00F91311">
        <w:rPr>
          <w:rFonts w:ascii="Arial" w:hAnsi="Arial" w:cs="Arial"/>
          <w:bCs/>
          <w:lang w:val="en-US"/>
        </w:rPr>
        <w:t>Amsden</w:t>
      </w:r>
      <w:proofErr w:type="spellEnd"/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>Journal of Antimicrobial Chemotherapy (2005) 55, 10–21</w:t>
      </w: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p w:rsidR="00F91311" w:rsidRDefault="00F91311" w:rsidP="00F91311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  <w:r w:rsidRPr="00F91311">
        <w:rPr>
          <w:rFonts w:ascii="Arial" w:hAnsi="Arial" w:cs="Arial"/>
          <w:bCs/>
          <w:lang w:val="en-US"/>
        </w:rPr>
        <w:t xml:space="preserve">Background: It has been recognized for more than 20 years that the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have </w:t>
      </w:r>
      <w:proofErr w:type="spellStart"/>
      <w:r w:rsidRPr="00F91311">
        <w:rPr>
          <w:rFonts w:ascii="Arial" w:hAnsi="Arial" w:cs="Arial"/>
          <w:bCs/>
          <w:lang w:val="en-US"/>
        </w:rPr>
        <w:t>immunomodulatory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effects that are beneficial for those suffering from chronic pulmonary inflammatory syndromes,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such as diffuse </w:t>
      </w:r>
      <w:proofErr w:type="spellStart"/>
      <w:r w:rsidRPr="00F91311">
        <w:rPr>
          <w:rFonts w:ascii="Arial" w:hAnsi="Arial" w:cs="Arial"/>
          <w:bCs/>
          <w:lang w:val="en-US"/>
        </w:rPr>
        <w:t>panbronchiolitis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cystic fibrosis, asthma and </w:t>
      </w:r>
      <w:proofErr w:type="spellStart"/>
      <w:r w:rsidRPr="00F91311">
        <w:rPr>
          <w:rFonts w:ascii="Arial" w:hAnsi="Arial" w:cs="Arial"/>
          <w:bCs/>
          <w:lang w:val="en-US"/>
        </w:rPr>
        <w:t>bronchiectasis</w:t>
      </w:r>
      <w:proofErr w:type="spellEnd"/>
      <w:r w:rsidRPr="00F91311">
        <w:rPr>
          <w:rFonts w:ascii="Arial" w:hAnsi="Arial" w:cs="Arial"/>
          <w:bCs/>
          <w:lang w:val="en-US"/>
        </w:rPr>
        <w:t xml:space="preserve">. The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have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consistently been associated with decreased length of stay and mortality when used alone or in combination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with b-</w:t>
      </w:r>
      <w:proofErr w:type="spellStart"/>
      <w:r w:rsidRPr="00F91311">
        <w:rPr>
          <w:rFonts w:ascii="Arial" w:hAnsi="Arial" w:cs="Arial"/>
          <w:bCs/>
          <w:lang w:val="en-US"/>
        </w:rPr>
        <w:t>lactam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antibiotics. This effect can be demonstrated against combinations </w:t>
      </w:r>
      <w:proofErr w:type="gramStart"/>
      <w:r w:rsidRPr="00F91311">
        <w:rPr>
          <w:rFonts w:ascii="Arial" w:hAnsi="Arial" w:cs="Arial"/>
          <w:bCs/>
          <w:lang w:val="en-US"/>
        </w:rPr>
        <w:t xml:space="preserve">consisting </w:t>
      </w:r>
      <w:r>
        <w:rPr>
          <w:rFonts w:ascii="Arial" w:hAnsi="Arial" w:cs="Arial"/>
          <w:bCs/>
          <w:lang w:val="en-US"/>
        </w:rPr>
        <w:t xml:space="preserve"> o</w:t>
      </w:r>
      <w:r w:rsidRPr="00F91311">
        <w:rPr>
          <w:rFonts w:ascii="Arial" w:hAnsi="Arial" w:cs="Arial"/>
          <w:bCs/>
          <w:lang w:val="en-US"/>
        </w:rPr>
        <w:t>f</w:t>
      </w:r>
      <w:proofErr w:type="gram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b-</w:t>
      </w:r>
      <w:proofErr w:type="spellStart"/>
      <w:r w:rsidRPr="00F91311">
        <w:rPr>
          <w:rFonts w:ascii="Arial" w:hAnsi="Arial" w:cs="Arial"/>
          <w:bCs/>
          <w:lang w:val="en-US"/>
        </w:rPr>
        <w:t>lactams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and other antibiotics active against ‘atypical chest pathogens’ when treating </w:t>
      </w:r>
      <w:proofErr w:type="spellStart"/>
      <w:r w:rsidRPr="00F91311">
        <w:rPr>
          <w:rFonts w:ascii="Arial" w:hAnsi="Arial" w:cs="Arial"/>
          <w:bCs/>
          <w:lang w:val="en-US"/>
        </w:rPr>
        <w:t>communityacquired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pneumonia (CAP) in hospitalized patients. As such, it appears that the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>’ effects in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CAP patients are more than just antibacterial in nature.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Aims of this review: This review aims: to give the reader information on the background areas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described, as well as related areas; to review the CAP benefits with </w:t>
      </w:r>
      <w:proofErr w:type="spellStart"/>
      <w:r w:rsidRPr="00F91311">
        <w:rPr>
          <w:rFonts w:ascii="Arial" w:hAnsi="Arial" w:cs="Arial"/>
          <w:bCs/>
          <w:lang w:val="en-US"/>
        </w:rPr>
        <w:t>macrolides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and how they may be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related to the </w:t>
      </w:r>
      <w:proofErr w:type="spellStart"/>
      <w:r w:rsidRPr="00F91311">
        <w:rPr>
          <w:rFonts w:ascii="Arial" w:hAnsi="Arial" w:cs="Arial"/>
          <w:bCs/>
          <w:lang w:val="en-US"/>
        </w:rPr>
        <w:t>immunomodulatory</w:t>
      </w:r>
      <w:proofErr w:type="spellEnd"/>
      <w:r w:rsidRPr="00F91311">
        <w:rPr>
          <w:rFonts w:ascii="Arial" w:hAnsi="Arial" w:cs="Arial"/>
          <w:bCs/>
          <w:lang w:val="en-US"/>
        </w:rPr>
        <w:t xml:space="preserve"> properties they demonstrate, albeit in a shorter period of time than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previously demonstrated with chronic pulmonary disorders; to use ex vivo data to support these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extrapolations.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Literature search: A literature search using Medline was conducted from 1966 </w:t>
      </w:r>
      <w:r w:rsidRPr="00F91311">
        <w:rPr>
          <w:rFonts w:ascii="Arial" w:hAnsi="Arial" w:cs="Arial"/>
          <w:bCs/>
          <w:lang w:val="en-US"/>
        </w:rPr>
        <w:lastRenderedPageBreak/>
        <w:t>onwards, searching for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articles with relevant key words such as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diffuse </w:t>
      </w:r>
      <w:proofErr w:type="spellStart"/>
      <w:r w:rsidRPr="00F91311">
        <w:rPr>
          <w:rFonts w:ascii="Arial" w:hAnsi="Arial" w:cs="Arial"/>
          <w:bCs/>
          <w:lang w:val="en-US"/>
        </w:rPr>
        <w:t>panbronchiolitis</w:t>
      </w:r>
      <w:proofErr w:type="spellEnd"/>
      <w:r w:rsidRPr="00F91311">
        <w:rPr>
          <w:rFonts w:ascii="Arial" w:hAnsi="Arial" w:cs="Arial"/>
          <w:bCs/>
          <w:lang w:val="en-US"/>
        </w:rPr>
        <w:t>, community-acquired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pneumonia, </w:t>
      </w:r>
      <w:proofErr w:type="spellStart"/>
      <w:r w:rsidRPr="00F91311">
        <w:rPr>
          <w:rFonts w:ascii="Arial" w:hAnsi="Arial" w:cs="Arial"/>
          <w:bCs/>
          <w:lang w:val="en-US"/>
        </w:rPr>
        <w:t>biofilm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</w:t>
      </w:r>
      <w:proofErr w:type="spellStart"/>
      <w:r w:rsidRPr="00F91311">
        <w:rPr>
          <w:rFonts w:ascii="Arial" w:hAnsi="Arial" w:cs="Arial"/>
          <w:bCs/>
          <w:lang w:val="en-US"/>
        </w:rPr>
        <w:t>immunomodulation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cystic fibrosis, erythromycin, </w:t>
      </w:r>
      <w:proofErr w:type="spellStart"/>
      <w:r w:rsidRPr="00F91311">
        <w:rPr>
          <w:rFonts w:ascii="Arial" w:hAnsi="Arial" w:cs="Arial"/>
          <w:bCs/>
          <w:lang w:val="en-US"/>
        </w:rPr>
        <w:t>clarithromycin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</w:t>
      </w:r>
      <w:proofErr w:type="spellStart"/>
      <w:r w:rsidRPr="00F91311">
        <w:rPr>
          <w:rFonts w:ascii="Arial" w:hAnsi="Arial" w:cs="Arial"/>
          <w:bCs/>
          <w:lang w:val="en-US"/>
        </w:rPr>
        <w:t>roxithromycin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and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, </w:t>
      </w:r>
      <w:proofErr w:type="spellStart"/>
      <w:r w:rsidRPr="00F91311">
        <w:rPr>
          <w:rFonts w:ascii="Arial" w:hAnsi="Arial" w:cs="Arial"/>
          <w:bCs/>
          <w:lang w:val="en-US"/>
        </w:rPr>
        <w:t>bronchiectasis</w:t>
      </w:r>
      <w:proofErr w:type="spellEnd"/>
      <w:r w:rsidRPr="00F91311">
        <w:rPr>
          <w:rFonts w:ascii="Arial" w:hAnsi="Arial" w:cs="Arial"/>
          <w:bCs/>
          <w:lang w:val="en-US"/>
        </w:rPr>
        <w:t xml:space="preserve"> and asthma. When appropriate, additional references were found</w:t>
      </w:r>
      <w:r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from the bibliographies of identified papers of interest. Any relevant scientific conference </w:t>
      </w:r>
      <w:r w:rsidR="00D91C00">
        <w:rPr>
          <w:rFonts w:ascii="Arial" w:hAnsi="Arial" w:cs="Arial"/>
          <w:bCs/>
          <w:lang w:val="en-US"/>
        </w:rPr>
        <w:t>p</w:t>
      </w:r>
      <w:r w:rsidRPr="00F91311">
        <w:rPr>
          <w:rFonts w:ascii="Arial" w:hAnsi="Arial" w:cs="Arial"/>
          <w:bCs/>
          <w:lang w:val="en-US"/>
        </w:rPr>
        <w:t>roceedings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or medical texts were checked when necessary.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Conclusions: (1) Research into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</w:t>
      </w:r>
      <w:proofErr w:type="spellStart"/>
      <w:r w:rsidRPr="00F91311">
        <w:rPr>
          <w:rFonts w:ascii="Arial" w:hAnsi="Arial" w:cs="Arial"/>
          <w:bCs/>
          <w:lang w:val="en-US"/>
        </w:rPr>
        <w:t>immunomodulation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for chronic pulmonary disorders demonstrates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consistent positive effects, although of types other than seen with diffuse </w:t>
      </w:r>
      <w:proofErr w:type="spellStart"/>
      <w:r w:rsidRPr="00F91311">
        <w:rPr>
          <w:rFonts w:ascii="Arial" w:hAnsi="Arial" w:cs="Arial"/>
          <w:bCs/>
          <w:lang w:val="en-US"/>
        </w:rPr>
        <w:t>panbronchiolitis</w:t>
      </w:r>
      <w:proofErr w:type="spellEnd"/>
      <w:r w:rsidRPr="00F91311">
        <w:rPr>
          <w:rFonts w:ascii="Arial" w:hAnsi="Arial" w:cs="Arial"/>
          <w:bCs/>
          <w:lang w:val="en-US"/>
        </w:rPr>
        <w:t>.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These effects, together with their inhibitory activity on </w:t>
      </w:r>
      <w:proofErr w:type="spellStart"/>
      <w:r w:rsidRPr="00F91311">
        <w:rPr>
          <w:rFonts w:ascii="Arial" w:hAnsi="Arial" w:cs="Arial"/>
          <w:bCs/>
          <w:lang w:val="en-US"/>
        </w:rPr>
        <w:t>biofilms</w:t>
      </w:r>
      <w:proofErr w:type="spellEnd"/>
      <w:r w:rsidRPr="00F91311">
        <w:rPr>
          <w:rFonts w:ascii="Arial" w:hAnsi="Arial" w:cs="Arial"/>
          <w:bCs/>
          <w:lang w:val="en-US"/>
        </w:rPr>
        <w:t>, have the potential to make them a useful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option. (2) The benefits for CAP are consistent, and higher when a </w:t>
      </w:r>
      <w:proofErr w:type="spellStart"/>
      <w:r w:rsidRPr="00F91311">
        <w:rPr>
          <w:rFonts w:ascii="Arial" w:hAnsi="Arial" w:cs="Arial"/>
          <w:bCs/>
          <w:lang w:val="en-US"/>
        </w:rPr>
        <w:t>macrolide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is given with another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atypical agent than if the other atypical agent is given alone, suggesting a non-antibacterial benefit. (3)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Recent research of the </w:t>
      </w:r>
      <w:proofErr w:type="spellStart"/>
      <w:r w:rsidRPr="00F91311">
        <w:rPr>
          <w:rFonts w:ascii="Arial" w:hAnsi="Arial" w:cs="Arial"/>
          <w:bCs/>
          <w:lang w:val="en-US"/>
        </w:rPr>
        <w:t>immunomodulatory</w:t>
      </w:r>
      <w:proofErr w:type="spellEnd"/>
      <w:r w:rsidRPr="00F91311">
        <w:rPr>
          <w:rFonts w:ascii="Arial" w:hAnsi="Arial" w:cs="Arial"/>
          <w:bCs/>
          <w:lang w:val="en-US"/>
        </w:rPr>
        <w:t xml:space="preserve"> properties of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</w:t>
      </w:r>
      <w:proofErr w:type="gramStart"/>
      <w:r w:rsidRPr="00F91311">
        <w:rPr>
          <w:rFonts w:ascii="Arial" w:hAnsi="Arial" w:cs="Arial"/>
          <w:bCs/>
          <w:lang w:val="en-US"/>
        </w:rPr>
        <w:t>imply</w:t>
      </w:r>
      <w:proofErr w:type="gramEnd"/>
      <w:r w:rsidRPr="00F91311">
        <w:rPr>
          <w:rFonts w:ascii="Arial" w:hAnsi="Arial" w:cs="Arial"/>
          <w:bCs/>
          <w:lang w:val="en-US"/>
        </w:rPr>
        <w:t xml:space="preserve"> that </w:t>
      </w:r>
      <w:proofErr w:type="spellStart"/>
      <w:r w:rsidRPr="00F91311">
        <w:rPr>
          <w:rFonts w:ascii="Arial" w:hAnsi="Arial" w:cs="Arial"/>
          <w:bCs/>
          <w:lang w:val="en-US"/>
        </w:rPr>
        <w:t>azithromycin</w:t>
      </w:r>
      <w:proofErr w:type="spellEnd"/>
      <w:r w:rsidRPr="00F91311">
        <w:rPr>
          <w:rFonts w:ascii="Arial" w:hAnsi="Arial" w:cs="Arial"/>
          <w:bCs/>
          <w:lang w:val="en-US"/>
        </w:rPr>
        <w:t xml:space="preserve"> may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have a previously unknown short-term biphasic effect on inflammation modulation: enhancement of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 xml:space="preserve">host </w:t>
      </w:r>
      <w:proofErr w:type="spellStart"/>
      <w:r w:rsidRPr="00F91311">
        <w:rPr>
          <w:rFonts w:ascii="Arial" w:hAnsi="Arial" w:cs="Arial"/>
          <w:bCs/>
          <w:lang w:val="en-US"/>
        </w:rPr>
        <w:t>defence</w:t>
      </w:r>
      <w:proofErr w:type="spellEnd"/>
      <w:r w:rsidRPr="00F91311">
        <w:rPr>
          <w:rFonts w:ascii="Arial" w:hAnsi="Arial" w:cs="Arial"/>
          <w:bCs/>
          <w:lang w:val="en-US"/>
        </w:rPr>
        <w:t xml:space="preserve"> mechanisms shortly after initial administration followed by curtailment of local infection/inflammation in the following period. (4) Additional in vivo research is needed prior to developing</w:t>
      </w:r>
      <w:r w:rsidR="00D91C00">
        <w:rPr>
          <w:rFonts w:ascii="Arial" w:hAnsi="Arial" w:cs="Arial"/>
          <w:bCs/>
          <w:lang w:val="en-US"/>
        </w:rPr>
        <w:t xml:space="preserve"> </w:t>
      </w:r>
      <w:r w:rsidRPr="00F91311">
        <w:rPr>
          <w:rFonts w:ascii="Arial" w:hAnsi="Arial" w:cs="Arial"/>
          <w:bCs/>
          <w:lang w:val="en-US"/>
        </w:rPr>
        <w:t>any firm conclusions.</w:t>
      </w: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0259C5" w:rsidRPr="00A019DE" w:rsidRDefault="000259C5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  <w:r w:rsidRPr="00A019DE">
        <w:rPr>
          <w:rFonts w:ascii="Arial" w:hAnsi="Arial" w:cs="Arial"/>
          <w:b/>
          <w:sz w:val="28"/>
          <w:lang w:val="en-US"/>
        </w:rPr>
        <w:t>ZYVOX</w:t>
      </w:r>
      <w:r w:rsidRPr="00A019DE">
        <w:rPr>
          <w:rFonts w:ascii="Calibri" w:hAnsi="Calibri" w:cs="Arial"/>
          <w:b/>
          <w:sz w:val="28"/>
          <w:lang w:val="en-US"/>
        </w:rPr>
        <w:t>®</w:t>
      </w:r>
      <w:r w:rsidRPr="00A019DE">
        <w:rPr>
          <w:rFonts w:ascii="Arial" w:hAnsi="Arial" w:cs="Arial"/>
          <w:b/>
          <w:sz w:val="28"/>
          <w:lang w:val="en-US"/>
        </w:rPr>
        <w:t xml:space="preserve"> (LINEZOLIDA)</w:t>
      </w: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rPr>
          <w:rFonts w:ascii="Arial" w:hAnsi="Arial" w:cs="Arial"/>
          <w:b/>
          <w:sz w:val="28"/>
          <w:lang w:val="en-US"/>
        </w:rPr>
      </w:pP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B2505B">
        <w:rPr>
          <w:rFonts w:ascii="Arial" w:hAnsi="Arial" w:cs="Arial"/>
          <w:b/>
          <w:color w:val="000000" w:themeColor="text1"/>
          <w:lang w:val="en-US"/>
        </w:rPr>
        <w:t>LINEZOLID IN METHICILLIN-RESISTANT STAPHYLOCOCCUS AUREUS NOSOCOMIAL PNEUMONIA: A RANDOMIZED, CONTROLLED STUDY</w:t>
      </w:r>
    </w:p>
    <w:p w:rsidR="00B2505B" w:rsidRPr="00B2505B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  <w:r w:rsidRPr="00B2505B">
        <w:rPr>
          <w:rFonts w:ascii="Arial" w:hAnsi="Arial" w:cs="Arial"/>
          <w:lang w:val="en-US"/>
        </w:rPr>
        <w:t xml:space="preserve">Richard G. </w:t>
      </w:r>
      <w:proofErr w:type="spellStart"/>
      <w:r w:rsidRPr="00B2505B">
        <w:rPr>
          <w:rFonts w:ascii="Arial" w:hAnsi="Arial" w:cs="Arial"/>
          <w:lang w:val="en-US"/>
        </w:rPr>
        <w:t>Wunderink</w:t>
      </w:r>
      <w:proofErr w:type="spellEnd"/>
      <w:r w:rsidR="00A019DE">
        <w:rPr>
          <w:rFonts w:ascii="Arial" w:hAnsi="Arial" w:cs="Arial"/>
          <w:lang w:val="en-US"/>
        </w:rPr>
        <w:t xml:space="preserve"> et al</w:t>
      </w: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  <w:r w:rsidRPr="00A019DE">
        <w:rPr>
          <w:rFonts w:ascii="Arial" w:hAnsi="Arial" w:cs="Arial"/>
          <w:lang w:val="en-US"/>
        </w:rPr>
        <w:t>Clinical Infectious Diseases 2012</w:t>
      </w:r>
      <w:proofErr w:type="gramStart"/>
      <w:r w:rsidRPr="00A019DE">
        <w:rPr>
          <w:rFonts w:ascii="Arial" w:hAnsi="Arial" w:cs="Arial"/>
          <w:lang w:val="en-US"/>
        </w:rPr>
        <w:t>;54</w:t>
      </w:r>
      <w:proofErr w:type="gramEnd"/>
      <w:r w:rsidRPr="00A019DE">
        <w:rPr>
          <w:rFonts w:ascii="Arial" w:hAnsi="Arial" w:cs="Arial"/>
          <w:lang w:val="en-US"/>
        </w:rPr>
        <w:t>(5):621–9</w:t>
      </w: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gramStart"/>
      <w:r w:rsidRPr="00B2505B">
        <w:rPr>
          <w:rFonts w:ascii="Arial" w:hAnsi="Arial" w:cs="Arial"/>
          <w:lang w:val="en-US"/>
        </w:rPr>
        <w:t>Background.</w:t>
      </w:r>
      <w:proofErr w:type="gramEnd"/>
      <w:r w:rsidRPr="00B2505B">
        <w:rPr>
          <w:rFonts w:ascii="Arial" w:hAnsi="Arial" w:cs="Arial"/>
          <w:lang w:val="en-US"/>
        </w:rPr>
        <w:t xml:space="preserve"> Post hoc analyses of clinical trial data suggested that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may be more effective than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for treatment of </w:t>
      </w:r>
      <w:proofErr w:type="spellStart"/>
      <w:r w:rsidRPr="00B2505B">
        <w:rPr>
          <w:rFonts w:ascii="Arial" w:hAnsi="Arial" w:cs="Arial"/>
          <w:lang w:val="en-US"/>
        </w:rPr>
        <w:t>methicillin</w:t>
      </w:r>
      <w:proofErr w:type="spellEnd"/>
      <w:r w:rsidRPr="00B2505B">
        <w:rPr>
          <w:rFonts w:ascii="Arial" w:hAnsi="Arial" w:cs="Arial"/>
          <w:lang w:val="en-US"/>
        </w:rPr>
        <w:t xml:space="preserve">-resistant Staphylococcus </w:t>
      </w:r>
      <w:proofErr w:type="spellStart"/>
      <w:r w:rsidRPr="00B2505B">
        <w:rPr>
          <w:rFonts w:ascii="Arial" w:hAnsi="Arial" w:cs="Arial"/>
          <w:lang w:val="en-US"/>
        </w:rPr>
        <w:t>aureus</w:t>
      </w:r>
      <w:proofErr w:type="spellEnd"/>
      <w:r w:rsidRPr="00B2505B">
        <w:rPr>
          <w:rFonts w:ascii="Arial" w:hAnsi="Arial" w:cs="Arial"/>
          <w:lang w:val="en-US"/>
        </w:rPr>
        <w:t xml:space="preserve"> (MRSA) </w:t>
      </w:r>
      <w:proofErr w:type="spellStart"/>
      <w:r w:rsidRPr="00B2505B">
        <w:rPr>
          <w:rFonts w:ascii="Arial" w:hAnsi="Arial" w:cs="Arial"/>
          <w:lang w:val="en-US"/>
        </w:rPr>
        <w:t>nosocomial</w:t>
      </w:r>
      <w:proofErr w:type="spellEnd"/>
      <w:r w:rsidRPr="00B2505B">
        <w:rPr>
          <w:rFonts w:ascii="Arial" w:hAnsi="Arial" w:cs="Arial"/>
          <w:lang w:val="en-US"/>
        </w:rPr>
        <w:t xml:space="preserve"> pneumonia. This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study prospectively assessed efficacy and safety of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, compared with a dose-optimized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regimen,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for treatment of MRSA </w:t>
      </w:r>
      <w:proofErr w:type="spellStart"/>
      <w:r w:rsidRPr="00B2505B">
        <w:rPr>
          <w:rFonts w:ascii="Arial" w:hAnsi="Arial" w:cs="Arial"/>
          <w:lang w:val="en-US"/>
        </w:rPr>
        <w:t>nosocomial</w:t>
      </w:r>
      <w:proofErr w:type="spellEnd"/>
      <w:r w:rsidRPr="00B2505B">
        <w:rPr>
          <w:rFonts w:ascii="Arial" w:hAnsi="Arial" w:cs="Arial"/>
          <w:lang w:val="en-US"/>
        </w:rPr>
        <w:t xml:space="preserve"> pneumonia.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gramStart"/>
      <w:r w:rsidRPr="00B2505B">
        <w:rPr>
          <w:rFonts w:ascii="Arial" w:hAnsi="Arial" w:cs="Arial"/>
          <w:lang w:val="en-US"/>
        </w:rPr>
        <w:t>Methods.</w:t>
      </w:r>
      <w:proofErr w:type="gramEnd"/>
      <w:r w:rsidRPr="00B2505B">
        <w:rPr>
          <w:rFonts w:ascii="Arial" w:hAnsi="Arial" w:cs="Arial"/>
          <w:lang w:val="en-US"/>
        </w:rPr>
        <w:t xml:space="preserve"> This was a prospective, double-blind, controlled, multicenter trial involving hospitalized adult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patients with hospital-acquired or healthcare–associated MRSA pneumonia. Patients were randomized to receive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intravenous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(600 mg every 12 hours) or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(15 mg/kg every 12 hours) for 7–14 days.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dose was adjusted on the basis of trough levels. The primary end point was clinical outcome at end of study (EOS) in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evaluable per-protocol (PP) patients. </w:t>
      </w:r>
      <w:proofErr w:type="spellStart"/>
      <w:r w:rsidRPr="00B2505B">
        <w:rPr>
          <w:rFonts w:ascii="Arial" w:hAnsi="Arial" w:cs="Arial"/>
          <w:lang w:val="en-US"/>
        </w:rPr>
        <w:t>Prespecified</w:t>
      </w:r>
      <w:proofErr w:type="spellEnd"/>
      <w:r w:rsidRPr="00B2505B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lastRenderedPageBreak/>
        <w:t xml:space="preserve">secondary end points included response in the modified </w:t>
      </w:r>
      <w:proofErr w:type="spellStart"/>
      <w:r w:rsidRPr="00B2505B">
        <w:rPr>
          <w:rFonts w:ascii="Arial" w:hAnsi="Arial" w:cs="Arial"/>
          <w:lang w:val="en-US"/>
        </w:rPr>
        <w:t>intentto</w:t>
      </w:r>
      <w:proofErr w:type="spellEnd"/>
      <w:r w:rsidRPr="00B2505B">
        <w:rPr>
          <w:rFonts w:ascii="Arial" w:hAnsi="Arial" w:cs="Arial"/>
          <w:lang w:val="en-US"/>
        </w:rPr>
        <w:t>-treat (</w:t>
      </w:r>
      <w:proofErr w:type="spellStart"/>
      <w:r w:rsidRPr="00B2505B">
        <w:rPr>
          <w:rFonts w:ascii="Arial" w:hAnsi="Arial" w:cs="Arial"/>
          <w:lang w:val="en-US"/>
        </w:rPr>
        <w:t>mITT</w:t>
      </w:r>
      <w:proofErr w:type="spellEnd"/>
      <w:r w:rsidRPr="00B2505B">
        <w:rPr>
          <w:rFonts w:ascii="Arial" w:hAnsi="Arial" w:cs="Arial"/>
          <w:lang w:val="en-US"/>
        </w:rPr>
        <w:t>) population at end of treatment (EOT) and EOS and microbiologic response in the PP and Mitt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populations at EOT and EOS. Survival and safety were also evaluated.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gramStart"/>
      <w:r w:rsidRPr="00B2505B">
        <w:rPr>
          <w:rFonts w:ascii="Arial" w:hAnsi="Arial" w:cs="Arial"/>
          <w:lang w:val="en-US"/>
        </w:rPr>
        <w:t>Results.</w:t>
      </w:r>
      <w:proofErr w:type="gramEnd"/>
      <w:r w:rsidRPr="00B2505B">
        <w:rPr>
          <w:rFonts w:ascii="Arial" w:hAnsi="Arial" w:cs="Arial"/>
          <w:lang w:val="en-US"/>
        </w:rPr>
        <w:t xml:space="preserve"> Of 1184 patients treated, 448 (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, n 5 224;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, n 5 224) were included in the </w:t>
      </w:r>
      <w:proofErr w:type="spellStart"/>
      <w:r w:rsidRPr="00B2505B">
        <w:rPr>
          <w:rFonts w:ascii="Arial" w:hAnsi="Arial" w:cs="Arial"/>
          <w:lang w:val="en-US"/>
        </w:rPr>
        <w:t>mITT</w:t>
      </w:r>
      <w:proofErr w:type="spellEnd"/>
      <w:r w:rsidRPr="00B2505B"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348 (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, n5172;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, n5176) in the PP population. In the PP population, 95 (57.6%) of 165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>
        <w:rPr>
          <w:rFonts w:ascii="Arial" w:hAnsi="Arial" w:cs="Arial"/>
          <w:lang w:val="en-US"/>
        </w:rPr>
        <w:t>-</w:t>
      </w:r>
      <w:r w:rsidRPr="00B2505B">
        <w:rPr>
          <w:rFonts w:ascii="Arial" w:hAnsi="Arial" w:cs="Arial"/>
          <w:lang w:val="en-US"/>
        </w:rPr>
        <w:t>treated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patients and 81 (46.6%) of 174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>-treated patients achieved clinical success at EOS (95% confidence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interval for difference, 0.5%–21.6%; P 5 .042). All-cause 60-day mortality was similar (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, 15.7%;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17.0%), as was incidence of adverse events. </w:t>
      </w:r>
      <w:proofErr w:type="spellStart"/>
      <w:r w:rsidRPr="00B2505B">
        <w:rPr>
          <w:rFonts w:ascii="Arial" w:hAnsi="Arial" w:cs="Arial"/>
          <w:lang w:val="en-US"/>
        </w:rPr>
        <w:t>Nephrotoxicity</w:t>
      </w:r>
      <w:proofErr w:type="spellEnd"/>
      <w:r w:rsidRPr="00B2505B">
        <w:rPr>
          <w:rFonts w:ascii="Arial" w:hAnsi="Arial" w:cs="Arial"/>
          <w:lang w:val="en-US"/>
        </w:rPr>
        <w:t xml:space="preserve"> occurred more frequently with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(18.2%;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>, 8.4%).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gramStart"/>
      <w:r w:rsidRPr="00B2505B">
        <w:rPr>
          <w:rFonts w:ascii="Arial" w:hAnsi="Arial" w:cs="Arial"/>
          <w:lang w:val="en-US"/>
        </w:rPr>
        <w:t>Conclusions.</w:t>
      </w:r>
      <w:proofErr w:type="gramEnd"/>
      <w:r w:rsidRPr="00B2505B">
        <w:rPr>
          <w:rFonts w:ascii="Arial" w:hAnsi="Arial" w:cs="Arial"/>
          <w:lang w:val="en-US"/>
        </w:rPr>
        <w:t xml:space="preserve"> For the treatment of MRSA </w:t>
      </w:r>
      <w:proofErr w:type="spellStart"/>
      <w:r w:rsidRPr="00B2505B">
        <w:rPr>
          <w:rFonts w:ascii="Arial" w:hAnsi="Arial" w:cs="Arial"/>
          <w:lang w:val="en-US"/>
        </w:rPr>
        <w:t>nosocomial</w:t>
      </w:r>
      <w:proofErr w:type="spellEnd"/>
      <w:r w:rsidRPr="00B2505B">
        <w:rPr>
          <w:rFonts w:ascii="Arial" w:hAnsi="Arial" w:cs="Arial"/>
          <w:lang w:val="en-US"/>
        </w:rPr>
        <w:t xml:space="preserve"> pneumonia, clinical response at EOS in the PP</w:t>
      </w:r>
      <w:r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population was significantly higher with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than with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>, although 60-day mortality was similar.</w:t>
      </w:r>
    </w:p>
    <w:p w:rsidR="00B2505B" w:rsidRPr="00B2505B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</w:p>
    <w:p w:rsidR="000259C5" w:rsidRDefault="000259C5" w:rsidP="00B2505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231F20"/>
          <w:lang w:val="en-US"/>
        </w:rPr>
      </w:pPr>
    </w:p>
    <w:p w:rsidR="000259C5" w:rsidRDefault="000259C5" w:rsidP="00B2505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231F20"/>
          <w:lang w:val="en-US"/>
        </w:rPr>
      </w:pP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  <w:iCs/>
          <w:color w:val="231F20"/>
          <w:lang w:val="en-US"/>
        </w:rPr>
      </w:pPr>
      <w:r w:rsidRPr="00B2505B">
        <w:rPr>
          <w:rFonts w:ascii="Arial" w:hAnsi="Arial" w:cs="Arial"/>
          <w:b/>
          <w:bCs/>
          <w:color w:val="231F20"/>
          <w:lang w:val="en-US"/>
        </w:rPr>
        <w:t>EFFICACY AND SAFETY OF LINEZOLID VERSUS VANCOMYCIN FOR THE</w:t>
      </w:r>
      <w:r>
        <w:rPr>
          <w:rFonts w:ascii="Arial" w:hAnsi="Arial" w:cs="Arial"/>
          <w:b/>
          <w:bCs/>
          <w:color w:val="231F20"/>
          <w:lang w:val="en-US"/>
        </w:rPr>
        <w:t xml:space="preserve"> </w:t>
      </w:r>
      <w:r w:rsidRPr="00B2505B">
        <w:rPr>
          <w:rFonts w:ascii="Arial" w:hAnsi="Arial" w:cs="Arial"/>
          <w:b/>
          <w:bCs/>
          <w:color w:val="231F20"/>
          <w:lang w:val="en-US"/>
        </w:rPr>
        <w:t>TREATMENT OF COMPLICATED SKIN AND SOFT-TISSUE INFECTIONS PROVEN</w:t>
      </w:r>
      <w:r>
        <w:rPr>
          <w:rFonts w:ascii="Arial" w:hAnsi="Arial" w:cs="Arial"/>
          <w:b/>
          <w:bCs/>
          <w:color w:val="231F20"/>
          <w:lang w:val="en-US"/>
        </w:rPr>
        <w:t xml:space="preserve"> </w:t>
      </w:r>
      <w:r w:rsidRPr="00B2505B">
        <w:rPr>
          <w:rFonts w:ascii="Arial" w:hAnsi="Arial" w:cs="Arial"/>
          <w:b/>
          <w:bCs/>
          <w:color w:val="231F20"/>
          <w:lang w:val="en-US"/>
        </w:rPr>
        <w:t xml:space="preserve">TO BE CAUSED BY METHICILLIN-RESISTANT </w:t>
      </w:r>
      <w:r w:rsidRPr="00B2505B">
        <w:rPr>
          <w:rFonts w:ascii="Arial" w:hAnsi="Arial" w:cs="Arial"/>
          <w:b/>
          <w:bCs/>
          <w:i/>
          <w:iCs/>
          <w:color w:val="231F20"/>
          <w:lang w:val="en-US"/>
        </w:rPr>
        <w:t>STAPHYLOCOCCUS AUREUS</w:t>
      </w:r>
    </w:p>
    <w:p w:rsidR="00B2505B" w:rsidRPr="00A019DE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bCs/>
          <w:color w:val="231F20"/>
          <w:lang w:val="en-US"/>
        </w:rPr>
      </w:pPr>
      <w:proofErr w:type="spellStart"/>
      <w:r w:rsidRPr="00A019DE">
        <w:rPr>
          <w:rFonts w:ascii="Arial" w:hAnsi="Arial" w:cs="Arial"/>
          <w:bCs/>
          <w:color w:val="231F20"/>
          <w:lang w:val="en-US"/>
        </w:rPr>
        <w:t>Kamal</w:t>
      </w:r>
      <w:proofErr w:type="spellEnd"/>
      <w:r w:rsidRPr="00A019DE">
        <w:rPr>
          <w:rFonts w:ascii="Arial" w:hAnsi="Arial" w:cs="Arial"/>
          <w:bCs/>
          <w:color w:val="231F20"/>
          <w:lang w:val="en-US"/>
        </w:rPr>
        <w:t xml:space="preserve"> M.F. </w:t>
      </w:r>
      <w:proofErr w:type="spellStart"/>
      <w:r w:rsidRPr="00A019DE">
        <w:rPr>
          <w:rFonts w:ascii="Arial" w:hAnsi="Arial" w:cs="Arial"/>
          <w:bCs/>
          <w:color w:val="231F20"/>
          <w:lang w:val="en-US"/>
        </w:rPr>
        <w:t>Itani</w:t>
      </w:r>
      <w:proofErr w:type="spellEnd"/>
      <w:r w:rsidR="00A019DE">
        <w:rPr>
          <w:rFonts w:ascii="Arial" w:hAnsi="Arial" w:cs="Arial"/>
          <w:bCs/>
          <w:color w:val="231F20"/>
          <w:lang w:val="en-US"/>
        </w:rPr>
        <w:t xml:space="preserve"> et al</w:t>
      </w:r>
    </w:p>
    <w:p w:rsidR="00B2505B" w:rsidRPr="00B2505B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  <w:r w:rsidRPr="00B2505B">
        <w:rPr>
          <w:rFonts w:ascii="Arial" w:hAnsi="Arial" w:cs="Arial"/>
          <w:lang w:val="en-US"/>
        </w:rPr>
        <w:t>The American Journal of Surgery (2010) 199, 804–816</w:t>
      </w:r>
    </w:p>
    <w:p w:rsidR="00B2505B" w:rsidRPr="00B2505B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lang w:val="en-US"/>
        </w:rPr>
      </w:pPr>
      <w:r w:rsidRPr="00B2505B">
        <w:rPr>
          <w:rFonts w:ascii="Arial" w:hAnsi="Arial" w:cs="Arial"/>
          <w:b/>
          <w:bCs/>
          <w:color w:val="231F20"/>
          <w:lang w:val="en-US"/>
        </w:rPr>
        <w:t xml:space="preserve">BACKGROUND: </w:t>
      </w:r>
      <w:r w:rsidRPr="00B2505B">
        <w:rPr>
          <w:rFonts w:ascii="Arial" w:hAnsi="Arial" w:cs="Arial"/>
          <w:color w:val="231F20"/>
          <w:lang w:val="en-US"/>
        </w:rPr>
        <w:t xml:space="preserve">This open-label study compared oral or intravenous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with intravenous</w:t>
      </w:r>
      <w:r>
        <w:rPr>
          <w:rFonts w:ascii="Arial" w:hAnsi="Arial" w:cs="Arial"/>
          <w:color w:val="231F20"/>
          <w:lang w:val="en-US"/>
        </w:rPr>
        <w:t xml:space="preserve"> </w:t>
      </w:r>
      <w:proofErr w:type="spellStart"/>
      <w:r w:rsidRPr="00B2505B">
        <w:rPr>
          <w:rFonts w:ascii="Arial" w:hAnsi="Arial" w:cs="Arial"/>
          <w:color w:val="231F20"/>
          <w:lang w:val="en-US"/>
        </w:rPr>
        <w:t>vancomycin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for treatment of complicated skin and soft-tissue infections (</w:t>
      </w:r>
      <w:proofErr w:type="spellStart"/>
      <w:r w:rsidRPr="00B2505B">
        <w:rPr>
          <w:rFonts w:ascii="Arial" w:hAnsi="Arial" w:cs="Arial"/>
          <w:color w:val="231F20"/>
          <w:lang w:val="en-US"/>
        </w:rPr>
        <w:t>cSSTIs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) caused by </w:t>
      </w:r>
      <w:proofErr w:type="spellStart"/>
      <w:r w:rsidRPr="00B2505B">
        <w:rPr>
          <w:rFonts w:ascii="Arial" w:hAnsi="Arial" w:cs="Arial"/>
          <w:color w:val="231F20"/>
          <w:lang w:val="en-US"/>
        </w:rPr>
        <w:t>methicillin</w:t>
      </w:r>
      <w:proofErr w:type="spellEnd"/>
      <w:r>
        <w:rPr>
          <w:rFonts w:ascii="Arial" w:hAnsi="Arial" w:cs="Arial"/>
          <w:color w:val="231F20"/>
          <w:lang w:val="en-US"/>
        </w:rPr>
        <w:t>-</w:t>
      </w:r>
      <w:r w:rsidRPr="00B2505B">
        <w:rPr>
          <w:rFonts w:ascii="Arial" w:hAnsi="Arial" w:cs="Arial"/>
          <w:color w:val="231F20"/>
          <w:lang w:val="en-US"/>
        </w:rPr>
        <w:t>resistant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i/>
          <w:iCs/>
          <w:color w:val="231F20"/>
          <w:lang w:val="en-US"/>
        </w:rPr>
        <w:t xml:space="preserve">Staphylococcus </w:t>
      </w:r>
      <w:proofErr w:type="spellStart"/>
      <w:r w:rsidRPr="00B2505B">
        <w:rPr>
          <w:rFonts w:ascii="Arial" w:hAnsi="Arial" w:cs="Arial"/>
          <w:i/>
          <w:iCs/>
          <w:color w:val="231F20"/>
          <w:lang w:val="en-US"/>
        </w:rPr>
        <w:t>aureus</w:t>
      </w:r>
      <w:proofErr w:type="spellEnd"/>
      <w:r w:rsidRPr="00B2505B">
        <w:rPr>
          <w:rFonts w:ascii="Arial" w:hAnsi="Arial" w:cs="Arial"/>
          <w:i/>
          <w:iCs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(MRSA).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lang w:val="en-US"/>
        </w:rPr>
      </w:pPr>
      <w:r w:rsidRPr="00B2505B">
        <w:rPr>
          <w:rFonts w:ascii="Arial" w:hAnsi="Arial" w:cs="Arial"/>
          <w:b/>
          <w:bCs/>
          <w:color w:val="231F20"/>
          <w:lang w:val="en-US"/>
        </w:rPr>
        <w:t xml:space="preserve">METHODS: </w:t>
      </w:r>
      <w:r w:rsidRPr="00B2505B">
        <w:rPr>
          <w:rFonts w:ascii="Arial" w:hAnsi="Arial" w:cs="Arial"/>
          <w:color w:val="231F20"/>
          <w:lang w:val="en-US"/>
        </w:rPr>
        <w:t xml:space="preserve">Patients with proven MRSA </w:t>
      </w:r>
      <w:proofErr w:type="spellStart"/>
      <w:r w:rsidRPr="00B2505B">
        <w:rPr>
          <w:rFonts w:ascii="Arial" w:hAnsi="Arial" w:cs="Arial"/>
          <w:color w:val="231F20"/>
          <w:lang w:val="en-US"/>
        </w:rPr>
        <w:t>cSSTI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were randomized to receive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or </w:t>
      </w:r>
      <w:proofErr w:type="spellStart"/>
      <w:r w:rsidRPr="00B2505B">
        <w:rPr>
          <w:rFonts w:ascii="Arial" w:hAnsi="Arial" w:cs="Arial"/>
          <w:color w:val="231F20"/>
          <w:lang w:val="en-US"/>
        </w:rPr>
        <w:t>vancomycin</w:t>
      </w:r>
      <w:proofErr w:type="spellEnd"/>
      <w:r w:rsidRPr="00B2505B">
        <w:rPr>
          <w:rFonts w:ascii="Arial" w:hAnsi="Arial" w:cs="Arial"/>
          <w:color w:val="231F20"/>
          <w:lang w:val="en-US"/>
        </w:rPr>
        <w:t>.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Clinical and microbiologic outcomes, duration of antimicrobial therapy, length of hospital stay, and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safety were assessed.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lang w:val="en-US"/>
        </w:rPr>
      </w:pPr>
      <w:r w:rsidRPr="00B2505B">
        <w:rPr>
          <w:rFonts w:ascii="Arial" w:hAnsi="Arial" w:cs="Arial"/>
          <w:b/>
          <w:bCs/>
          <w:color w:val="231F20"/>
          <w:lang w:val="en-US"/>
        </w:rPr>
        <w:t xml:space="preserve">RESULTS: </w:t>
      </w:r>
      <w:r w:rsidRPr="00B2505B">
        <w:rPr>
          <w:rFonts w:ascii="Arial" w:hAnsi="Arial" w:cs="Arial"/>
          <w:color w:val="231F20"/>
          <w:lang w:val="en-US"/>
        </w:rPr>
        <w:t xml:space="preserve">In the per-protocol population, the rate of clinical success was similar in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>- and</w:t>
      </w:r>
      <w:r>
        <w:rPr>
          <w:rFonts w:ascii="Arial" w:hAnsi="Arial" w:cs="Arial"/>
          <w:color w:val="231F20"/>
          <w:lang w:val="en-US"/>
        </w:rPr>
        <w:t xml:space="preserve"> </w:t>
      </w:r>
      <w:proofErr w:type="spellStart"/>
      <w:r w:rsidRPr="00B2505B">
        <w:rPr>
          <w:rFonts w:ascii="Arial" w:hAnsi="Arial" w:cs="Arial"/>
          <w:color w:val="231F20"/>
          <w:lang w:val="en-US"/>
        </w:rPr>
        <w:t>vancomycin</w:t>
      </w:r>
      <w:proofErr w:type="spellEnd"/>
      <w:r w:rsidRPr="00B2505B">
        <w:rPr>
          <w:rFonts w:ascii="Arial" w:hAnsi="Arial" w:cs="Arial"/>
          <w:color w:val="231F20"/>
          <w:lang w:val="en-US"/>
        </w:rPr>
        <w:t>-treated patients (</w:t>
      </w:r>
      <w:r w:rsidRPr="00B2505B">
        <w:rPr>
          <w:rFonts w:ascii="Arial" w:hAnsi="Arial" w:cs="Arial"/>
          <w:i/>
          <w:iCs/>
          <w:color w:val="231F20"/>
          <w:lang w:val="en-US"/>
        </w:rPr>
        <w:t xml:space="preserve">P </w:t>
      </w:r>
      <w:r w:rsidRPr="00B2505B">
        <w:rPr>
          <w:rFonts w:ascii="Arial" w:hAnsi="Arial" w:cs="Arial"/>
          <w:color w:val="231F20"/>
          <w:lang w:val="en-US"/>
        </w:rPr>
        <w:t xml:space="preserve">_ .249). The rate of success was significantly higher in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>-treated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patients in the modified intent-to-treat population (</w:t>
      </w:r>
      <w:r w:rsidRPr="00B2505B">
        <w:rPr>
          <w:rFonts w:ascii="Arial" w:hAnsi="Arial" w:cs="Arial"/>
          <w:i/>
          <w:iCs/>
          <w:color w:val="231F20"/>
          <w:lang w:val="en-US"/>
        </w:rPr>
        <w:t xml:space="preserve">P </w:t>
      </w:r>
      <w:r w:rsidRPr="00B2505B">
        <w:rPr>
          <w:rFonts w:ascii="Arial" w:hAnsi="Arial" w:cs="Arial"/>
          <w:color w:val="231F20"/>
          <w:lang w:val="en-US"/>
        </w:rPr>
        <w:t>_ .048). The microbiologic success rate was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 xml:space="preserve">higher for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at the end of treatment (</w:t>
      </w:r>
      <w:r w:rsidRPr="00B2505B">
        <w:rPr>
          <w:rFonts w:ascii="Arial" w:hAnsi="Arial" w:cs="Arial"/>
          <w:i/>
          <w:iCs/>
          <w:color w:val="231F20"/>
          <w:lang w:val="en-US"/>
        </w:rPr>
        <w:t xml:space="preserve">P </w:t>
      </w:r>
      <w:r w:rsidRPr="00B2505B">
        <w:rPr>
          <w:rFonts w:ascii="Arial" w:hAnsi="Arial" w:cs="Arial"/>
          <w:color w:val="231F20"/>
          <w:lang w:val="en-US"/>
        </w:rPr>
        <w:t>_ .001) and was similar at the end of the study (</w:t>
      </w:r>
      <w:r w:rsidRPr="00B2505B">
        <w:rPr>
          <w:rFonts w:ascii="Arial" w:hAnsi="Arial" w:cs="Arial"/>
          <w:i/>
          <w:iCs/>
          <w:color w:val="231F20"/>
          <w:lang w:val="en-US"/>
        </w:rPr>
        <w:t xml:space="preserve">P </w:t>
      </w:r>
      <w:r w:rsidRPr="00B2505B">
        <w:rPr>
          <w:rFonts w:ascii="Arial" w:hAnsi="Arial" w:cs="Arial"/>
          <w:color w:val="231F20"/>
          <w:lang w:val="en-US"/>
        </w:rPr>
        <w:t xml:space="preserve">_.127). Patients receiving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had a significantly shorter length of stay and duration of intravenous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 xml:space="preserve">therapy than patients receiving </w:t>
      </w:r>
      <w:proofErr w:type="spellStart"/>
      <w:r w:rsidRPr="00B2505B">
        <w:rPr>
          <w:rFonts w:ascii="Arial" w:hAnsi="Arial" w:cs="Arial"/>
          <w:color w:val="231F20"/>
          <w:lang w:val="en-US"/>
        </w:rPr>
        <w:t>vancomycin</w:t>
      </w:r>
      <w:proofErr w:type="spellEnd"/>
      <w:r w:rsidRPr="00B2505B">
        <w:rPr>
          <w:rFonts w:ascii="Arial" w:hAnsi="Arial" w:cs="Arial"/>
          <w:color w:val="231F20"/>
          <w:lang w:val="en-US"/>
        </w:rPr>
        <w:t>. Both agents were well tolerated. Adverse events were</w:t>
      </w:r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similar to each drug’s established safety profile.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color w:val="231F20"/>
          <w:lang w:val="en-US"/>
        </w:rPr>
      </w:pPr>
      <w:r w:rsidRPr="00B2505B">
        <w:rPr>
          <w:rFonts w:ascii="Arial" w:hAnsi="Arial" w:cs="Arial"/>
          <w:b/>
          <w:bCs/>
          <w:color w:val="231F20"/>
          <w:lang w:val="en-US"/>
        </w:rPr>
        <w:t xml:space="preserve">CONCLUSIONS: </w:t>
      </w:r>
      <w:proofErr w:type="spellStart"/>
      <w:r w:rsidRPr="00B2505B">
        <w:rPr>
          <w:rFonts w:ascii="Arial" w:hAnsi="Arial" w:cs="Arial"/>
          <w:color w:val="231F20"/>
          <w:lang w:val="en-US"/>
        </w:rPr>
        <w:t>Linezolid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is an effective alternative to </w:t>
      </w:r>
      <w:proofErr w:type="spellStart"/>
      <w:r w:rsidRPr="00B2505B">
        <w:rPr>
          <w:rFonts w:ascii="Arial" w:hAnsi="Arial" w:cs="Arial"/>
          <w:color w:val="231F20"/>
          <w:lang w:val="en-US"/>
        </w:rPr>
        <w:t>vancomycin</w:t>
      </w:r>
      <w:proofErr w:type="spellEnd"/>
      <w:r w:rsidRPr="00B2505B">
        <w:rPr>
          <w:rFonts w:ascii="Arial" w:hAnsi="Arial" w:cs="Arial"/>
          <w:color w:val="231F20"/>
          <w:lang w:val="en-US"/>
        </w:rPr>
        <w:t xml:space="preserve"> for the treatment of </w:t>
      </w:r>
      <w:proofErr w:type="spellStart"/>
      <w:r w:rsidRPr="00B2505B">
        <w:rPr>
          <w:rFonts w:ascii="Arial" w:hAnsi="Arial" w:cs="Arial"/>
          <w:color w:val="231F20"/>
          <w:lang w:val="en-US"/>
        </w:rPr>
        <w:t>cSSTI</w:t>
      </w:r>
      <w:proofErr w:type="spellEnd"/>
      <w:r>
        <w:rPr>
          <w:rFonts w:ascii="Arial" w:hAnsi="Arial" w:cs="Arial"/>
          <w:color w:val="231F20"/>
          <w:lang w:val="en-US"/>
        </w:rPr>
        <w:t xml:space="preserve"> </w:t>
      </w:r>
      <w:r w:rsidRPr="00B2505B">
        <w:rPr>
          <w:rFonts w:ascii="Arial" w:hAnsi="Arial" w:cs="Arial"/>
          <w:color w:val="231F20"/>
          <w:lang w:val="en-US"/>
        </w:rPr>
        <w:t>caused by MRSA.</w:t>
      </w:r>
    </w:p>
    <w:p w:rsidR="000259C5" w:rsidRDefault="000259C5" w:rsidP="00521ED7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</w:p>
    <w:p w:rsidR="000259C5" w:rsidRDefault="000259C5" w:rsidP="00521ED7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</w:p>
    <w:p w:rsidR="00B2505B" w:rsidRPr="00521ED7" w:rsidRDefault="00521ED7" w:rsidP="00521ED7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521ED7">
        <w:rPr>
          <w:rFonts w:ascii="Arial" w:hAnsi="Arial" w:cs="Arial"/>
          <w:b/>
          <w:lang w:val="en-US"/>
        </w:rPr>
        <w:t>LINEZOLID AND VANCOMYCIN IN TREATMENT OF LOWER-EXTREMITY</w:t>
      </w:r>
      <w:r>
        <w:rPr>
          <w:rFonts w:ascii="Arial" w:hAnsi="Arial" w:cs="Arial"/>
          <w:b/>
          <w:lang w:val="en-US"/>
        </w:rPr>
        <w:t xml:space="preserve"> </w:t>
      </w:r>
      <w:r w:rsidRPr="00521ED7">
        <w:rPr>
          <w:rFonts w:ascii="Arial" w:hAnsi="Arial" w:cs="Arial"/>
          <w:b/>
          <w:lang w:val="en-US"/>
        </w:rPr>
        <w:t>COMPLICATED SKIN AND SKIN STRUCTURE INFECTIONS</w:t>
      </w:r>
      <w:r>
        <w:rPr>
          <w:rFonts w:ascii="Arial" w:hAnsi="Arial" w:cs="Arial"/>
          <w:b/>
          <w:lang w:val="en-US"/>
        </w:rPr>
        <w:t xml:space="preserve"> </w:t>
      </w:r>
      <w:r w:rsidRPr="00521ED7">
        <w:rPr>
          <w:rFonts w:ascii="Arial" w:hAnsi="Arial" w:cs="Arial"/>
          <w:b/>
          <w:lang w:val="en-US"/>
        </w:rPr>
        <w:t>CAUSED BY METHICILLIN-RESISTANT STAPHYLOCOCCUS AUREUS</w:t>
      </w:r>
      <w:r>
        <w:rPr>
          <w:rFonts w:ascii="Arial" w:hAnsi="Arial" w:cs="Arial"/>
          <w:b/>
          <w:lang w:val="en-US"/>
        </w:rPr>
        <w:t xml:space="preserve"> </w:t>
      </w:r>
      <w:r w:rsidRPr="00521ED7">
        <w:rPr>
          <w:rFonts w:ascii="Arial" w:hAnsi="Arial" w:cs="Arial"/>
          <w:b/>
          <w:lang w:val="en-US"/>
        </w:rPr>
        <w:t>IN PATIENTS WITH AND WITHOUT VASCULAR DISEASE</w:t>
      </w:r>
    </w:p>
    <w:p w:rsidR="00B2505B" w:rsidRPr="00521ED7" w:rsidRDefault="00521ED7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  <w:r w:rsidRPr="00521ED7">
        <w:rPr>
          <w:rFonts w:ascii="Arial" w:hAnsi="Arial" w:cs="Arial"/>
          <w:lang w:val="en-US"/>
        </w:rPr>
        <w:t>There</w:t>
      </w:r>
      <w:r w:rsidR="00B2505B" w:rsidRPr="00521ED7">
        <w:rPr>
          <w:rFonts w:ascii="Arial" w:hAnsi="Arial" w:cs="Arial"/>
          <w:lang w:val="en-US"/>
        </w:rPr>
        <w:t>se M. Duane</w:t>
      </w:r>
      <w:r w:rsidRPr="00521ED7">
        <w:rPr>
          <w:rFonts w:ascii="Arial" w:hAnsi="Arial" w:cs="Arial"/>
          <w:lang w:val="en-US"/>
        </w:rPr>
        <w:t xml:space="preserve"> et al.</w:t>
      </w:r>
    </w:p>
    <w:p w:rsidR="00B2505B" w:rsidRPr="00521ED7" w:rsidRDefault="00521ED7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521ED7">
        <w:rPr>
          <w:rFonts w:ascii="Arial" w:hAnsi="Arial" w:cs="Arial"/>
          <w:lang w:val="en-US"/>
        </w:rPr>
        <w:t>Surgical Infections 2012;</w:t>
      </w:r>
      <w:r w:rsidR="00B2505B" w:rsidRPr="00521ED7">
        <w:rPr>
          <w:rFonts w:ascii="Arial" w:hAnsi="Arial" w:cs="Arial"/>
          <w:lang w:val="en-US"/>
        </w:rPr>
        <w:t xml:space="preserve"> 13</w:t>
      </w:r>
      <w:r w:rsidRPr="00521ED7">
        <w:rPr>
          <w:rFonts w:ascii="Arial" w:hAnsi="Arial" w:cs="Arial"/>
          <w:lang w:val="en-US"/>
        </w:rPr>
        <w:t xml:space="preserve"> (3): 147-153.</w:t>
      </w:r>
    </w:p>
    <w:p w:rsidR="00B2505B" w:rsidRPr="00521ED7" w:rsidRDefault="00B2505B" w:rsidP="00B2505B">
      <w:pPr>
        <w:keepLines/>
        <w:tabs>
          <w:tab w:val="left" w:pos="0"/>
          <w:tab w:val="left" w:pos="1418"/>
          <w:tab w:val="left" w:pos="2160"/>
          <w:tab w:val="left" w:pos="6480"/>
          <w:tab w:val="left" w:pos="8532"/>
          <w:tab w:val="left" w:pos="9378"/>
        </w:tabs>
        <w:jc w:val="both"/>
        <w:rPr>
          <w:rFonts w:ascii="Arial" w:hAnsi="Arial" w:cs="Arial"/>
          <w:lang w:val="en-US"/>
        </w:rPr>
      </w:pP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B2505B">
        <w:rPr>
          <w:rFonts w:ascii="Arial" w:hAnsi="Arial" w:cs="Arial"/>
          <w:lang w:val="en-US"/>
        </w:rPr>
        <w:t xml:space="preserve">Background: We evaluated drug efficacy and safety among patients with and without vascular disease </w:t>
      </w:r>
      <w:proofErr w:type="gramStart"/>
      <w:r w:rsidRPr="00B2505B">
        <w:rPr>
          <w:rFonts w:ascii="Arial" w:hAnsi="Arial" w:cs="Arial"/>
          <w:lang w:val="en-US"/>
        </w:rPr>
        <w:t>who</w:t>
      </w:r>
      <w:proofErr w:type="gramEnd"/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were treated with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or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for a lower-extremity complicated skin and skin structure infection</w:t>
      </w:r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(</w:t>
      </w:r>
      <w:proofErr w:type="spellStart"/>
      <w:r w:rsidRPr="00B2505B">
        <w:rPr>
          <w:rFonts w:ascii="Arial" w:hAnsi="Arial" w:cs="Arial"/>
          <w:lang w:val="en-US"/>
        </w:rPr>
        <w:t>cSSSI</w:t>
      </w:r>
      <w:proofErr w:type="spellEnd"/>
      <w:r w:rsidRPr="00B2505B">
        <w:rPr>
          <w:rFonts w:ascii="Arial" w:hAnsi="Arial" w:cs="Arial"/>
          <w:lang w:val="en-US"/>
        </w:rPr>
        <w:t xml:space="preserve">) caused by </w:t>
      </w:r>
      <w:proofErr w:type="spellStart"/>
      <w:r w:rsidRPr="00B2505B">
        <w:rPr>
          <w:rFonts w:ascii="Arial" w:hAnsi="Arial" w:cs="Arial"/>
          <w:lang w:val="en-US"/>
        </w:rPr>
        <w:t>methicillin</w:t>
      </w:r>
      <w:proofErr w:type="spellEnd"/>
      <w:r w:rsidRPr="00B2505B">
        <w:rPr>
          <w:rFonts w:ascii="Arial" w:hAnsi="Arial" w:cs="Arial"/>
          <w:lang w:val="en-US"/>
        </w:rPr>
        <w:t xml:space="preserve">-resistant Staphylococcus </w:t>
      </w:r>
      <w:proofErr w:type="spellStart"/>
      <w:r w:rsidRPr="00B2505B">
        <w:rPr>
          <w:rFonts w:ascii="Arial" w:hAnsi="Arial" w:cs="Arial"/>
          <w:lang w:val="en-US"/>
        </w:rPr>
        <w:t>aureus</w:t>
      </w:r>
      <w:proofErr w:type="spellEnd"/>
      <w:r w:rsidRPr="00B2505B">
        <w:rPr>
          <w:rFonts w:ascii="Arial" w:hAnsi="Arial" w:cs="Arial"/>
          <w:lang w:val="en-US"/>
        </w:rPr>
        <w:t xml:space="preserve"> (MRSA).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B2505B">
        <w:rPr>
          <w:rFonts w:ascii="Arial" w:hAnsi="Arial" w:cs="Arial"/>
          <w:lang w:val="en-US"/>
        </w:rPr>
        <w:t xml:space="preserve">Methods: We pooled data from two randomized clinical trials evaluating the efficacy and safety of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600mg intravenously (IV) or orally every 12 h and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15mg/kg or 1 g IV every 12 h for the treatment of</w:t>
      </w:r>
      <w:r w:rsidR="00521ED7"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cSSSI</w:t>
      </w:r>
      <w:proofErr w:type="spellEnd"/>
      <w:r w:rsidRPr="00B2505B">
        <w:rPr>
          <w:rFonts w:ascii="Arial" w:hAnsi="Arial" w:cs="Arial"/>
          <w:lang w:val="en-US"/>
        </w:rPr>
        <w:t xml:space="preserve"> caused by culture-proved MRSA.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B2505B">
        <w:rPr>
          <w:rFonts w:ascii="Arial" w:hAnsi="Arial" w:cs="Arial"/>
          <w:lang w:val="en-US"/>
        </w:rPr>
        <w:t>Results: There were 477 patients for analysis. Among patients with vascular disease (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n = 139,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n = 135), the clinical success rate was 80.4% and 66.7% (p = 0.02) for patients treated with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and</w:t>
      </w:r>
      <w:r w:rsidR="00521ED7"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>, respectively. Among patients without vascular disease (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n = 91,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n = 112), the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proofErr w:type="gramStart"/>
      <w:r w:rsidRPr="00B2505B">
        <w:rPr>
          <w:rFonts w:ascii="Arial" w:hAnsi="Arial" w:cs="Arial"/>
          <w:lang w:val="en-US"/>
        </w:rPr>
        <w:t>clinical</w:t>
      </w:r>
      <w:proofErr w:type="gramEnd"/>
      <w:r w:rsidRPr="00B2505B">
        <w:rPr>
          <w:rFonts w:ascii="Arial" w:hAnsi="Arial" w:cs="Arial"/>
          <w:lang w:val="en-US"/>
        </w:rPr>
        <w:t xml:space="preserve"> success rate was 94.5% and 89.4%, respectively (p = 0.24).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>-treated patients had fewer IV</w:t>
      </w:r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>catheter-site complications and less kidney impairment but more frequent thrombocytopenia than those who</w:t>
      </w:r>
      <w:r w:rsidR="00521ED7">
        <w:rPr>
          <w:rFonts w:ascii="Arial" w:hAnsi="Arial" w:cs="Arial"/>
          <w:lang w:val="en-US"/>
        </w:rPr>
        <w:t xml:space="preserve"> </w:t>
      </w:r>
      <w:r w:rsidRPr="00B2505B">
        <w:rPr>
          <w:rFonts w:ascii="Arial" w:hAnsi="Arial" w:cs="Arial"/>
          <w:lang w:val="en-US"/>
        </w:rPr>
        <w:t xml:space="preserve">received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>, regardless of the presence or absence of vascular disease.</w:t>
      </w:r>
    </w:p>
    <w:p w:rsidR="00B2505B" w:rsidRPr="00B2505B" w:rsidRDefault="00B2505B" w:rsidP="00521ED7">
      <w:pPr>
        <w:autoSpaceDE w:val="0"/>
        <w:autoSpaceDN w:val="0"/>
        <w:adjustRightInd w:val="0"/>
        <w:jc w:val="both"/>
        <w:rPr>
          <w:rFonts w:ascii="Arial" w:hAnsi="Arial" w:cs="Arial"/>
          <w:b/>
          <w:lang w:val="en-US"/>
        </w:rPr>
      </w:pPr>
      <w:r w:rsidRPr="00B2505B">
        <w:rPr>
          <w:rFonts w:ascii="Arial" w:hAnsi="Arial" w:cs="Arial"/>
          <w:lang w:val="en-US"/>
        </w:rPr>
        <w:t xml:space="preserve">Conclusion: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is an effective treatment for patients with and without vascular disease who have a </w:t>
      </w:r>
      <w:proofErr w:type="spellStart"/>
      <w:r w:rsidRPr="00B2505B">
        <w:rPr>
          <w:rFonts w:ascii="Arial" w:hAnsi="Arial" w:cs="Arial"/>
          <w:lang w:val="en-US"/>
        </w:rPr>
        <w:t>lowerextremity</w:t>
      </w:r>
      <w:proofErr w:type="spellEnd"/>
      <w:r w:rsidR="00521ED7"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cSSSI</w:t>
      </w:r>
      <w:proofErr w:type="spellEnd"/>
      <w:r w:rsidRPr="00B2505B">
        <w:rPr>
          <w:rFonts w:ascii="Arial" w:hAnsi="Arial" w:cs="Arial"/>
          <w:lang w:val="en-US"/>
        </w:rPr>
        <w:t xml:space="preserve"> caused by MRSA. The safety data were consistent with the known safety profiles of </w:t>
      </w:r>
      <w:proofErr w:type="spellStart"/>
      <w:r w:rsidRPr="00B2505B">
        <w:rPr>
          <w:rFonts w:ascii="Arial" w:hAnsi="Arial" w:cs="Arial"/>
          <w:lang w:val="en-US"/>
        </w:rPr>
        <w:t>linezolid</w:t>
      </w:r>
      <w:proofErr w:type="spellEnd"/>
      <w:r w:rsidRPr="00B2505B">
        <w:rPr>
          <w:rFonts w:ascii="Arial" w:hAnsi="Arial" w:cs="Arial"/>
          <w:lang w:val="en-US"/>
        </w:rPr>
        <w:t xml:space="preserve"> and</w:t>
      </w:r>
      <w:r w:rsidR="00521ED7">
        <w:rPr>
          <w:rFonts w:ascii="Arial" w:hAnsi="Arial" w:cs="Arial"/>
          <w:lang w:val="en-US"/>
        </w:rPr>
        <w:t xml:space="preserve"> </w:t>
      </w:r>
      <w:proofErr w:type="spellStart"/>
      <w:r w:rsidRPr="00B2505B">
        <w:rPr>
          <w:rFonts w:ascii="Arial" w:hAnsi="Arial" w:cs="Arial"/>
          <w:lang w:val="en-US"/>
        </w:rPr>
        <w:t>vancomycin</w:t>
      </w:r>
      <w:proofErr w:type="spellEnd"/>
      <w:r w:rsidRPr="00B2505B">
        <w:rPr>
          <w:rFonts w:ascii="Arial" w:hAnsi="Arial" w:cs="Arial"/>
          <w:lang w:val="en-US"/>
        </w:rPr>
        <w:t xml:space="preserve"> given for this indication.</w:t>
      </w:r>
    </w:p>
    <w:p w:rsidR="00B2505B" w:rsidRPr="00B2505B" w:rsidRDefault="00B2505B" w:rsidP="00B2505B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n-US"/>
        </w:rPr>
      </w:pPr>
    </w:p>
    <w:sectPr w:rsidR="00B2505B" w:rsidRPr="00B2505B" w:rsidSect="003C0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354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5A8" w:rsidRDefault="00B555A8">
      <w:r>
        <w:separator/>
      </w:r>
    </w:p>
  </w:endnote>
  <w:endnote w:type="continuationSeparator" w:id="0">
    <w:p w:rsidR="00B555A8" w:rsidRDefault="00B55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vTT5235d5a9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040" w:rsidRDefault="001F2A74" w:rsidP="00314E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704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7040" w:rsidRDefault="00A17040" w:rsidP="00652F5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040" w:rsidRPr="00313AA9" w:rsidRDefault="003678B0" w:rsidP="00652F56">
    <w:pPr>
      <w:pStyle w:val="Rodap"/>
      <w:ind w:right="360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ab/>
    </w:r>
    <w:r w:rsidR="00A17040">
      <w:tab/>
    </w:r>
    <w:r w:rsidR="00A17040" w:rsidRPr="00313AA9">
      <w:rPr>
        <w:rFonts w:ascii="Arial" w:hAnsi="Arial" w:cs="Arial"/>
        <w:sz w:val="20"/>
        <w:szCs w:val="20"/>
      </w:rPr>
      <w:t xml:space="preserve">Página </w:t>
    </w:r>
    <w:r w:rsidR="001F2A74" w:rsidRPr="00313AA9">
      <w:rPr>
        <w:rFonts w:ascii="Arial" w:hAnsi="Arial" w:cs="Arial"/>
        <w:sz w:val="20"/>
        <w:szCs w:val="20"/>
      </w:rPr>
      <w:fldChar w:fldCharType="begin"/>
    </w:r>
    <w:r w:rsidR="00A17040" w:rsidRPr="00313AA9">
      <w:rPr>
        <w:rFonts w:ascii="Arial" w:hAnsi="Arial" w:cs="Arial"/>
        <w:sz w:val="20"/>
        <w:szCs w:val="20"/>
      </w:rPr>
      <w:instrText xml:space="preserve"> PAGE </w:instrText>
    </w:r>
    <w:r w:rsidR="001F2A74" w:rsidRPr="00313AA9">
      <w:rPr>
        <w:rFonts w:ascii="Arial" w:hAnsi="Arial" w:cs="Arial"/>
        <w:sz w:val="20"/>
        <w:szCs w:val="20"/>
      </w:rPr>
      <w:fldChar w:fldCharType="separate"/>
    </w:r>
    <w:r w:rsidR="00A019DE">
      <w:rPr>
        <w:rFonts w:ascii="Arial" w:hAnsi="Arial" w:cs="Arial"/>
        <w:noProof/>
        <w:sz w:val="20"/>
        <w:szCs w:val="20"/>
      </w:rPr>
      <w:t>4</w:t>
    </w:r>
    <w:r w:rsidR="001F2A74" w:rsidRPr="00313AA9">
      <w:rPr>
        <w:rFonts w:ascii="Arial" w:hAnsi="Arial" w:cs="Arial"/>
        <w:sz w:val="20"/>
        <w:szCs w:val="20"/>
      </w:rPr>
      <w:fldChar w:fldCharType="end"/>
    </w:r>
    <w:r w:rsidR="00A17040" w:rsidRPr="00313AA9">
      <w:rPr>
        <w:rFonts w:ascii="Arial" w:hAnsi="Arial" w:cs="Arial"/>
        <w:sz w:val="20"/>
        <w:szCs w:val="20"/>
      </w:rPr>
      <w:t xml:space="preserve"> de </w:t>
    </w:r>
    <w:r w:rsidR="001F2A74" w:rsidRPr="00313AA9">
      <w:rPr>
        <w:rFonts w:ascii="Arial" w:hAnsi="Arial" w:cs="Arial"/>
        <w:sz w:val="20"/>
        <w:szCs w:val="20"/>
      </w:rPr>
      <w:fldChar w:fldCharType="begin"/>
    </w:r>
    <w:r w:rsidR="00A17040" w:rsidRPr="00313AA9">
      <w:rPr>
        <w:rFonts w:ascii="Arial" w:hAnsi="Arial" w:cs="Arial"/>
        <w:sz w:val="20"/>
        <w:szCs w:val="20"/>
      </w:rPr>
      <w:instrText xml:space="preserve"> NUMPAGES </w:instrText>
    </w:r>
    <w:r w:rsidR="001F2A74" w:rsidRPr="00313AA9">
      <w:rPr>
        <w:rFonts w:ascii="Arial" w:hAnsi="Arial" w:cs="Arial"/>
        <w:sz w:val="20"/>
        <w:szCs w:val="20"/>
      </w:rPr>
      <w:fldChar w:fldCharType="separate"/>
    </w:r>
    <w:r w:rsidR="00A019DE">
      <w:rPr>
        <w:rFonts w:ascii="Arial" w:hAnsi="Arial" w:cs="Arial"/>
        <w:noProof/>
        <w:sz w:val="20"/>
        <w:szCs w:val="20"/>
      </w:rPr>
      <w:t>10</w:t>
    </w:r>
    <w:r w:rsidR="001F2A74" w:rsidRPr="00313AA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5A8" w:rsidRDefault="00B555A8">
      <w:r>
        <w:separator/>
      </w:r>
    </w:p>
  </w:footnote>
  <w:footnote w:type="continuationSeparator" w:id="0">
    <w:p w:rsidR="00B555A8" w:rsidRDefault="00B55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040" w:rsidRDefault="001F2A7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41.6pt;height:289.2pt;z-index:-251659264;mso-position-horizontal:center;mso-position-horizontal-relative:margin;mso-position-vertical:center;mso-position-vertical-relative:margin" o:allowincell="f">
          <v:imagedata r:id="rId1" o:title="Imagem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6F" w:rsidRPr="00616989" w:rsidRDefault="00200B04" w:rsidP="00CF436F">
    <w:pPr>
      <w:tabs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</w:tabs>
      <w:autoSpaceDE w:val="0"/>
      <w:autoSpaceDN w:val="0"/>
      <w:adjustRightInd w:val="0"/>
      <w:ind w:left="4956" w:right="142"/>
      <w:jc w:val="right"/>
      <w:rPr>
        <w:rFonts w:ascii="Arial" w:hAnsi="Arial" w:cs="Arial"/>
        <w:color w:val="000000"/>
        <w:sz w:val="22"/>
        <w:szCs w:val="22"/>
      </w:rPr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>
          <wp:extent cx="1971675" cy="704850"/>
          <wp:effectExtent l="19050" t="0" r="9525" b="0"/>
          <wp:docPr id="27" name="Imagem 1" descr="http://www.mandarin.com.br/clientes/pfizer/logoPfizer60An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http://www.mandarin.com.br/clientes/pfizer/logoPfizer60An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910"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17040" w:rsidRPr="00200B04" w:rsidRDefault="00200B04" w:rsidP="00CF436F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autoSpaceDE w:val="0"/>
      <w:autoSpaceDN w:val="0"/>
      <w:adjustRightInd w:val="0"/>
      <w:ind w:right="142"/>
      <w:rPr>
        <w:rFonts w:ascii="Arial" w:hAnsi="Arial" w:cs="Arial"/>
        <w:b/>
        <w:bCs/>
        <w:color w:val="000000"/>
        <w:sz w:val="28"/>
        <w:szCs w:val="38"/>
      </w:rPr>
    </w:pPr>
    <w:r>
      <w:rPr>
        <w:rFonts w:ascii="Arial" w:hAnsi="Arial" w:cs="Arial"/>
        <w:noProof/>
        <w:color w:val="000000"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3494405</wp:posOffset>
          </wp:positionH>
          <wp:positionV relativeFrom="paragraph">
            <wp:posOffset>24130</wp:posOffset>
          </wp:positionV>
          <wp:extent cx="4972050" cy="57150"/>
          <wp:effectExtent l="1905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0" cy="57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>
          <wp:extent cx="771525" cy="504825"/>
          <wp:effectExtent l="0" t="0" r="0" b="0"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 w:rsidR="00CF436F" w:rsidRPr="00616989">
      <w:rPr>
        <w:rFonts w:ascii="Arial" w:hAnsi="Arial" w:cs="Arial"/>
        <w:color w:val="000000"/>
        <w:sz w:val="22"/>
        <w:szCs w:val="22"/>
      </w:rPr>
      <w:tab/>
    </w:r>
    <w:r>
      <w:rPr>
        <w:rFonts w:ascii="Arial" w:hAnsi="Arial" w:cs="Arial"/>
        <w:b/>
        <w:bCs/>
        <w:color w:val="000000"/>
        <w:sz w:val="28"/>
        <w:szCs w:val="38"/>
      </w:rPr>
      <w:t xml:space="preserve">Divisão </w:t>
    </w:r>
    <w:r w:rsidR="001F2A74" w:rsidRPr="001F2A74"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41.6pt;height:289.2pt;z-index:-251658240;mso-position-horizontal:center;mso-position-horizontal-relative:margin;mso-position-vertical:center;mso-position-vertical-relative:margin" o:allowincell="f">
          <v:imagedata r:id="rId4" o:title="Imagem4" gain="19661f" blacklevel="22938f"/>
          <w10:wrap anchorx="margin" anchory="margin"/>
        </v:shape>
      </w:pict>
    </w:r>
    <w:r>
      <w:rPr>
        <w:rFonts w:ascii="Arial" w:hAnsi="Arial" w:cs="Arial"/>
        <w:b/>
        <w:bCs/>
        <w:color w:val="000000"/>
        <w:sz w:val="28"/>
        <w:szCs w:val="38"/>
      </w:rPr>
      <w:t>Médica</w:t>
    </w:r>
  </w:p>
  <w:p w:rsidR="00200B04" w:rsidRPr="00200B04" w:rsidRDefault="00200B04" w:rsidP="00CF436F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autoSpaceDE w:val="0"/>
      <w:autoSpaceDN w:val="0"/>
      <w:adjustRightInd w:val="0"/>
      <w:ind w:right="142"/>
      <w:rPr>
        <w:rFonts w:ascii="Arial" w:hAnsi="Arial" w:cs="Arial"/>
        <w:b/>
        <w:bCs/>
        <w:color w:val="000000"/>
        <w:sz w:val="28"/>
        <w:szCs w:val="38"/>
      </w:rPr>
    </w:pP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</w:r>
    <w:r w:rsidRPr="00200B04">
      <w:rPr>
        <w:rFonts w:ascii="Arial" w:hAnsi="Arial" w:cs="Arial"/>
        <w:b/>
        <w:bCs/>
        <w:color w:val="000000"/>
        <w:sz w:val="28"/>
        <w:szCs w:val="38"/>
      </w:rPr>
      <w:tab/>
      <w:t>Infectologia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040" w:rsidRDefault="001F2A7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41.6pt;height:289.2pt;z-index:-251660288;mso-position-horizontal:center;mso-position-horizontal-relative:margin;mso-position-vertical:center;mso-position-vertical-relative:margin" o:allowincell="f">
          <v:imagedata r:id="rId1" o:title="Imagem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BCC"/>
    <w:multiLevelType w:val="hybridMultilevel"/>
    <w:tmpl w:val="9F727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2338"/>
    <w:multiLevelType w:val="hybridMultilevel"/>
    <w:tmpl w:val="89D422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4159"/>
    <w:multiLevelType w:val="hybridMultilevel"/>
    <w:tmpl w:val="5548299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C361566"/>
    <w:multiLevelType w:val="hybridMultilevel"/>
    <w:tmpl w:val="5548299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A241D9E"/>
    <w:multiLevelType w:val="hybridMultilevel"/>
    <w:tmpl w:val="D068D5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5F4B"/>
    <w:multiLevelType w:val="hybridMultilevel"/>
    <w:tmpl w:val="5548299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8E521A1"/>
    <w:multiLevelType w:val="hybridMultilevel"/>
    <w:tmpl w:val="9AF074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B0B1C"/>
    <w:multiLevelType w:val="hybridMultilevel"/>
    <w:tmpl w:val="E5C45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538ED"/>
    <w:multiLevelType w:val="hybridMultilevel"/>
    <w:tmpl w:val="457AD61E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D424400"/>
    <w:multiLevelType w:val="hybridMultilevel"/>
    <w:tmpl w:val="55482992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A2A6C4D"/>
    <w:multiLevelType w:val="hybridMultilevel"/>
    <w:tmpl w:val="17CEAE32"/>
    <w:lvl w:ilvl="0" w:tplc="3410CC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A732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627E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C9C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A27F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743A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E68F0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221D8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280A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9689F"/>
    <w:rsid w:val="000039B9"/>
    <w:rsid w:val="000259C5"/>
    <w:rsid w:val="00025AD9"/>
    <w:rsid w:val="000C302E"/>
    <w:rsid w:val="000D6A21"/>
    <w:rsid w:val="000F2EB4"/>
    <w:rsid w:val="001212F9"/>
    <w:rsid w:val="001A4054"/>
    <w:rsid w:val="001A5B10"/>
    <w:rsid w:val="001C55FD"/>
    <w:rsid w:val="001F2A74"/>
    <w:rsid w:val="00200410"/>
    <w:rsid w:val="00200B04"/>
    <w:rsid w:val="00257339"/>
    <w:rsid w:val="0026762A"/>
    <w:rsid w:val="00283899"/>
    <w:rsid w:val="002C36BF"/>
    <w:rsid w:val="00313AA9"/>
    <w:rsid w:val="00314E64"/>
    <w:rsid w:val="00320B92"/>
    <w:rsid w:val="0034441F"/>
    <w:rsid w:val="003678B0"/>
    <w:rsid w:val="003C01E5"/>
    <w:rsid w:val="00427C7F"/>
    <w:rsid w:val="00445FDC"/>
    <w:rsid w:val="00475E3A"/>
    <w:rsid w:val="00477F43"/>
    <w:rsid w:val="004C5177"/>
    <w:rsid w:val="004E0936"/>
    <w:rsid w:val="00521ED7"/>
    <w:rsid w:val="00600FA5"/>
    <w:rsid w:val="006157BA"/>
    <w:rsid w:val="00616989"/>
    <w:rsid w:val="00631C72"/>
    <w:rsid w:val="00652F56"/>
    <w:rsid w:val="006956F7"/>
    <w:rsid w:val="006B67DD"/>
    <w:rsid w:val="006F231B"/>
    <w:rsid w:val="0075311D"/>
    <w:rsid w:val="00770381"/>
    <w:rsid w:val="0079689F"/>
    <w:rsid w:val="007C2ADC"/>
    <w:rsid w:val="00810FE2"/>
    <w:rsid w:val="00824848"/>
    <w:rsid w:val="00887D53"/>
    <w:rsid w:val="00923521"/>
    <w:rsid w:val="00945C95"/>
    <w:rsid w:val="0097068F"/>
    <w:rsid w:val="009742DF"/>
    <w:rsid w:val="009A0F61"/>
    <w:rsid w:val="00A019DE"/>
    <w:rsid w:val="00A17040"/>
    <w:rsid w:val="00A17595"/>
    <w:rsid w:val="00A47470"/>
    <w:rsid w:val="00A65F6A"/>
    <w:rsid w:val="00A66A37"/>
    <w:rsid w:val="00A76E01"/>
    <w:rsid w:val="00B2505B"/>
    <w:rsid w:val="00B555A8"/>
    <w:rsid w:val="00B6711F"/>
    <w:rsid w:val="00C9168D"/>
    <w:rsid w:val="00CC4F80"/>
    <w:rsid w:val="00CF0D41"/>
    <w:rsid w:val="00CF436F"/>
    <w:rsid w:val="00D37900"/>
    <w:rsid w:val="00D753FD"/>
    <w:rsid w:val="00D91C00"/>
    <w:rsid w:val="00D96876"/>
    <w:rsid w:val="00DB0397"/>
    <w:rsid w:val="00DC6AA2"/>
    <w:rsid w:val="00DE4268"/>
    <w:rsid w:val="00E03A51"/>
    <w:rsid w:val="00E312EA"/>
    <w:rsid w:val="00E43670"/>
    <w:rsid w:val="00E92610"/>
    <w:rsid w:val="00ED38B7"/>
    <w:rsid w:val="00F03819"/>
    <w:rsid w:val="00F06226"/>
    <w:rsid w:val="00F078A7"/>
    <w:rsid w:val="00F423B5"/>
    <w:rsid w:val="00F56BF0"/>
    <w:rsid w:val="00F74B14"/>
    <w:rsid w:val="00F85D25"/>
    <w:rsid w:val="00F9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36BF"/>
    <w:rPr>
      <w:sz w:val="24"/>
      <w:szCs w:val="24"/>
    </w:rPr>
  </w:style>
  <w:style w:type="paragraph" w:styleId="Ttulo1">
    <w:name w:val="heading 1"/>
    <w:basedOn w:val="Normal"/>
    <w:next w:val="Normal"/>
    <w:qFormat/>
    <w:rsid w:val="00616989"/>
    <w:pPr>
      <w:keepNext/>
      <w:tabs>
        <w:tab w:val="left" w:pos="0"/>
        <w:tab w:val="left" w:pos="1418"/>
        <w:tab w:val="left" w:pos="2160"/>
        <w:tab w:val="left" w:pos="6480"/>
        <w:tab w:val="left" w:pos="8532"/>
        <w:tab w:val="left" w:pos="9378"/>
      </w:tabs>
      <w:ind w:left="720"/>
      <w:jc w:val="center"/>
      <w:outlineLvl w:val="0"/>
    </w:pPr>
    <w:rPr>
      <w:rFonts w:ascii="Arial" w:hAnsi="Arial"/>
      <w:b/>
      <w:sz w:val="28"/>
      <w:szCs w:val="20"/>
      <w:lang w:val="en-US"/>
    </w:rPr>
  </w:style>
  <w:style w:type="paragraph" w:styleId="Ttulo2">
    <w:name w:val="heading 2"/>
    <w:basedOn w:val="Normal"/>
    <w:next w:val="Normal"/>
    <w:qFormat/>
    <w:rsid w:val="00616989"/>
    <w:pPr>
      <w:keepNext/>
      <w:keepLines/>
      <w:tabs>
        <w:tab w:val="left" w:pos="0"/>
        <w:tab w:val="left" w:pos="1418"/>
        <w:tab w:val="left" w:pos="2160"/>
        <w:tab w:val="left" w:pos="6480"/>
        <w:tab w:val="left" w:pos="8532"/>
        <w:tab w:val="left" w:pos="9378"/>
      </w:tabs>
      <w:ind w:left="720"/>
      <w:jc w:val="both"/>
      <w:outlineLvl w:val="1"/>
    </w:pPr>
    <w:rPr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9689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9689F"/>
    <w:pPr>
      <w:tabs>
        <w:tab w:val="center" w:pos="4252"/>
        <w:tab w:val="right" w:pos="8504"/>
      </w:tabs>
    </w:pPr>
  </w:style>
  <w:style w:type="paragraph" w:customStyle="1" w:styleId="Normal0">
    <w:name w:val="[Normal]"/>
    <w:rsid w:val="00D37900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rsid w:val="00652F56"/>
  </w:style>
  <w:style w:type="paragraph" w:styleId="Textodebalo">
    <w:name w:val="Balloon Text"/>
    <w:basedOn w:val="Normal"/>
    <w:semiHidden/>
    <w:rsid w:val="0034441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57B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table" w:customStyle="1" w:styleId="SombreamentoClaro-nfase11">
    <w:name w:val="Sombreamento Claro - Ênfase 11"/>
    <w:basedOn w:val="Tabelanormal"/>
    <w:uiPriority w:val="60"/>
    <w:rsid w:val="00A65F6A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elaemcolunas3">
    <w:name w:val="Table Columns 3"/>
    <w:basedOn w:val="Tabelanormal"/>
    <w:rsid w:val="00A65F6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lug-vol">
    <w:name w:val="slug-vol"/>
    <w:basedOn w:val="Fontepargpadro"/>
    <w:rsid w:val="00E312EA"/>
  </w:style>
  <w:style w:type="character" w:customStyle="1" w:styleId="slug-issue">
    <w:name w:val="slug-issue"/>
    <w:basedOn w:val="Fontepargpadro"/>
    <w:rsid w:val="00E312EA"/>
  </w:style>
  <w:style w:type="paragraph" w:styleId="NormalWeb">
    <w:name w:val="Normal (Web)"/>
    <w:basedOn w:val="Normal"/>
    <w:uiPriority w:val="99"/>
    <w:unhideWhenUsed/>
    <w:rsid w:val="00810FE2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rsid w:val="00F0381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0381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F03819"/>
    <w:rPr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038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03819"/>
    <w:rPr>
      <w:b/>
      <w:bCs/>
    </w:rPr>
  </w:style>
  <w:style w:type="table" w:styleId="Tabelacomgrade">
    <w:name w:val="Table Grid"/>
    <w:basedOn w:val="Tabelanormal"/>
    <w:rsid w:val="00D968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2-nfase11">
    <w:name w:val="Sombreamento Médio 2 - Ênfase 11"/>
    <w:basedOn w:val="Tabelanormal"/>
    <w:uiPriority w:val="64"/>
    <w:rsid w:val="00ED38B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85D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4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487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3427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vendrr</dc:creator>
  <cp:keywords/>
  <cp:lastModifiedBy>lanzag02</cp:lastModifiedBy>
  <cp:revision>10</cp:revision>
  <cp:lastPrinted>2011-09-19T18:16:00Z</cp:lastPrinted>
  <dcterms:created xsi:type="dcterms:W3CDTF">2013-07-26T13:13:00Z</dcterms:created>
  <dcterms:modified xsi:type="dcterms:W3CDTF">2013-07-26T14:15:00Z</dcterms:modified>
</cp:coreProperties>
</file>