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V0.4 </w:t>
      </w:r>
      <w:r>
        <w:rPr>
          <w:rFonts w:hint="eastAsia"/>
        </w:rPr>
        <w:t xml:space="preserve">单侧驱制融合参数化几何与隔热导流结构：M3</w:t>
      </w:r>
    </w:p>
    <w:p>
      <w:pPr>
        <w:pStyle w:val="Subtitle"/>
      </w:pPr>
      <w:r>
        <w:rPr>
          <w:rFonts w:hint="eastAsia"/>
        </w:rPr>
        <w:t xml:space="preserve">实际执行概念CAD与几何验证</w:t>
      </w:r>
      <w:r>
        <w:t xml:space="preserve"> · </w:t>
      </w:r>
      <w:r>
        <w:rPr>
          <w:rFonts w:hint="eastAsia"/>
        </w:rPr>
        <w:t xml:space="preserve">未作制造发布或降温认证</w:t>
      </w:r>
    </w:p>
    <w:p>
      <w:pPr>
        <w:pStyle w:val="Author"/>
      </w:pPr>
      <w:r>
        <w:rPr>
          <w:rFonts w:hint="eastAsia"/>
        </w:rPr>
        <w:t xml:space="preserve">参数来源、几何建模与可复算审查</w:t>
      </w:r>
    </w:p>
    <w:p>
      <w:pPr>
        <w:pStyle w:val="Date"/>
      </w:pPr>
      <w:r>
        <w:t xml:space="preserve">2026-10-20</w:t>
      </w:r>
    </w:p>
    <w:bookmarkStart w:id="19" w:name="交付结论与版本边界"/>
    <w:p>
      <w:pPr>
        <w:pStyle w:val="Heading1"/>
      </w:pPr>
      <w:r>
        <w:t xml:space="preserve">1. </w:t>
      </w:r>
      <w:r>
        <w:rPr>
          <w:rFonts w:hint="eastAsia"/>
        </w:rPr>
        <w:t xml:space="preserve">交付结论与版本边界</w:t>
      </w:r>
    </w:p>
    <w:p>
      <w:pPr>
        <w:pStyle w:val="FirstParagraph"/>
      </w:pPr>
      <w:r>
        <w:rPr>
          <w:rFonts w:hint="eastAsia"/>
        </w:rPr>
        <w:t xml:space="preserve">M2已由研究者按“具有明确工程假设、通过能量守恒及数值验证的概念瞬态热网络模型”范围批准。PR</w:t>
      </w:r>
      <w:r>
        <w:t xml:space="preserve"> </w:t>
      </w:r>
      <w:r>
        <w:rPr>
          <w:rFonts w:hint="eastAsia"/>
        </w:rPr>
        <w:t xml:space="preserve">#3已合并；附注Tag</w:t>
      </w:r>
      <w:r>
        <w:t xml:space="preserve"> </w:t>
      </w:r>
      <w:r>
        <w:rPr>
          <w:rStyle w:val="VerbatimChar"/>
        </w:rPr>
        <w:t xml:space="preserve">M2-v1.0</w:t>
      </w:r>
      <w:r>
        <w:t xml:space="preserve"> </w:t>
      </w:r>
      <w:r>
        <w:rPr>
          <w:rFonts w:hint="eastAsia"/>
        </w:rPr>
        <w:t xml:space="preserve">远端对象为</w:t>
      </w:r>
      <w:r>
        <w:t xml:space="preserve"> </w:t>
      </w:r>
      <w:r>
        <w:rPr>
          <w:rStyle w:val="VerbatimChar"/>
        </w:rPr>
        <w:t xml:space="preserve">4ad89c4a220174de741b4ba48706279d3b7cb2d1</w:t>
      </w:r>
      <w:r>
        <w:rPr>
          <w:rFonts w:hint="eastAsia"/>
        </w:rPr>
        <w:t xml:space="preserve">，剥离目标与实际main合并提交</w:t>
      </w:r>
      <w:r>
        <w:t xml:space="preserve"> </w:t>
      </w:r>
      <w:r>
        <w:rPr>
          <w:rStyle w:val="VerbatimChar"/>
        </w:rPr>
        <w:t xml:space="preserve">1d51c22d94577ff8f52be785300b5f6b4aadee37</w:t>
      </w:r>
      <w:r>
        <w:rPr>
          <w:rFonts w:hint="eastAsia"/>
        </w:rPr>
        <w:t xml:space="preserve">一致。M0/M1固定Tag未变。M2真实几何、热阻、换热和温度标定仍未完成，限定验收没有消除这些限制。</w:t>
      </w:r>
    </w:p>
    <w:p>
      <w:pPr>
        <w:pStyle w:val="BodyText"/>
      </w:pPr>
      <w:r>
        <w:rPr>
          <w:rFonts w:hint="eastAsia"/>
        </w:rPr>
        <w:t xml:space="preserve">远端归档成功后，从该最新main建立</w:t>
      </w:r>
      <w:r>
        <w:t xml:space="preserve"> </w:t>
      </w:r>
      <w:r>
        <w:rPr>
          <w:rStyle w:val="VerbatimChar"/>
        </w:rPr>
        <w:t xml:space="preserve">stage/M3-geometry</w:t>
      </w:r>
      <w:r>
        <w:rPr>
          <w:rFonts w:hint="eastAsia"/>
        </w:rPr>
        <w:t xml:space="preserve">，</w:t>
      </w:r>
      <w:hyperlink r:id="rId18">
        <w:r>
          <w:rPr>
            <w:rStyle w:val="Hyperlink"/>
            <w:rFonts w:hint="eastAsia"/>
          </w:rPr>
          <w:t xml:space="preserve">草稿PR</w:t>
        </w:r>
        <w:r>
          <w:rPr>
            <w:rStyle w:val="Hyperlink"/>
          </w:rPr>
          <w:t xml:space="preserve"> #4</w:t>
        </w:r>
      </w:hyperlink>
      <w:r>
        <w:rPr>
          <w:rFonts w:hint="eastAsia"/>
        </w:rPr>
        <w:t xml:space="preserve">独立送审。实际CAD生成源提交</w:t>
      </w:r>
      <w:r>
        <w:t xml:space="preserve"> </w:t>
      </w:r>
      <w:r>
        <w:rPr>
          <w:rStyle w:val="VerbatimChar"/>
        </w:rPr>
        <w:t xml:space="preserve">3ea9c6bd2af2cde56d17c1ce5f56ba446813477b</w:t>
      </w:r>
      <w:r>
        <w:rPr>
          <w:rFonts w:hint="eastAsia"/>
        </w:rPr>
        <w:t xml:space="preserve">；后续报告/图稿和完整成果提交在阶段登记追加，不将证据SHA冒充正式验收版本。</w:t>
      </w:r>
    </w:p>
    <w:p>
      <w:pPr>
        <w:pStyle w:val="BodyText"/>
      </w:pPr>
      <w:r>
        <w:rPr>
          <w:rFonts w:hint="eastAsia"/>
        </w:rPr>
        <w:t xml:space="preserve">本轮已实际执行</w:t>
      </w:r>
      <w:r>
        <w:t xml:space="preserve"> </w:t>
      </w:r>
      <w:r>
        <w:rPr>
          <w:b/>
          <w:bCs/>
        </w:rPr>
        <w:t xml:space="preserve">CadQuery2.8.0 / OpenCascade7.9.3.1 / Python3.13.12</w:t>
      </w:r>
      <w:r>
        <w:rPr>
          <w:rFonts w:hint="eastAsia"/>
        </w:rPr>
        <w:t xml:space="preserve">，生成共同零件、四种装配与四个外部空气域，导出56个有限STEP；参数化源为YAML与Python。4名义Case无超过0.001mm³的正体积干涉，STEP回读体积相对误差约10⁻¹³。8组测试、18个齿轮相位、2187组解析范围筛查完成；729组不满足几何约束并被拒绝。</w:t>
      </w:r>
    </w:p>
    <w:p>
      <w:pPr>
        <w:pStyle w:val="BodyText"/>
      </w:pPr>
      <w:r>
        <w:rPr>
          <w:rFonts w:hint="eastAsia"/>
          <w:b/>
          <w:bCs/>
        </w:rPr>
        <w:t xml:space="preserve">M3交付为S3概念几何和候选热参数，不是原厂总成CAD、可制造发布、实物安装验证、样机标定或降温结果。</w:t>
      </w:r>
      <w:r>
        <w:t xml:space="preserve"> </w:t>
      </w:r>
      <w:r>
        <w:rPr>
          <w:rFonts w:hint="eastAsia"/>
        </w:rPr>
        <w:t xml:space="preserve">当前输出轴强度余量、轴向定位/花键、轴承寿命/配合、分体壳体、密封及整车安装仍需完成。SolidWorks、ANSYS、Fluent与M4均NOT</w:t>
      </w:r>
      <w:r>
        <w:t xml:space="preserve"> EXECUTED/NOT </w:t>
      </w:r>
      <w:r>
        <w:rPr>
          <w:rFonts w:hint="eastAsia"/>
        </w:rPr>
        <w:t xml:space="preserve">STARTED。未经研究者批准不合并M3、不创建M3-v1.0、不进入M4。</w:t>
      </w:r>
    </w:p>
    <w:bookmarkEnd w:id="19"/>
    <w:bookmarkStart w:id="20" w:name="对象来源与参数等级"/>
    <w:p>
      <w:pPr>
        <w:pStyle w:val="Heading1"/>
      </w:pPr>
      <w:r>
        <w:t xml:space="preserve">2. </w:t>
      </w:r>
      <w:r>
        <w:rPr>
          <w:rFonts w:hint="eastAsia"/>
        </w:rPr>
        <w:t xml:space="preserve">对象、来源与参数等级</w:t>
      </w:r>
    </w:p>
    <w:p>
      <w:pPr>
        <w:pStyle w:val="FirstParagraph"/>
      </w:pPr>
      <w:r>
        <w:rPr>
          <w:rFonts w:hint="eastAsia"/>
        </w:rPr>
        <w:t xml:space="preserve">保持1800kg后驱概念车、后轴左右独立电机、每侧参考60kW及9:1，无差速器；详细几何仅左侧。前轴制动与整车双侧动力学继续只读复用M1。这里将参考电机外形用于自设计总成，不能称Toyota量产后驱电驱桥。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几何数据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值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来源及适用范围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电机壳体外径、轴向长度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302、161mm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ORNL表2.7，印刷46/PDF55页，S1参考，不缩放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定子外径/内径/叠长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264/161.9/50.8mm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同表；槽口、端绕组和浸漆未重建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转子外径/叠片孔/叠长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160.4/51/50.165mm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同表；51mm不是外伸轴端直径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电机外伸轴端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30mm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S3阶梯轴；轴端、花键及电机轴承未知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后盘外径/厚度/总高/定位孔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280/22/42/68mm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Brembo09.9908.21外形参照；内部筋、帽形、孔距为S3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输出轴承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6209，45×85×19mm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SKF目录边界；每只0.404kg参考质量，不等于完成寿命选型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中间/输入轴承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6207，35×72×17；6206，30×62×16mm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SKF目录边界；CAD只作支承包络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壳体、卡钳、支架、盘毂、孔距、安装距离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独立配置及Python基本体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S3自设计，不冒充真实量产参数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ORNL原件和Brembo/SKF厂家页面已经核对，HTTP获取状态与哈希见</w:t>
      </w:r>
      <w:r>
        <w:t xml:space="preserve"> </w:t>
      </w:r>
      <w:r>
        <w:rPr>
          <w:rStyle w:val="VerbatimChar"/>
        </w:rPr>
        <w:t xml:space="preserve">data/raw/m3/manifest.json</w:t>
      </w:r>
      <w:r>
        <w:rPr>
          <w:rFonts w:hint="eastAsia"/>
        </w:rPr>
        <w:t xml:space="preserve">，方法和限制见</w:t>
      </w:r>
      <w:r>
        <w:t xml:space="preserve"> </w:t>
      </w:r>
      <w:r>
        <w:rPr>
          <w:rStyle w:val="VerbatimChar"/>
        </w:rPr>
        <w:t xml:space="preserve">docs/M3_SOURCE_REVIEW.md</w:t>
      </w:r>
      <w:r>
        <w:rPr>
          <w:rFonts w:hint="eastAsia"/>
        </w:rPr>
        <w:t xml:space="preserve">。KHK仅支持标准齿轮几何计算方法；模块、齿数和布局由本项目选择。材料ρ、cp、k及热膨胀系数为S3等效候选，M2的NIST量级参照不使新几何成为实测参数。</w:t>
      </w:r>
    </w:p>
    <w:p>
      <w:pPr>
        <w:pStyle w:val="BodyText"/>
      </w:pPr>
      <w:r>
        <w:rPr>
          <w:rFonts w:hint="eastAsia"/>
        </w:rPr>
        <w:t xml:space="preserve">参考电机壳体质量14.1kg还包括原总成附属件，不能用它证明本等效壳体8.46kg正确；不通过强行调密度使不同对象质量相等。原始实际安装和热接触等未知量保持null。</w:t>
      </w:r>
    </w:p>
    <w:bookmarkEnd w:id="20"/>
    <w:bookmarkStart w:id="27" w:name="单侧三维模型与装配坐标"/>
    <w:p>
      <w:pPr>
        <w:pStyle w:val="Heading1"/>
      </w:pPr>
      <w:r>
        <w:t xml:space="preserve">3. </w:t>
      </w:r>
      <w:r>
        <w:rPr>
          <w:rFonts w:hint="eastAsia"/>
        </w:rPr>
        <w:t xml:space="preserve">单侧三维模型与装配坐标</w:t>
      </w:r>
    </w:p>
    <w:p>
      <w:pPr>
        <w:pStyle w:val="FirstParagraph"/>
      </w:pPr>
      <w:r>
        <w:rPr>
          <w:rFonts w:hint="eastAsia"/>
        </w:rPr>
        <w:t xml:space="preserve">统一CAD单位mm，轴向为</w:t>
      </w:r>
      <m:oMath>
        <m:r>
          <m:t>x</m:t>
        </m:r>
      </m:oMath>
      <w:r>
        <w:rPr>
          <w:rFonts w:hint="eastAsia"/>
        </w:rPr>
        <w:t xml:space="preserve">，三根旋转轴平行</w:t>
      </w:r>
      <m:oMath>
        <m:r>
          <m:t>x</m:t>
        </m:r>
      </m:oMath>
      <w:r>
        <w:rPr>
          <w:rFonts w:hint="eastAsia"/>
        </w:rPr>
        <w:t xml:space="preserve">。输出轴中心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，中间轴</w:t>
      </w:r>
      <m:oMath>
        <m:r>
          <m:rPr>
            <m:sty m:val="p"/>
          </m:rPr>
          <m:t>(</m:t>
        </m:r>
        <m:r>
          <m:t>120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，电机/输入轴</w:t>
      </w:r>
      <m:oMath>
        <m:r>
          <m:rPr>
            <m:sty m:val="p"/>
          </m:rPr>
          <m:t>(</m:t>
        </m:r>
        <m:r>
          <m:t>120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。齿轮一级轴向区间33–58mm，二级95–127mm，不因端视图圆重叠而认定不同轴向级发生碰撞。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m</m:t>
          </m:r>
          <m:r>
            <m:t>z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20</m:t>
              </m:r>
            </m:den>
          </m:f>
          <m:f>
            <m:fPr>
              <m:type m:val="bar"/>
            </m:fPr>
            <m:num>
              <m:r>
                <m:t>60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一级模数2.5、20/60齿、中心距100mm、宽25mm；二级模数3、20/60齿、中心距120mm、宽32mm。齿廓采用20°标准全齿高渐开线的分段近似，侧隙候选0.15mm；无齿根圆角、接触疲劳或NVH验证。齿数与模数来自配置，壳长当前支持160mm固定布局，改变壳长需显式修改端支承布局，不会静默忽略输入。</w:t>
      </w:r>
    </w:p>
    <w:p>
      <w:pPr>
        <w:pStyle w:val="BodyText"/>
      </w:pPr>
      <w:r>
        <w:rPr>
          <w:rFonts w:hint="eastAsia"/>
        </w:rPr>
        <w:t xml:space="preserve">电机壳体位于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161</m:t>
        </m:r>
        <m:r>
          <m:rPr>
            <m:sty m:val="p"/>
          </m:rPr>
          <m:t>…</m:t>
        </m:r>
        <m:r>
          <m:t>0</m:t>
        </m:r>
      </m:oMath>
      <w:r>
        <w:rPr>
          <w:rFonts w:hint="eastAsia"/>
        </w:rPr>
        <w:t xml:space="preserve">，减速器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160</m:t>
        </m:r>
      </m:oMath>
      <w:r>
        <w:rPr>
          <w:rFonts w:hint="eastAsia"/>
        </w:rPr>
        <w:t xml:space="preserve">，制动盘近/远面</w:t>
      </w:r>
      <m:oMath>
        <m:r>
          <m:t>x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/</m:t>
        </m:r>
        <m:r>
          <m:t>227</m:t>
        </m:r>
      </m:oMath>
      <w:r>
        <w:rPr>
          <w:rFonts w:hint="eastAsia"/>
        </w:rPr>
        <w:t xml:space="preserve">。盘帽背面</w:t>
      </w:r>
      <m:oMath>
        <m:r>
          <m:t>x</m:t>
        </m:r>
        <m:r>
          <m:rPr>
            <m:sty m:val="p"/>
          </m:rPr>
          <m:t>=</m:t>
        </m:r>
        <m:r>
          <m:t>185</m:t>
        </m:r>
      </m:oMath>
      <w:r>
        <w:rPr>
          <w:rFonts w:hint="eastAsia"/>
        </w:rPr>
        <w:t xml:space="preserve">，总高42mm；近摩擦面到壳体端面45mm。壳体基本外包络160×395×375mm，另有两侧车架接口耳；单侧装配轴向总包络约421mm、横向约493mm、高约405mm，整车包络仍未知，不能由两套镜像相加就声称可装车。</w:t>
      </w:r>
    </w:p>
    <w:p>
      <w:pPr>
        <w:pStyle w:val="CaptionedFigure"/>
      </w:pPr>
      <w:r>
        <w:drawing>
          <wp:inline>
            <wp:extent cx="6045200" cy="2518833"/>
            <wp:effectExtent b="0" l="0" r="0" t="0"/>
            <wp:docPr descr="S3尺寸与布局：左为不同轴向级的端视分度圆，右为轴向示意；非制造图。" title="" id="22" name="Picture"/>
            <a:graphic>
              <a:graphicData uri="http://schemas.openxmlformats.org/drawingml/2006/picture">
                <pic:pic>
                  <pic:nvPicPr>
                    <pic:cNvPr descr="../results/m3/dimensions_layou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S3尺寸与布局：左为不同轴向级的端视分度圆，右为轴向示意；非制造图。</w:t>
      </w:r>
    </w:p>
    <w:p>
      <w:pPr>
        <w:pStyle w:val="BodyText"/>
      </w:pPr>
      <w:r>
        <w:rPr>
          <w:rFonts w:hint="eastAsia"/>
        </w:rPr>
        <w:t xml:space="preserve">共同32个命名部件包括电机壳/定子/分段绕组/转子其他/阶梯输入轴、环形水套、中间与输出轴、4齿轮、6轴承包络、齿轮箱壳体、油库存、盘帽、毂、卡钳、两片、反力支架和安装螺栓。输出轴径45mm、长度260mm；参考电机转子孔保留51mm，但轴伸采用30mm新假设，不能把二者混用。</w:t>
      </w:r>
    </w:p>
    <w:p>
      <w:pPr>
        <w:pStyle w:val="BodyText"/>
      </w:pPr>
      <w:r>
        <w:rPr>
          <w:rFonts w:hint="eastAsia"/>
        </w:rPr>
        <w:t xml:space="preserve">绕组50个接触/等效体未重建导线；定子48个简化槽及端绕组仅供等效热建模。壳体有电机错位安装孔和两个14mm车架接口孔，卡钳由两只M10概念螺栓和钢支架承力。其预紧、螺纹、摩擦防滑、壳体局部强度、轴肩/挡圈/花键、分体壳体及密封尚未完成，STEP不是可制造装配说明。</w:t>
      </w:r>
    </w:p>
    <w:p>
      <w:pPr>
        <w:pStyle w:val="CaptionedFigure"/>
      </w:pPr>
      <w:r>
        <w:drawing>
          <wp:inline>
            <wp:extent cx="6045200" cy="4396509"/>
            <wp:effectExtent b="0" l="0" r="0" t="0"/>
            <wp:docPr descr="实际B-rep三角化的Case0剖透示意：壳体透明仅为展示，原STEP没有人为切掉壳体；S3概念。" title="" id="25" name="Picture"/>
            <a:graphic>
              <a:graphicData uri="http://schemas.openxmlformats.org/drawingml/2006/picture">
                <pic:pic>
                  <pic:nvPicPr>
                    <pic:cNvPr descr="../results/m3/assembly_cutaw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39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实际B-rep三角化的Case0剖透示意：壳体透明仅为展示，原STEP没有人为切掉壳体；S3概念。</w:t>
      </w:r>
    </w:p>
    <w:bookmarkEnd w:id="27"/>
    <w:bookmarkStart w:id="34" w:name="真正的case0与三种新增结构"/>
    <w:p>
      <w:pPr>
        <w:pStyle w:val="Heading1"/>
      </w:pPr>
      <w:r>
        <w:t xml:space="preserve">4. </w:t>
      </w:r>
      <w:r>
        <w:rPr>
          <w:rFonts w:hint="eastAsia"/>
        </w:rPr>
        <w:t xml:space="preserve">真正的Case0与三种新增结构</w:t>
      </w:r>
    </w:p>
    <w:p>
      <w:pPr>
        <w:pStyle w:val="FirstParagraph"/>
      </w:pPr>
      <w:r>
        <w:rPr>
          <w:rFonts w:hint="eastAsia"/>
        </w:rPr>
        <w:t xml:space="preserve">M2网络中已有护罩节点，因此</w:t>
      </w:r>
      <w:r>
        <w:rPr>
          <w:rFonts w:hint="eastAsia"/>
          <w:b/>
          <w:bCs/>
        </w:rPr>
        <w:t xml:space="preserve">不能把已归档M2原网络叫作无罩基准</w:t>
      </w:r>
      <w:r>
        <w:t xml:space="preserve">。M3 </w:t>
      </w:r>
      <w:r>
        <w:rPr>
          <w:rFonts w:hint="eastAsia"/>
        </w:rPr>
        <w:t xml:space="preserve">Case0实际没有新增护罩、支柱或导流通道；如果后续采用此基准重新计算网络，必须另建配置移除M2护罩节点/辐射边，本轮未改M2。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M3几何方案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新增结构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候选参数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新增罩及支撑质量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无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盘到箱端面45mm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0kg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单层不锈钢候选罩+3支柱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厚1.5mm，盘距10mm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0.354kg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CaseB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双层罩+两级支柱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两层各1.5mm，层间10mm，近盘距10mm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0.680kg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CaseC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罩与开口斜通道一体、连接耳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同A，通道高70mm、出口方向20°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0.531kg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罩内/外半径95/150mm，卡钳避让80°。四个通风窗口保留内外连续桥带，面积比为扣除卡钳缺口后可用环带的15%，不是把整片径向割成无支承扇区。通风口候选面积约0.004939m²；C的通道内入口37×67mm，面积0.002479m²，出口倾斜通过斜向中心线形成，未假定风机或强制流量。</w:t>
      </w:r>
    </w:p>
    <w:p>
      <w:pPr>
        <w:pStyle w:val="CaptionedFigure"/>
      </w:pPr>
      <w:r>
        <w:drawing>
          <wp:inline>
            <wp:extent cx="6045200" cy="4749800"/>
            <wp:effectExtent b="0" l="0" r="0" t="0"/>
            <wp:docPr descr="实际CAD四方案对比：全部使用相同基础32体；黄色为新增结构，透明壳体仅展示。" title="" id="29" name="Picture"/>
            <a:graphic>
              <a:graphicData uri="http://schemas.openxmlformats.org/drawingml/2006/picture">
                <pic:pic>
                  <pic:nvPicPr>
                    <pic:cNvPr descr="../results/m3/structure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实际CAD四方案对比：全部使用相同基础32体；黄色为新增结构，透明壳体仅展示。</w:t>
      </w:r>
    </w:p>
    <w:p>
      <w:pPr>
        <w:pStyle w:val="CaptionedFigure"/>
      </w:pPr>
      <w:r>
        <w:drawing>
          <wp:inline>
            <wp:extent cx="6045200" cy="4396509"/>
            <wp:effectExtent b="0" l="0" r="0" t="0"/>
            <wp:docPr descr="S3隔热结构轴向剖面示意，显示真实无罩基准、单/双层间隙与开放通道；不代表求解温度。" title="" id="32" name="Picture"/>
            <a:graphic>
              <a:graphicData uri="http://schemas.openxmlformats.org/drawingml/2006/picture">
                <pic:pic>
                  <pic:nvPicPr>
                    <pic:cNvPr descr="../results/m3/shield_secti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39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S3隔热结构轴向剖面示意，显示真实无罩基准、单/双层间隙与开放通道；不代表求解温度。</w:t>
      </w:r>
    </w:p>
    <w:p>
      <w:pPr>
        <w:pStyle w:val="BodyText"/>
      </w:pPr>
      <w:r>
        <w:rPr>
          <w:rFonts w:hint="eastAsia"/>
        </w:rPr>
        <w:t xml:space="preserve">设计变量按配置扫描：盘到箱25–65mm、罩距5–15mm、厚1–2mm、双层间隙5–15mm、开口面积比0.10–0.30、出口方向0–35°。解析检查2187组，729组拒绝；25mm盘距下支架延伸空间不足，部分双层参数还会侵入壳体或不能保留3mm装配间隙。未对所有范围点输出CAD或声称均可制造；25mm布局另做实际B-rep并成功触发拒绝。</w:t>
      </w:r>
    </w:p>
    <w:bookmarkEnd w:id="34"/>
    <w:bookmarkStart w:id="38" w:name="安装热膨胀及静力筛查"/>
    <w:p>
      <w:pPr>
        <w:pStyle w:val="Heading1"/>
      </w:pPr>
      <w:r>
        <w:t xml:space="preserve">5. </w:t>
      </w:r>
      <w:r>
        <w:rPr>
          <w:rFonts w:hint="eastAsia"/>
        </w:rPr>
        <w:t xml:space="preserve">安装、热膨胀及静力筛查</w:t>
      </w:r>
    </w:p>
    <w:bookmarkStart w:id="35" w:name="干涉与中性格式"/>
    <w:p>
      <w:pPr>
        <w:pStyle w:val="Heading2"/>
      </w:pPr>
      <w:r>
        <w:t xml:space="preserve">5.1 </w:t>
      </w:r>
      <w:r>
        <w:rPr>
          <w:rFonts w:hint="eastAsia"/>
        </w:rPr>
        <w:t xml:space="preserve">干涉与中性格式</w:t>
      </w:r>
    </w:p>
    <w:p>
      <w:pPr>
        <w:pStyle w:val="FirstParagraph"/>
      </w:pPr>
      <w:r>
        <w:rPr>
          <w:rFonts w:hint="eastAsia"/>
        </w:rPr>
        <w:t xml:space="preserve">四名义Case分别有32/36/40/36个命名部件；全对检查先用轴对齐包围盒剔除无交集对，再对283对候选做B-rep布尔交集。共同边界接触允许，正体积阈值0.001mm³；最终无超过阈值的交叠。18个啮合转角点同样无正体积齿干涉，但不能证明连续运动公差、磨损或接触应力。</w:t>
      </w:r>
    </w:p>
    <w:p>
      <w:pPr>
        <w:pStyle w:val="BodyText"/>
      </w:pPr>
      <w:r>
        <w:rPr>
          <w:rFonts w:hint="eastAsia"/>
        </w:rPr>
        <w:t xml:space="preserve">四装配STEP均回读为有效B-rep，体积相对误差约1.0–1.2×10⁻¹³；mm尺寸量级检查通过。56个STEP合计约78MB，最大装配约15MB；采用共同零件存一次、4装配、4空气域及新增罩件的有限归档方案，未存放CAD内核/虚拟环境或大规模DOE模型。</w:t>
      </w:r>
    </w:p>
    <w:p>
      <w:pPr>
        <w:pStyle w:val="BodyText"/>
      </w:pPr>
      <w:r>
        <w:rPr>
          <w:rFonts w:hint="eastAsia"/>
        </w:rPr>
        <w:t xml:space="preserve">失败证据完整保留：初始输出轴后伸5mm与电机端盖交叠约2703mm³；将轴端收回箱体端面，未缩放电机。四正交安装螺栓中一只碰中间轴承约61.7mm³，改为20/100/180/300°错位孔。初始通风筋与内圆精确相切导致STEP回读失效，筋根偏离切点0.5mm并与盘片作0.02mm布尔融合重叠，消除退化，外形参考值未变。</w:t>
      </w:r>
    </w:p>
    <w:p>
      <w:pPr>
        <w:pStyle w:val="BodyText"/>
      </w:pPr>
      <w:r>
        <w:rPr>
          <w:rFonts w:hint="eastAsia"/>
        </w:rPr>
        <w:t xml:space="preserve">初次外部空气连通检查还发现两处各约689mm³的封闭螺栓间隙气穴；最终外流域取最大连通体，气穴另记体积，未伪造通风孔。所有初次失败日志与修复后结果分开，不把第一次运行写成通过。</w:t>
      </w:r>
    </w:p>
    <w:bookmarkEnd w:id="35"/>
    <w:bookmarkStart w:id="36" w:name="盘热膨胀与间隙"/>
    <w:p>
      <w:pPr>
        <w:pStyle w:val="Heading2"/>
      </w:pPr>
      <w:r>
        <w:t xml:space="preserve">5.2 </w:t>
      </w:r>
      <w:r>
        <w:rPr>
          <w:rFonts w:hint="eastAsia"/>
        </w:rPr>
        <w:t xml:space="preserve">盘热膨胀与间隙</w:t>
      </w:r>
    </w:p>
    <w:p>
      <w:pPr>
        <w:pStyle w:val="FirstParagraph"/>
      </w:pPr>
      <w:r>
        <w:rPr>
          <w:rFonts w:hint="eastAsia"/>
        </w:rPr>
        <w:t xml:space="preserve">以候选铸铁线膨胀系数</w:t>
      </w:r>
      <m:oMath>
        <m:r>
          <m:t>α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、均匀温升400K作几何压力筛查。400K并非M2盘温预测，也不代表允许温升。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Δ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h</m:t>
              </m:r>
              <m:r>
                <m:t>a</m:t>
              </m:r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Δ</m:t>
          </m:r>
          <m:r>
            <m:t>T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0.0484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盘外圆到钳桥候选冷间隙5mm，减去1mm装配预算及径向膨胀后仍3.384mm。单侧片运行间隙0.5mm，减去0.1mm轴向跳动预算、0.1mm片轴向公差及半厚增长后为0.2516mm；若跳动达1mm则为负并拒绝。真实跳动、热锥变形、摩擦片磨耗、支架挠曲和制动液沸腾未验证，不能把均匀膨胀当作完整制动器热安全。</w:t>
      </w:r>
    </w:p>
    <w:bookmarkEnd w:id="36"/>
    <w:bookmarkStart w:id="37" w:name="输出轴与制动反力"/>
    <w:p>
      <w:pPr>
        <w:pStyle w:val="Heading2"/>
      </w:pPr>
      <w:r>
        <w:t xml:space="preserve">5.3 </w:t>
      </w:r>
      <w:r>
        <w:rPr>
          <w:rFonts w:hint="eastAsia"/>
        </w:rPr>
        <w:t xml:space="preserve">输出轴与制动反力</w:t>
      </w:r>
    </w:p>
    <w:p>
      <w:pPr>
        <w:pStyle w:val="FirstParagraph"/>
      </w:pPr>
      <w:r>
        <w:rPr>
          <w:rFonts w:hint="eastAsia"/>
        </w:rPr>
        <w:t xml:space="preserve">由CAD矩形片接触区域求平均力臂约0.11435m；整环均匀压力公式约0.11474m，仅作对照：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l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单侧后盘0再生0.6g参考转矩752.84Nm，切向合力约6583N；候选摩擦系数0.35时每片法向力约9405N。反力路径为片/卡钳→两只安装螺栓→钢支架→齿轮箱安装凸台/壳体→车架接口耳，车辆侧支承边界尚未定义。按螺栓组中心至作用线偏心45.65mm，局部力矩约300.5Nm；两螺栓间距60mm，单栓合成剪力约5993N，以假设有效截面58mm²得到103.3MPa。120MPa只是S3静力筛查值，预紧、防滑、螺栓弯曲、热衰减与疲劳未知。</w:t>
      </w:r>
    </w:p>
    <w:p>
      <w:pPr>
        <w:pStyle w:val="BodyText"/>
      </w:pPr>
      <w:r>
        <w:rPr>
          <w:rFonts w:hint="eastAsia"/>
        </w:rPr>
        <w:t xml:space="preserve">输出轴另分别计算驱动与制动两工况，未将牵引和制动最大值硬加。软件牵引130Nm，经9×0.96得输出1123.2Nm；并按二级齿轮力及两支承静力求弯矩。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t>M</m:t>
              </m:r>
            </m:num>
            <m:den>
              <m:r>
                <m:t>π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T</m:t>
              </m:r>
            </m:num>
            <m:den>
              <m:r>
                <m:t>π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ad>
            <m:radPr>
              <m:degHide m:val="on"/>
            </m:radPr>
            <m:deg/>
            <m:e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轴径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驱动等效应力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制动等效应力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180MPa假设限值下结论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40mm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249.1MPa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186.6MPa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拒绝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45mm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175.0MPa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131.1MPa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仅静力筛查通过，驱动余量约3%，不能冻结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50mm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127.5MPa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95.5MPa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值得优先复核，需重配轴承/毂/花键/密封</w:t>
            </w:r>
          </w:p>
        </w:tc>
      </w:tr>
    </w:tbl>
    <w:p>
      <w:pPr>
        <w:pStyle w:val="BodyText"/>
      </w:pP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hint="eastAsia"/>
        </w:rPr>
        <w:t xml:space="preserve">与180MPa均未由具体材料、缺口或温度实验证实；若实际缺口系数升至2，45mm驱动筛查将不通过。轴承反力约数kN至10kN，制动时内侧反力为负，说明过悬布置需要可靠双向支承与轴向定位；未完成轴承寿命和热配合。</w:t>
      </w:r>
    </w:p>
    <w:bookmarkEnd w:id="37"/>
    <w:bookmarkEnd w:id="38"/>
    <w:bookmarkStart w:id="44" w:name="固体传热与辐射几何候选"/>
    <w:p>
      <w:pPr>
        <w:pStyle w:val="Heading1"/>
      </w:pPr>
      <w:r>
        <w:t xml:space="preserve">6. </w:t>
      </w:r>
      <w:r>
        <w:rPr>
          <w:rFonts w:hint="eastAsia"/>
        </w:rPr>
        <w:t xml:space="preserve">固体传热与辐射几何候选</w:t>
      </w:r>
    </w:p>
    <w:bookmarkStart w:id="39" w:name="体导热不等于接触热阻"/>
    <w:p>
      <w:pPr>
        <w:pStyle w:val="Heading2"/>
      </w:pPr>
      <w:r>
        <w:t xml:space="preserve">6.1 </w:t>
      </w:r>
      <w:r>
        <w:rPr>
          <w:rFonts w:hint="eastAsia"/>
        </w:rPr>
        <w:t xml:space="preserve">体导热不等于接触热阻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k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r>
                <m:t>k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径向环带以</w:t>
      </w:r>
      <m:oMath>
        <m:r>
          <m:t>L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及对数等效面积</w:t>
      </w:r>
      <m:oMath>
        <m:sSub>
          <m:e>
            <m:r>
              <m:t>A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记录，使表中L、A、k保持SI。接触项均null，不以几何计算自动补出真实接触压力或油膜。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路径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M3候选体热阻K/W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M2等效值K/W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使用限制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毂侧到近输出轴承的轴向轴段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0.482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 w:val="0"/>
                <w:sz w:val="19"/>
              </w:rPr>
              <w:t xml:space="preserve">盘/轴+轴/轴承串联3.5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仅34.5mm轴段，仍缺帽/毂/轴连接接触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盘帽5mm径向环板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0.673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 w:val="0"/>
                <w:sz w:val="19"/>
              </w:rPr>
              <w:t xml:space="preserve">盘到轴2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仅34–88mm径向实体项；不能与前行等同原单边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轴承环连续体径向下界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0.118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 w:val="0"/>
                <w:sz w:val="19"/>
              </w:rPr>
              <w:t xml:space="preserve">轴/轴承+轴承/壳2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真实滚动体/接触不连续，不能用实心环直接替代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支架轴向27mm钢桥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0.222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 w:val="0"/>
                <w:sz w:val="19"/>
              </w:rPr>
              <w:t xml:space="preserve">片/钳到壳8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安装和螺栓/接触未知；低体阻可能形成热桥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电机安装法兰全脸体阻下界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0.00116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 w:val="0"/>
                <w:sz w:val="19"/>
              </w:rPr>
              <w:t xml:space="preserve">两壳体0.3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全接触面积为上界，真实夹紧接触范围未知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M2等效边包含几何之外的界面与混合路径，两列不是同一已标定参数的“新旧真值”。不能因体阻低就宣称总热阻低；可优先辨识轴承、毂连接和支架热桥。接触面积比例0.1–1作为额外候选尺度，真实接触导热率仍null；无有限接触数据时不输出经过标定的总R。</w:t>
      </w:r>
    </w:p>
    <w:bookmarkEnd w:id="39"/>
    <w:bookmarkStart w:id="43" w:name="直接几何视角与遮挡"/>
    <w:p>
      <w:pPr>
        <w:pStyle w:val="Heading2"/>
      </w:pPr>
      <w:r>
        <w:t xml:space="preserve">6.2 </w:t>
      </w:r>
      <w:r>
        <w:rPr>
          <w:rFonts w:hint="eastAsia"/>
        </w:rPr>
        <w:t xml:space="preserve">直接几何视角与遮挡</w:t>
      </w:r>
    </w:p>
    <w:p>
      <w:pPr>
        <w:pStyle w:val="FirstParagraph"/>
      </w:pPr>
      <w:r>
        <w:rPr>
          <w:rFonts w:hint="eastAsia"/>
        </w:rPr>
        <w:t xml:space="preserve">对盘朝箱侧露出的88–140mm环面发射均匀面积、余弦加权射线，估计到选定箱体端面</w:t>
      </w:r>
      <m:oMath>
        <m:r>
          <m:t>x</m:t>
        </m:r>
        <m:r>
          <m:rPr>
            <m:sty m:val="p"/>
          </m:rPr>
          <m:t>=</m:t>
        </m:r>
        <m:r>
          <m:t>160</m:t>
        </m:r>
      </m:oMath>
      <w:r>
        <w:rPr>
          <w:rFonts w:hint="eastAsia"/>
        </w:rPr>
        <w:t xml:space="preserve">的直接视角。该发射面面积0.037247m²，接收端面有效几何面积约0.14102m²；没有把壳体包含内腔的全部B-rep表面积直接加载成外部换热面积。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rPr>
                  <m:sty m:val="p"/>
                </m:rPr>
                <m:t>→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r</m:t>
                  </m:r>
                  <m:r>
                    <m:t>s</m:t>
                  </m:r>
                  <m:r>
                    <m:t>t</m:t>
                  </m:r>
                  <m:r>
                    <m:t> </m:t>
                  </m:r>
                  <m:r>
                    <m:t>h</m:t>
                  </m:r>
                  <m:r>
                    <m:t>i</m:t>
                  </m:r>
                  <m:r>
                    <m:t>t</m:t>
                  </m:r>
                  <m:r>
                    <m:t> </m:t>
                  </m:r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A</m:t>
          </m:r>
          <m: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d</m:t>
              </m:r>
              <m:r>
                <m:t>i</m:t>
              </m:r>
              <m:r>
                <m:t>r</m:t>
              </m:r>
              <m:r>
                <m:t>e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t</m:t>
              </m:r>
            </m:sub>
          </m:sSub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射线显式检查帽/毂/轴、卡钳/支架、罩缺口/孔和通道壁。平板厚度按前/中/后三平面近似，未精确处理所有掠射侧壁；支柱小面积和罩连接耳、壳侧面、漫反射多次交换等未完整纳入，因此</w:t>
      </w:r>
      <w:r>
        <w:rPr>
          <w:rFonts w:hint="eastAsia"/>
          <w:b/>
          <w:bCs/>
        </w:rPr>
        <w:t xml:space="preserve">结果是指定端面和限定遮挡模型的候选直接F，不是完整壳体总视角或辐射热量</w:t>
      </w:r>
      <w:r>
        <w:rPr>
          <w:rFonts w:hint="eastAsia"/>
        </w:rPr>
        <w:t xml:space="preserve">。实际遮挡面积和发射率仍应在M4几何中复核。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方案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N=32768的直接F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直接AF</w:t>
            </w:r>
            <w:r>
              <w:rPr>
                <w:b/>
                <w:sz w:val="19"/>
              </w:rPr>
              <w:t xml:space="preserve"> m²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加密至131072的F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0.4924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0.01834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0.4938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CaseA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0.1435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0.005345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0.1433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CaseB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0.1054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0.003927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0.1060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CaseC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0.1421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0.005292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0.1421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方案的射线分类总和为1；加密差小于事先0.01判据。另对等半径同轴圆盘作独立解析对照，理论F=0.609612，抽样0.609573，误差0.0000384。抽样标准误只描述固定候选几何下的数值误差，不是实际结构不确定性的置信区间。</w:t>
      </w:r>
    </w:p>
    <w:p>
      <w:pPr>
        <w:pStyle w:val="BodyText"/>
      </w:pPr>
      <w:r>
        <w:rPr>
          <w:rFonts w:hint="eastAsia"/>
        </w:rPr>
        <w:t xml:space="preserve">M2盘—壳边采用0.04×0.12=0.0048m²的假设AF，但M2已经有护罩和其他辐射边，不能将它当作M3</w:t>
      </w:r>
      <w:r>
        <w:t xml:space="preserve"> </w:t>
      </w:r>
      <w:r>
        <w:rPr>
          <w:rFonts w:hint="eastAsia"/>
        </w:rPr>
        <w:t xml:space="preserve">Case0并直接比总热量。罩吸热后再辐射、支柱导热、空气绕流和液冷仍存在；CaseC与A的直接F接近，不说明二者总传热或温度优劣。</w:t>
      </w:r>
    </w:p>
    <w:p>
      <w:pPr>
        <w:pStyle w:val="CaptionedFigure"/>
      </w:pPr>
      <w:r>
        <w:drawing>
          <wp:inline>
            <wp:extent cx="6045200" cy="2198254"/>
            <wp:effectExtent b="0" l="0" r="0" t="0"/>
            <wp:docPr descr="S3直接视角与轴径静力范围检查：左图不是降温率，右图限值不是认证许用应力。" title="" id="41" name="Picture"/>
            <a:graphic>
              <a:graphicData uri="http://schemas.openxmlformats.org/drawingml/2006/picture">
                <pic:pic>
                  <pic:nvPicPr>
                    <pic:cNvPr descr="../results/m3/geometry_sensitivit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198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S3直接视角与轴径静力范围检查：左图不是降温率，右图限值不是认证许用应力。</w:t>
      </w:r>
    </w:p>
    <w:bookmarkEnd w:id="43"/>
    <w:bookmarkEnd w:id="44"/>
    <w:bookmarkStart w:id="45" w:name="与m2连接热容和流体边界"/>
    <w:p>
      <w:pPr>
        <w:pStyle w:val="Heading1"/>
      </w:pPr>
      <w:r>
        <w:t xml:space="preserve">7. </w:t>
      </w:r>
      <w:r>
        <w:rPr>
          <w:rFonts w:hint="eastAsia"/>
        </w:rPr>
        <w:t xml:space="preserve">与M2连接、热容和流体边界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M3新候选写入</w:t>
      </w:r>
      <w:r>
        <w:t xml:space="preserve"> </w:t>
      </w:r>
      <w:r>
        <w:rPr>
          <w:rStyle w:val="VerbatimChar"/>
        </w:rPr>
        <w:t xml:space="preserve">M2_revision_candidates.csv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M2_geometry_interface.json</w:t>
      </w:r>
      <w:r>
        <w:rPr>
          <w:rFonts w:hint="eastAsia"/>
        </w:rPr>
        <w:t xml:space="preserve">，没有覆盖M2配置或重算温度。重点节点如下：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节点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M2热容J/K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M3候选J/K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盘/帽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2250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2392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4.784kg，Brep体积×候选铸铁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输出轴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552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1484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3.225kg，比M2假设明显增大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输出轴承合计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161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372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2×0.404kg参考，CAD实心环体积不可冒充真轴承质量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齿轮合计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1150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4513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实心轮体9.812kg，尚无轻量轮辐/强度设计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齿轮箱壳体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3600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7966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8.851kg，含候选耳与凸台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油库存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1600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1509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0.754kg候选，不等于整个箱内空腔填油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电机壳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4500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7611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8.457kg，不匹配ORNL原附属总成质量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定子/绕组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4766/1898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b w:val="0"/>
                <w:sz w:val="19"/>
              </w:rPr>
              <w:t xml:space="preserve">4819/1832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参考叠片尺寸+简化槽/端绕组，未标定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转子其他候选包括电机侧轴段，齿轮箱侧输入轴另列，避免轴质量重复计算；总成仍需增加独立毂、支架、输入/中间轴和两个轴承节点。转子其他不等同磁体，逆变器外置，M1总损耗与分项不可同时加载，不能把独立上界简单合成热工况。</w:t>
      </w:r>
    </w:p>
    <w:p>
      <w:pPr>
        <w:pStyle w:val="BodyText"/>
      </w:pPr>
      <w:r>
        <w:rPr>
          <w:rFonts w:hint="eastAsia"/>
        </w:rPr>
        <w:t xml:space="preserve">本几何齿轮和壳体偏重，可能改变M2瞬态惯性与后盘热侵入；也提示未来应做有强度依据的轮辐与壳体设计。不能按新热容大小直接宣布温度更低，因为热源、热阻、流动和接触仍需共同复核。</w:t>
      </w:r>
    </w:p>
    <w:p>
      <w:pPr>
        <w:pStyle w:val="BodyText"/>
      </w:pPr>
      <w:r>
        <w:rPr>
          <w:rFonts w:hint="eastAsia"/>
        </w:rPr>
        <w:t xml:space="preserve">电机环形水套内湿面约0.09038m²、水等效库存0.460kg，仅初步夹层几何，无入口出口/流量标定。M2总G=25W/K不因存在水套即得到验证。外部局部空气域四方案均为一个连通体，体积约0.0313m³；体积范围和入口、出口、旋转区、湍流、风量及环境边界均须后续重新核实。当前没有Fluent网格或流固耦合求解。</w:t>
      </w:r>
    </w:p>
    <w:bookmarkEnd w:id="45"/>
    <w:bookmarkStart w:id="46" w:name="验证记录与交付接口"/>
    <w:p>
      <w:pPr>
        <w:pStyle w:val="Heading1"/>
      </w:pPr>
      <w:r>
        <w:t xml:space="preserve">8. </w:t>
      </w:r>
      <w:r>
        <w:rPr>
          <w:rFonts w:hint="eastAsia"/>
        </w:rPr>
        <w:t xml:space="preserve">验证记录与交付接口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检查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真实执行结果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CAD内核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CadQuery2.8.0/OpenCascade7.9.3.1，Python3.13.12，已实际运行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四Case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32/36/40/36命名部件；基础32体一致，罩为连通实体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布尔干涉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AABB剔除后283对均未超过0.001mm³；紧凑坏方案正确报干涉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STEP回读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四装配有效；相对体积误差约10⁻¹³，mm量级通过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齿轮相位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2对×9角，共18次，通过限定正体积检查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单元/回归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8组PASS，含真Case0、公共体一致、坏参数拒绝和M2保护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范围筛查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2187解析组合，729拒绝；不是2187次CAD求解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辐射数值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射线分类守恒、32768/131072收敛、圆盘独立解析例通过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9"/>
              </w:rPr>
              <w:t xml:space="preserve">制造/装车/耐久/实物温度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NOT EXECUTED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SolidWorks/ANSYS/Fluent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9"/>
              </w:rPr>
              <w:t xml:space="preserve">NOT </w:t>
            </w:r>
            <w:r>
              <w:rPr>
                <w:rFonts w:hint="eastAsia"/>
                <w:b w:val="0"/>
                <w:sz w:val="19"/>
              </w:rPr>
              <w:t xml:space="preserve">EXECUTED；M4</w:t>
            </w:r>
            <w:r>
              <w:rPr>
                <w:b w:val="0"/>
                <w:sz w:val="19"/>
              </w:rPr>
              <w:t xml:space="preserve"> NOT STARTED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模型及STEP在</w:t>
      </w:r>
      <w:r>
        <w:t xml:space="preserve"> </w:t>
      </w:r>
      <w:r>
        <w:rPr>
          <w:rStyle w:val="VerbatimChar"/>
        </w:rPr>
        <w:t xml:space="preserve">cad/m3/</w:t>
      </w:r>
      <w:r>
        <w:rPr>
          <w:rFonts w:hint="eastAsia"/>
        </w:rPr>
        <w:t xml:space="preserve">；配置为</w:t>
      </w:r>
      <w:r>
        <w:t xml:space="preserve"> </w:t>
      </w:r>
      <w:r>
        <w:rPr>
          <w:rStyle w:val="VerbatimChar"/>
        </w:rPr>
        <w:t xml:space="preserve">configs/m3_geometry.yaml</w:t>
      </w:r>
      <w:r>
        <w:rPr>
          <w:rFonts w:hint="eastAsia"/>
        </w:rPr>
        <w:t xml:space="preserve">；生成/分析/测试/图稿脚本在</w:t>
      </w:r>
      <w:r>
        <w:t xml:space="preserve"> </w:t>
      </w:r>
      <w:r>
        <w:rPr>
          <w:rStyle w:val="VerbatimChar"/>
        </w:rPr>
        <w:t xml:space="preserve">scripts/m3/</w:t>
      </w:r>
      <w:r>
        <w:rPr>
          <w:rFonts w:hint="eastAsia"/>
        </w:rPr>
        <w:t xml:space="preserve">；完整CSV、JSON、失败及成功日志、环境版本、STEP哈希和PNG/SVG/PDF图在</w:t>
      </w:r>
      <w:r>
        <w:t xml:space="preserve"> </w:t>
      </w:r>
      <w:r>
        <w:rPr>
          <w:rStyle w:val="VerbatimChar"/>
        </w:rPr>
        <w:t xml:space="preserve">results/m3/</w:t>
      </w:r>
      <w:r>
        <w:rPr>
          <w:rFonts w:hint="eastAsia"/>
        </w:rPr>
        <w:t xml:space="preserve">。当前源提交和配置哈希与最终证据SHA通过独立交付检查及阶段登记追溯。</w:t>
      </w:r>
    </w:p>
    <w:p>
      <w:pPr>
        <w:pStyle w:val="BodyText"/>
      </w:pPr>
      <w:r>
        <w:rPr>
          <w:rFonts w:hint="eastAsia"/>
        </w:rPr>
        <w:t xml:space="preserve">进入未来ANSYS前，必须确认mm→SI、共享拓扑/接触、绕组50体、轴承等效材料、金属/油/水/空气的区域分类、发射率和实际冷却。当前外部空气、库存油和水套不是可直接互换的流场域；实心轴承环不等于滚动接触热阻。几何闭合、体积回读和无穿透不能代替这些设置。</w:t>
      </w:r>
    </w:p>
    <w:bookmarkEnd w:id="46"/>
    <w:bookmarkStart w:id="47" w:name="验收建议与未解决问题"/>
    <w:p>
      <w:pPr>
        <w:pStyle w:val="Heading1"/>
      </w:pPr>
      <w:r>
        <w:t xml:space="preserve">9. </w:t>
      </w:r>
      <w:r>
        <w:rPr>
          <w:rFonts w:hint="eastAsia"/>
        </w:rPr>
        <w:t xml:space="preserve">验收建议与未解决问题</w:t>
      </w:r>
    </w:p>
    <w:p>
      <w:pPr>
        <w:pStyle w:val="FirstParagraph"/>
      </w:pPr>
      <w:r>
        <w:rPr>
          <w:rFonts w:hint="eastAsia"/>
        </w:rPr>
        <w:t xml:space="preserve">可送审范围为“参考尺寸可追溯、参数化源可重建、Case0/A/B/C齐备、完成限定几何/静力/热参数候选检查的概念CAD”。尚不能声称完成制造、装车或结构热安全验证；如研究者要求生产级轴系与完整卡钳选型，应继续M3修订。</w:t>
      </w:r>
    </w:p>
    <w:p>
      <w:pPr>
        <w:pStyle w:val="BodyText"/>
      </w:pPr>
      <w:r>
        <w:rPr>
          <w:rFonts w:hint="eastAsia"/>
        </w:rPr>
        <w:t xml:space="preserve">优先未决问题：45mm轴在假设工况下余量很小，需复核50mm及实际材料/缺口/温度；轴肩挡圈、花键、轴承寿命与密封；壳体分型与装配顺序/局部强度、支架螺栓预紧与防滑；电机实际轴端/安装、水套端口、热接触/局部通风；实际车体/悬架/半轴/轮毂连接包络。当前不设差速器，也未强行缩放参考电机掩盖空间问题。</w:t>
      </w:r>
    </w:p>
    <w:p>
      <w:pPr>
        <w:pStyle w:val="BodyText"/>
      </w:pPr>
      <w:r>
        <w:rPr>
          <w:rFonts w:hint="eastAsia"/>
        </w:rPr>
        <w:t xml:space="preserve">报告、STEP与验收表随PR</w:t>
      </w:r>
      <w:r>
        <w:t xml:space="preserve"> </w:t>
      </w:r>
      <w:r>
        <w:rPr>
          <w:rFonts w:hint="eastAsia"/>
        </w:rPr>
        <w:t xml:space="preserve">#4待研究者检查。M3-v1.0未创建，M3未合并，M4未开展。</w:t>
      </w:r>
    </w:p>
    <w:bookmarkEnd w:id="47"/>
    <w:bookmarkStart w:id="55" w:name="主要资料"/>
    <w:p>
      <w:pPr>
        <w:pStyle w:val="Heading1"/>
      </w:pPr>
      <w:r>
        <w:t xml:space="preserve">10. </w:t>
      </w:r>
      <w:r>
        <w:rPr>
          <w:rFonts w:hint="eastAsia"/>
        </w:rPr>
        <w:t xml:space="preserve">主要资料</w:t>
      </w:r>
    </w:p>
    <w:p>
      <w:pPr>
        <w:pStyle w:val="Compact"/>
        <w:numPr>
          <w:ilvl w:val="0"/>
          <w:numId w:val="1001"/>
        </w:numPr>
      </w:pPr>
      <w:r>
        <w:t xml:space="preserve">ORNL,</w:t>
      </w:r>
      <w:r>
        <w:t xml:space="preserve"> </w:t>
      </w:r>
      <w:r>
        <w:rPr>
          <w:i/>
          <w:iCs/>
        </w:rPr>
        <w:t xml:space="preserve">Evaluation of the 2010 Toyota Prius Hybrid Synergy Drive System</w:t>
      </w:r>
      <w:r>
        <w:t xml:space="preserve">, </w:t>
      </w:r>
      <w:r>
        <w:rPr>
          <w:rFonts w:hint="eastAsia"/>
        </w:rPr>
        <w:t xml:space="preserve">表2.7。</w:t>
      </w:r>
      <w:hyperlink r:id="rId48">
        <w:r>
          <w:rPr>
            <w:rStyle w:val="Hyperlink"/>
            <w:rFonts w:hint="eastAsia"/>
          </w:rPr>
          <w:t xml:space="preserve">原始PDF</w:t>
        </w:r>
      </w:hyperlink>
      <w:r>
        <w:rPr>
          <w:rFonts w:hint="eastAsia"/>
        </w:rPr>
        <w:t xml:space="preserve">。M0原件只读复用。</w:t>
      </w:r>
    </w:p>
    <w:p>
      <w:pPr>
        <w:pStyle w:val="Compact"/>
        <w:numPr>
          <w:ilvl w:val="0"/>
          <w:numId w:val="1001"/>
        </w:numPr>
      </w:pPr>
      <w:r>
        <w:t xml:space="preserve">Brembo,</w:t>
      </w:r>
      <w:r>
        <w:t xml:space="preserve"> </w:t>
      </w:r>
      <w:hyperlink r:id="rId49">
        <w:r>
          <w:rPr>
            <w:rStyle w:val="Hyperlink"/>
            <w:rFonts w:hint="eastAsia"/>
          </w:rPr>
          <w:t xml:space="preserve">09.9908.21原厂尺寸页</w:t>
        </w:r>
      </w:hyperlink>
      <w:r>
        <w:rPr>
          <w:rFonts w:hint="eastAsia"/>
        </w:rPr>
        <w:t xml:space="preserve">。仅参考外形，不转移原产品认证。</w:t>
      </w:r>
    </w:p>
    <w:p>
      <w:pPr>
        <w:pStyle w:val="Compact"/>
        <w:numPr>
          <w:ilvl w:val="0"/>
          <w:numId w:val="1001"/>
        </w:numPr>
      </w:pPr>
      <w:r>
        <w:t xml:space="preserve">SKF,</w:t>
      </w:r>
      <w:r>
        <w:t xml:space="preserve"> </w:t>
      </w:r>
      <w:hyperlink r:id="rId50">
        <w:r>
          <w:rPr>
            <w:rStyle w:val="Hyperlink"/>
          </w:rPr>
          <w:t xml:space="preserve">6209</w:t>
        </w:r>
      </w:hyperlink>
      <w:r>
        <w:t xml:space="preserve">、</w:t>
      </w:r>
      <w:hyperlink r:id="rId51">
        <w:r>
          <w:rPr>
            <w:rStyle w:val="Hyperlink"/>
          </w:rPr>
          <w:t xml:space="preserve">6207</w:t>
        </w:r>
      </w:hyperlink>
      <w:r>
        <w:t xml:space="preserve">、</w:t>
      </w:r>
      <w:hyperlink r:id="rId52">
        <w:r>
          <w:rPr>
            <w:rStyle w:val="Hyperlink"/>
          </w:rPr>
          <w:t xml:space="preserve">6206</w:t>
        </w:r>
      </w:hyperlink>
      <w:r>
        <w:rPr>
          <w:rFonts w:hint="eastAsia"/>
        </w:rPr>
        <w:t xml:space="preserve">。目录边界与明确质量记录。</w:t>
      </w:r>
    </w:p>
    <w:p>
      <w:pPr>
        <w:pStyle w:val="Compact"/>
        <w:numPr>
          <w:ilvl w:val="0"/>
          <w:numId w:val="1001"/>
        </w:numPr>
      </w:pPr>
      <w:r>
        <w:t xml:space="preserve">KHK,</w:t>
      </w:r>
      <w:r>
        <w:t xml:space="preserve"> </w:t>
      </w:r>
      <w:hyperlink r:id="rId53">
        <w:r>
          <w:rPr>
            <w:rStyle w:val="Hyperlink"/>
          </w:rPr>
          <w:t xml:space="preserve">Calculation of Gear Dimensions</w:t>
        </w:r>
      </w:hyperlink>
      <w:r>
        <w:rPr>
          <w:rFonts w:hint="eastAsia"/>
        </w:rPr>
        <w:t xml:space="preserve">。几何方法，不提供本项目传动额定能力。</w:t>
      </w:r>
    </w:p>
    <w:p>
      <w:pPr>
        <w:pStyle w:val="Compact"/>
        <w:numPr>
          <w:ilvl w:val="0"/>
          <w:numId w:val="1001"/>
        </w:numPr>
      </w:pPr>
      <w:r>
        <w:t xml:space="preserve">CadQuery,</w:t>
      </w:r>
      <w:r>
        <w:t xml:space="preserve"> </w:t>
      </w:r>
      <w:hyperlink r:id="rId54">
        <w:r>
          <w:rPr>
            <w:rStyle w:val="Hyperlink"/>
          </w:rPr>
          <w:t xml:space="preserve">Importing and Exporting Files</w:t>
        </w:r>
      </w:hyperlink>
      <w:r>
        <w:rPr>
          <w:rFonts w:hint="eastAsia"/>
        </w:rPr>
        <w:t xml:space="preserve">。参数源为Python，STEP为中性几何。</w:t>
      </w:r>
    </w:p>
    <w:bookmarkEnd w:id="55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M3 概念参数化几何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4" Type="http://schemas.openxmlformats.org/officeDocument/2006/relationships/image" Target="media/rId24.png"/><Relationship Id="rId21" Type="http://schemas.openxmlformats.org/officeDocument/2006/relationships/image" Target="media/rId21.png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28" Type="http://schemas.openxmlformats.org/officeDocument/2006/relationships/image" Target="media/rId28.png"/><Relationship Id="rId54" Type="http://schemas.openxmlformats.org/officeDocument/2006/relationships/hyperlink" Target="https://cadquery.readthedocs.io/en/latest/importexport.html" TargetMode="External"/><Relationship Id="rId18" Type="http://schemas.openxmlformats.org/officeDocument/2006/relationships/hyperlink" Target="https://github.com/alan9900/Thermal-coupling-analysis-under-drive-control-integration/pull/4" TargetMode="External"/><Relationship Id="rId48" Type="http://schemas.openxmlformats.org/officeDocument/2006/relationships/hyperlink" Target="https://info.ornl.gov/sites/publications/files/Pub26762.pdf" TargetMode="External"/><Relationship Id="rId53" Type="http://schemas.openxmlformats.org/officeDocument/2006/relationships/hyperlink" Target="https://khkgears.net/gear-knowledge/gear-technical-reference/calculation-gear-dimensions/" TargetMode="External"/><Relationship Id="rId49" Type="http://schemas.openxmlformats.org/officeDocument/2006/relationships/hyperlink" Target="https://www.bremboparts.com/europe/en/view-document/catalogue/disc/09-9908-21" TargetMode="External"/><Relationship Id="rId52" Type="http://schemas.openxmlformats.org/officeDocument/2006/relationships/hyperlink" Target="https://www.emarketplace.in.skf.com/deep-groove-ball-bearing/6206" TargetMode="External"/><Relationship Id="rId51" Type="http://schemas.openxmlformats.org/officeDocument/2006/relationships/hyperlink" Target="https://www.emarketplace.in.skf.com/deep-groove-ball-bearing/6207" TargetMode="External"/><Relationship Id="rId50" Type="http://schemas.openxmlformats.org/officeDocument/2006/relationships/hyperlink" Target="https://www.emarketplace.in.skf.com/deep-groove-ball-bearing/6209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cadquery.readthedocs.io/en/latest/importexport.html" TargetMode="External"/><Relationship Id="rId18" Type="http://schemas.openxmlformats.org/officeDocument/2006/relationships/hyperlink" Target="https://github.com/alan9900/Thermal-coupling-analysis-under-drive-control-integration/pull/4" TargetMode="External"/><Relationship Id="rId48" Type="http://schemas.openxmlformats.org/officeDocument/2006/relationships/hyperlink" Target="https://info.ornl.gov/sites/publications/files/Pub26762.pdf" TargetMode="External"/><Relationship Id="rId53" Type="http://schemas.openxmlformats.org/officeDocument/2006/relationships/hyperlink" Target="https://khkgears.net/gear-knowledge/gear-technical-reference/calculation-gear-dimensions/" TargetMode="External"/><Relationship Id="rId49" Type="http://schemas.openxmlformats.org/officeDocument/2006/relationships/hyperlink" Target="https://www.bremboparts.com/europe/en/view-document/catalogue/disc/09-9908-21" TargetMode="External"/><Relationship Id="rId52" Type="http://schemas.openxmlformats.org/officeDocument/2006/relationships/hyperlink" Target="https://www.emarketplace.in.skf.com/deep-groove-ball-bearing/6206" TargetMode="External"/><Relationship Id="rId51" Type="http://schemas.openxmlformats.org/officeDocument/2006/relationships/hyperlink" Target="https://www.emarketplace.in.skf.com/deep-groove-ball-bearing/6207" TargetMode="External"/><Relationship Id="rId50" Type="http://schemas.openxmlformats.org/officeDocument/2006/relationships/hyperlink" Target="https://www.emarketplace.in.skf.com/deep-groove-ball-bearing/6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V0.4 单侧驱制融合参数化几何与隔热导流结构：M3</dc:title>
  <dc:creator>参数来源、几何建模与可复算审查</dc:creator>
  <cp:keywords/>
  <dcterms:created xsi:type="dcterms:W3CDTF">2026-10-20T04:28:04Z</dcterms:created>
  <dcterms:modified xsi:type="dcterms:W3CDTF">2026-10-20T04:28:04Z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subtitle">
    <vt:lpwstr>实际执行概念CAD与几何验证 · 未作制造发布或降温认证</vt:lpwstr>
  </property>
</Properties>
</file>