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V0.4 </w:t>
      </w:r>
      <w:r>
        <w:rPr>
          <w:rFonts w:hint="eastAsia"/>
        </w:rPr>
        <w:t xml:space="preserve">后驱双电机</w:t>
      </w:r>
      <w:r>
        <w:t xml:space="preserve"> M1 </w:t>
      </w:r>
      <w:r>
        <w:rPr>
          <w:rFonts w:hint="eastAsia"/>
        </w:rPr>
        <w:t xml:space="preserve">多热源模型</w:t>
      </w:r>
    </w:p>
    <w:p>
      <w:pPr>
        <w:pStyle w:val="Subtitle"/>
      </w:pPr>
      <w:r>
        <w:rPr>
          <w:rFonts w:hint="eastAsia"/>
        </w:rPr>
        <w:t xml:space="preserve">阶段状态</w:t>
      </w:r>
      <w:r>
        <w:t xml:space="preserve"> PARTIAL · </w:t>
      </w:r>
      <w:r>
        <w:rPr>
          <w:rFonts w:hint="eastAsia"/>
        </w:rPr>
        <w:t xml:space="preserve">数值实现通过，真实热源分配仍有缺口</w:t>
      </w:r>
    </w:p>
    <w:p>
      <w:pPr>
        <w:pStyle w:val="Author"/>
      </w:pPr>
      <w:r>
        <w:rPr>
          <w:rFonts w:hint="eastAsia"/>
        </w:rPr>
        <w:t xml:space="preserve">研究模型与可复算审查</w:t>
      </w:r>
    </w:p>
    <w:p>
      <w:pPr>
        <w:pStyle w:val="Date"/>
      </w:pPr>
      <w:r>
        <w:t xml:space="preserve">2026-10-19</w:t>
      </w:r>
    </w:p>
    <w:bookmarkStart w:id="19" w:name="交付结论与授权范围"/>
    <w:p>
      <w:pPr>
        <w:pStyle w:val="Heading1"/>
      </w:pPr>
      <w:r>
        <w:t xml:space="preserve">1. </w:t>
      </w:r>
      <w:r>
        <w:rPr>
          <w:rFonts w:hint="eastAsia"/>
        </w:rPr>
        <w:t xml:space="preserve">交付结论与授权范围</w:t>
      </w:r>
    </w:p>
    <w:p>
      <w:pPr>
        <w:pStyle w:val="FirstParagraph"/>
      </w:pPr>
      <w:r>
        <w:rPr>
          <w:rFonts w:hint="eastAsia"/>
        </w:rPr>
        <w:t xml:space="preserve">本轮按用户“简单验收M0后开始M1”的授权完成M0关卡复核、PR</w:t>
      </w:r>
      <w:r>
        <w:t xml:space="preserve"> </w:t>
      </w:r>
      <w:r>
        <w:rPr>
          <w:rFonts w:hint="eastAsia"/>
        </w:rPr>
        <w:t xml:space="preserve">#1合并及附注Tag归档，并从该main基线开展M1。M0正式Tag为</w:t>
      </w:r>
      <w:r>
        <w:t xml:space="preserve"> </w:t>
      </w:r>
      <w:r>
        <w:rPr>
          <w:rStyle w:val="VerbatimChar"/>
        </w:rPr>
        <w:t xml:space="preserve">M0-v1.0</w:t>
      </w:r>
      <w:r>
        <w:rPr>
          <w:rFonts w:hint="eastAsia"/>
        </w:rPr>
        <w:t xml:space="preserve">，固定指向</w:t>
      </w:r>
      <w:r>
        <w:t xml:space="preserve"> </w:t>
      </w:r>
      <w:r>
        <w:rPr>
          <w:rStyle w:val="VerbatimChar"/>
        </w:rPr>
        <w:t xml:space="preserve">b13f265b1ff0add1f9e8b166d2c1bfa4ac8a8d16</w:t>
      </w:r>
      <w:r>
        <w:rPr>
          <w:rFonts w:hint="eastAsia"/>
        </w:rPr>
        <w:t xml:space="preserve">；远端Tag对象为</w:t>
      </w:r>
      <w:r>
        <w:t xml:space="preserve"> </w:t>
      </w:r>
      <w:r>
        <w:rPr>
          <w:rStyle w:val="VerbatimChar"/>
        </w:rPr>
        <w:t xml:space="preserve">d50d3896b71480bc3793a82d274f862afac1f8ec</w:t>
      </w:r>
      <w:r>
        <w:rPr>
          <w:rFonts w:hint="eastAsia"/>
        </w:rPr>
        <w:t xml:space="preserve">，已实际推送并核对。</w:t>
      </w:r>
    </w:p>
    <w:p>
      <w:pPr>
        <w:pStyle w:val="BodyText"/>
      </w:pPr>
      <w:r>
        <w:rPr>
          <w:rFonts w:hint="eastAsia"/>
        </w:rPr>
        <w:t xml:space="preserve">M1现已实现并实际运行：整车纵向动力学、动态轴荷、前轴与两侧后轴制动力分配、独立左右轮速、电机／逆变器联合损耗图接口、方向分开的减速器损耗、盘片接触摩擦功和整车能量账本。MATLAB</w:t>
      </w:r>
      <w:r>
        <w:t xml:space="preserve"> </w:t>
      </w:r>
      <w:r>
        <w:rPr>
          <w:rFonts w:hint="eastAsia"/>
        </w:rPr>
        <w:t xml:space="preserve">R2025a的18组测试及23组轨迹检查通过，另以Python独立读取CSV复核功率端口和积分能量。</w:t>
      </w:r>
    </w:p>
    <w:p>
      <w:pPr>
        <w:pStyle w:val="BodyText"/>
      </w:pPr>
      <w:r>
        <w:rPr>
          <w:rFonts w:hint="eastAsia"/>
        </w:rPr>
        <w:t xml:space="preserve">阶段状态保持</w:t>
      </w:r>
      <w:r>
        <w:t xml:space="preserve"> </w:t>
      </w:r>
      <w:r>
        <w:rPr>
          <w:b/>
          <w:bCs/>
        </w:rPr>
        <w:t xml:space="preserve">PARTIAL</w:t>
      </w:r>
      <w:r>
        <w:rPr>
          <w:rFonts w:hint="eastAsia"/>
        </w:rPr>
        <w:t xml:space="preserve">。数值程序通过，不代表已验证的实际绕组发热、减速器损耗图、盘片热分配和BMS边界已经取得。所有绕组热源字段保持NaN；基线真实参数中的null不改为假定实测值。本轮没有建立温度求解、热网络、CAD、ANSYS、Fluent或优化模型，M2尚未授权。</w:t>
      </w:r>
    </w:p>
    <w:p>
      <w:pPr>
        <w:pStyle w:val="BodyText"/>
      </w:pPr>
      <w:r>
        <w:rPr>
          <w:rFonts w:hint="eastAsia"/>
        </w:rPr>
        <w:t xml:space="preserve">M1开发分支为</w:t>
      </w:r>
      <w:r>
        <w:t xml:space="preserve"> </w:t>
      </w:r>
      <w:r>
        <w:rPr>
          <w:rStyle w:val="VerbatimChar"/>
        </w:rPr>
        <w:t xml:space="preserve">stage/M1-heat-sources</w:t>
      </w:r>
      <w:r>
        <w:rPr>
          <w:rFonts w:hint="eastAsia"/>
        </w:rPr>
        <w:t xml:space="preserve">，候选版本名为</w:t>
      </w:r>
      <w:r>
        <w:t xml:space="preserve"> </w:t>
      </w:r>
      <w:r>
        <w:rPr>
          <w:rStyle w:val="VerbatimChar"/>
        </w:rPr>
        <w:t xml:space="preserve">M1-v1.0</w:t>
      </w:r>
      <w:r>
        <w:rPr>
          <w:rFonts w:hint="eastAsia"/>
        </w:rPr>
        <w:t xml:space="preserve">，不是已创建的正式Tag。本次数值代码提交为</w:t>
      </w:r>
      <w:r>
        <w:t xml:space="preserve"> </w:t>
      </w:r>
      <w:r>
        <w:rPr>
          <w:rStyle w:val="VerbatimChar"/>
        </w:rPr>
        <w:t xml:space="preserve">ab6040e713755c7fb5cda9e69aea1b3c742090e4</w:t>
      </w:r>
      <w:r>
        <w:rPr>
          <w:rFonts w:hint="eastAsia"/>
        </w:rPr>
        <w:t xml:space="preserve">，各MATLAB源码哈希由</w:t>
      </w:r>
      <w:r>
        <w:t xml:space="preserve"> </w:t>
      </w:r>
      <w:r>
        <w:rPr>
          <w:rStyle w:val="VerbatimChar"/>
        </w:rPr>
        <w:t xml:space="preserve">results/m1/independent_checks.json</w:t>
      </w:r>
      <w:r>
        <w:t xml:space="preserve"> </w:t>
      </w:r>
      <w:r>
        <w:rPr>
          <w:rFonts w:hint="eastAsia"/>
        </w:rPr>
        <w:t xml:space="preserve">记录；结果证据SHA登记在</w:t>
      </w:r>
      <w:r>
        <w:t xml:space="preserve"> </w:t>
      </w:r>
      <w:r>
        <w:rPr>
          <w:rStyle w:val="VerbatimChar"/>
        </w:rPr>
        <w:t xml:space="preserve">docs/STAGE_VERSIONS.md</w:t>
      </w:r>
      <w:r>
        <w:rPr>
          <w:rFonts w:hint="eastAsia"/>
        </w:rPr>
        <w:t xml:space="preserve">。草稿送审：</w:t>
      </w:r>
      <w:hyperlink r:id="rId18">
        <w:r>
          <w:rPr>
            <w:rStyle w:val="Hyperlink"/>
          </w:rPr>
          <w:t xml:space="preserve">PR #2</w:t>
        </w:r>
      </w:hyperlink>
      <w:r>
        <w:rPr>
          <w:rFonts w:hint="eastAsia"/>
        </w:rPr>
        <w:t xml:space="preserve">。合并M1与创建M1正式Tag仍须用户另行批准。</w:t>
      </w:r>
    </w:p>
    <w:bookmarkEnd w:id="19"/>
    <w:bookmarkStart w:id="20" w:name="输入来源与模型边界"/>
    <w:p>
      <w:pPr>
        <w:pStyle w:val="Heading1"/>
      </w:pPr>
      <w:r>
        <w:t xml:space="preserve">2. </w:t>
      </w:r>
      <w:r>
        <w:rPr>
          <w:rFonts w:hint="eastAsia"/>
        </w:rPr>
        <w:t xml:space="preserve">输入、来源与模型边界</w:t>
      </w:r>
    </w:p>
    <w:p>
      <w:pPr>
        <w:pStyle w:val="FirstParagraph"/>
      </w:pPr>
      <w:r>
        <w:rPr>
          <w:rFonts w:hint="eastAsia"/>
        </w:rPr>
        <w:t xml:space="preserve">研究对象保持V0.4：1800</w:t>
      </w:r>
      <w:r>
        <w:t xml:space="preserve"> </w:t>
      </w:r>
      <w:r>
        <w:rPr>
          <w:rFonts w:hint="eastAsia"/>
        </w:rPr>
        <w:t xml:space="preserve">kg后驱概念车，后轴左右各一台参考MG2电机、一台9:1减速器和一个减速器输出端内移盘，无差速器；前轴保留摩擦制动。详细热源接口按单侧输出，整车能量同时统计前轴及左右两侧。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fill="EAF0F7"/>
          </w:tcPr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9"/>
              </w:rPr>
              <w:t xml:space="preserve">输入</w:t>
            </w:r>
          </w:p>
        </w:tc>
        <w:tc>
          <w:tcPr>
            <w:shd w:fill="EAF0F7"/>
          </w:tcPr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9"/>
              </w:rPr>
              <w:t xml:space="preserve">来源或状态</w:t>
            </w:r>
          </w:p>
        </w:tc>
        <w:tc>
          <w:tcPr>
            <w:shd w:fill="EAF0F7"/>
          </w:tcPr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9"/>
              </w:rPr>
              <w:t xml:space="preserve">使用方法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车型参数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Style w:val="VerbatimChar"/>
                <w:sz w:val="19"/>
              </w:rPr>
              <w:t xml:space="preserve">configs/baseline_vehicle.yaml</w:t>
            </w:r>
            <w:r>
              <w:rPr>
                <w:rFonts w:hint="eastAsia"/>
                <w:sz w:val="19"/>
              </w:rPr>
              <w:t xml:space="preserve">，原M0基线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质量1800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kg、轴距2.765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m、有效半径0.33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m、后静载0.55、重心高0.55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m；真实参照与假设仍按M0区分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联合EMOT图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EPA官方包，650V、0–13000rpm，14×39表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无外推双线性损耗插值，正负转矩包络及峰值功率限制同时生效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电机／逆变器驱动效率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包内ORNL稀疏工作表，137个配对驱动点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只在测量点凸包内估计联合热损失分配，不外推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再生效率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EPA驱动损耗镜像估计区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逐点读取联合损耗，不称为MG2实测再生图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减速器效率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驱动0.96、反拖0.96，S3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两个方向分别使用；真实方向损耗图仍未知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盘片热分配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盘0.90、片0.10，S3演示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同时导出0.85–0.95盘份额的示例范围；不是测得置信区间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再生控制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130N·m／侧，5km/h以下禁用、5–10km/h线性恢复，S3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软件筛查假设，不当作硬件再生铭牌值或量产控制律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电池状态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整车0／30／60kW充电上限、假设SOC及温度乘数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约束左右合计直流回收功率，实际SOC／温度曲线仍null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停用电驱损耗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零，显式省略项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未计未通电拖曳、待机和附件耗电；与已通电零转矩图上损耗区分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新增假设全部在</w:t>
      </w:r>
      <w:r>
        <w:t xml:space="preserve"> </w:t>
      </w:r>
      <w:r>
        <w:rPr>
          <w:rStyle w:val="VerbatimChar"/>
        </w:rPr>
        <w:t xml:space="preserve">configs/m1_heat_sources.yaml</w:t>
      </w:r>
      <w:r>
        <w:t xml:space="preserve"> </w:t>
      </w:r>
      <w:r>
        <w:rPr>
          <w:rFonts w:hint="eastAsia"/>
        </w:rPr>
        <w:t xml:space="preserve">中，不覆盖M0配置。输入快照、来源说明及可跨Git换行方式复核的文本SHA-256保存在</w:t>
      </w:r>
      <w:r>
        <w:t xml:space="preserve"> </w:t>
      </w:r>
      <w:r>
        <w:rPr>
          <w:rStyle w:val="VerbatimChar"/>
        </w:rPr>
        <w:t xml:space="preserve">results/m1/inputs.json</w:t>
      </w:r>
      <w:r>
        <w:rPr>
          <w:rFonts w:hint="eastAsia"/>
        </w:rPr>
        <w:t xml:space="preserve">。曲线属于参考数据与S3假设下的数值估算，不是本概念总成试验结果。</w:t>
      </w:r>
    </w:p>
    <w:bookmarkEnd w:id="20"/>
    <w:bookmarkStart w:id="21" w:name="动力学与单侧功率接口"/>
    <w:p>
      <w:pPr>
        <w:pStyle w:val="Heading1"/>
      </w:pPr>
      <w:r>
        <w:t xml:space="preserve">3. </w:t>
      </w:r>
      <w:r>
        <w:rPr>
          <w:rFonts w:hint="eastAsia"/>
        </w:rPr>
        <w:t xml:space="preserve">动力学与单侧功率接口</w:t>
      </w:r>
    </w:p>
    <w:p>
      <w:pPr>
        <w:pStyle w:val="FirstParagraph"/>
      </w:pPr>
      <w:r>
        <w:rPr>
          <w:rFonts w:hint="eastAsia"/>
        </w:rPr>
        <w:t xml:space="preserve">令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为带符号纵向加速度，驱动加速为正、制动减速为负，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为车体参考速度，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为重心高，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为轴距。平路动态轴荷为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t>g</m:t>
          </m:r>
          <m:sSub>
            <m:e>
              <m:r>
                <m:t>f</m:t>
              </m:r>
            </m:e>
            <m:sub>
              <m:r>
                <m:t>r</m:t>
              </m:r>
              <m:r>
                <m:t>0</m:t>
              </m:r>
            </m:sub>
          </m:sSub>
          <m:r>
            <m:rPr>
              <m:sty m:val="p"/>
            </m:rPr>
            <m:t>+</m:t>
          </m:r>
          <m:r>
            <m:t>m</m:t>
          </m:r>
          <m:r>
            <m:t>a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L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N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t>g</m:t>
          </m:r>
          <m:r>
            <m:rPr>
              <m:sty m:val="p"/>
            </m:rPr>
            <m:t>−</m:t>
          </m:r>
          <m:sSub>
            <m:e>
              <m:r>
                <m:t>N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故制动时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z</m:t>
        </m:r>
        <m:r>
          <m:t>g</m:t>
        </m:r>
      </m:oMath>
      <w:r>
        <w:rPr>
          <w:rFonts w:hint="eastAsia"/>
        </w:rPr>
        <w:t xml:space="preserve">，后轴比例恢复为M0的</w:t>
      </w:r>
      <w:r>
        <w:t xml:space="preserve"> </w:t>
      </w:r>
      <m:oMath>
        <m:sSub>
          <m:e>
            <m:r>
              <m:t>f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r</m:t>
            </m:r>
            <m:r>
              <m:t>0</m:t>
            </m:r>
          </m:sub>
        </m:sSub>
        <m:r>
          <m:rPr>
            <m:sty m:val="p"/>
          </m:rPr>
          <m:t>−</m:t>
        </m:r>
        <m:r>
          <m:t>z</m:t>
        </m:r>
        <m:r>
          <m:t>h</m:t>
        </m:r>
        <m:r>
          <m:rPr>
            <m:sty m:val="p"/>
          </m:rPr>
          <m:t>/</m:t>
        </m:r>
        <m:r>
          <m:t>L</m:t>
        </m:r>
      </m:oMath>
      <w:r>
        <w:rPr>
          <w:rFonts w:hint="eastAsia"/>
        </w:rPr>
        <w:t xml:space="preserve">。坡度接口另计</w:t>
      </w:r>
      <w:r>
        <w:t xml:space="preserve"> </w:t>
      </w:r>
      <m:oMath>
        <m:r>
          <m:t>m</m:t>
        </m:r>
        <m:r>
          <m:t>g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rPr>
          <w:rFonts w:hint="eastAsia"/>
        </w:rPr>
        <w:t xml:space="preserve">的坡度力及其静态载荷转移；当前主算例仍为平路。空气阻力作用高度引起的额外俯仰未识别，负轴荷状态明确拒绝。</w:t>
      </w:r>
    </w:p>
    <w:p>
      <w:pPr>
        <w:pStyle w:val="BodyText"/>
      </w:pPr>
      <w:r>
        <w:rPr>
          <w:rFonts w:hint="eastAsia"/>
        </w:rPr>
        <w:t xml:space="preserve">总轮胎纵向需求为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q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q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F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+</m:t>
          </m:r>
          <m:sSub>
            <m:e>
              <m:r>
                <m:t>F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+</m:t>
          </m:r>
          <m:r>
            <m:t>m</m:t>
          </m:r>
          <m:r>
            <m:t>g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当前转动惯量系数仍为1，忽略车轮、轴、齿轮及转子的额外转动动能。制动时按动态轴荷比例分配前后轴，再按设定份额分至后轴左右，各轮受自身附着上限约束。驱动仅由后轴电机提供。需求超过附着、电机或供电能力时，导出未满足的力及功率，不能仍声称轨迹可实现。主23组场景均可跟随；不满足的专门测试用于检查失败标记。</w:t>
      </w:r>
    </w:p>
    <w:p>
      <w:pPr>
        <w:pStyle w:val="BodyText"/>
      </w:pPr>
      <w:r>
        <w:rPr>
          <w:rFonts w:hint="eastAsia"/>
        </w:rPr>
        <w:t xml:space="preserve">每侧减速器输出盘与自己的车轮同速，电机为自己的轮速乘9：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ω</m:t>
              </m:r>
            </m:e>
            <m:sub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ω</m:t>
              </m:r>
            </m:e>
            <m:sub>
              <m:r>
                <m:t>m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i</m:t>
          </m:r>
          <m:sSub>
            <m:e>
              <m:r>
                <m:t>ω</m:t>
              </m:r>
            </m:e>
            <m:sub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L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程序不使用左右平均电机转速替代各侧速度。实际转矩同时受软件牵引限值130N·m、EPA正负限扭线、60kW峰值及数值图边界约束；207N·m硬件参照不直接替换EPA包络。</w:t>
      </w:r>
    </w:p>
    <w:bookmarkEnd w:id="21"/>
    <w:bookmarkStart w:id="26" w:name="多热源与电池功率约束"/>
    <w:p>
      <w:pPr>
        <w:pStyle w:val="Heading1"/>
      </w:pPr>
      <w:r>
        <w:t xml:space="preserve">4. </w:t>
      </w:r>
      <w:r>
        <w:rPr>
          <w:rFonts w:hint="eastAsia"/>
        </w:rPr>
        <w:t xml:space="preserve">多热源与电池功率约束</w:t>
      </w:r>
    </w:p>
    <w:bookmarkStart w:id="22" w:name="emot联合损耗及热量拆分"/>
    <w:p>
      <w:pPr>
        <w:pStyle w:val="Heading2"/>
      </w:pPr>
      <w:r>
        <w:t xml:space="preserve">4.1 </w:t>
      </w:r>
      <w:r>
        <w:rPr>
          <w:rFonts w:hint="eastAsia"/>
        </w:rPr>
        <w:t xml:space="preserve">EMOT联合损耗及热量拆分</w:t>
      </w:r>
    </w:p>
    <w:p>
      <w:pPr>
        <w:pStyle w:val="FirstParagraph"/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为从电池输入电驱，</w:t>
      </w:r>
      <m:oMath>
        <m:sSub>
          <m:e>
            <m:r>
              <m:t>P</m:t>
            </m:r>
          </m:e>
          <m:sub>
            <m:r>
              <m:t>m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m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sSub>
          <m:e>
            <m:r>
              <m:t>ω</m:t>
            </m:r>
          </m:e>
          <m:sub>
            <m:r>
              <m:t>m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为电机轴向轮端输出的机械功率，则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m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模型对该非负损耗表插值，随后恢复带符号直流功率。负转矩不自动等于净充电；只有净直流回收的工作点才被本筛查控制器选用，否则回退摩擦制动。13000–13500rpm虽低于硬件最高速度声明，也不外推地图；400V、负转速或包络外工作点均明确拒绝。</w:t>
      </w:r>
    </w:p>
    <w:p>
      <w:pPr>
        <w:pStyle w:val="BodyText"/>
      </w:pPr>
      <w:r>
        <w:rPr>
          <w:rFonts w:hint="eastAsia"/>
        </w:rPr>
        <w:t xml:space="preserve">在稀疏驱动效率数据覆盖范围内，以机械输出功率为基准的原电机与逆变器损耗比例为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η</m:t>
                  </m:r>
                </m:e>
                <m:sub>
                  <m:r>
                    <m:t>m</m:t>
                  </m:r>
                </m:sub>
              </m:sSub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η</m:t>
                  </m:r>
                </m:e>
                <m:sub>
                  <m:r>
                    <m:t>m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η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α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ℓ</m:t>
                  </m:r>
                </m:e>
                <m:sub>
                  <m:r>
                    <m:t>m</m:t>
                  </m:r>
                </m:sub>
              </m:sSub>
            </m:num>
            <m:den>
              <m:sSub>
                <m:e>
                  <m:r>
                    <m:t>ℓ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对归一化转速、转矩坐标线性三角插值该比例，再将EPA联合损耗分为</w:t>
      </w:r>
      <w:r>
        <w:t xml:space="preserve"> </w:t>
      </w:r>
      <m:oMath>
        <m:sSub>
          <m:e>
            <m:r>
              <m:t>α</m:t>
            </m:r>
          </m:e>
          <m:sub>
            <m:r>
              <m:t>m</m:t>
            </m:r>
          </m:sub>
        </m:sSub>
        <m:sSub>
          <m:e>
            <m:r>
              <m:t>Q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α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  <m:sSub>
          <m:e>
            <m:r>
              <m:t>Q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</m:sub>
        </m:sSub>
      </m:oMath>
      <w:r>
        <w:rPr>
          <w:rFonts w:hint="eastAsia"/>
        </w:rPr>
        <w:t xml:space="preserve">。这属于“按原驱动损耗比估计的热分配”，不是新测量得到的纯电机图。它保持联合损耗总量，不把原效率图与拟合表之间差异重复加入能量账本。</w:t>
      </w:r>
    </w:p>
    <w:p>
      <w:pPr>
        <w:pStyle w:val="BodyText"/>
      </w:pPr>
      <w:r>
        <w:rPr>
          <w:rFonts w:hint="eastAsia"/>
        </w:rPr>
        <w:t xml:space="preserve">凸包外的驱动点及全部再生点不进行电机／逆变器拆分，联合热量导出到</w:t>
      </w:r>
      <w:r>
        <w:t xml:space="preserve"> </w:t>
      </w:r>
      <w:r>
        <w:rPr>
          <w:rStyle w:val="VerbatimChar"/>
        </w:rPr>
        <w:t xml:space="preserve">unallocated_emot_heat_W</w:t>
      </w:r>
      <w:r>
        <w:rPr>
          <w:rFonts w:hint="eastAsia"/>
        </w:rPr>
        <w:t xml:space="preserve">。绕组、铁芯、转子和机械损耗的独立分配没有依据，</w:t>
      </w:r>
      <w:r>
        <w:rPr>
          <w:rStyle w:val="VerbatimChar"/>
        </w:rPr>
        <w:t xml:space="preserve">winding_heat_W</w:t>
      </w:r>
      <w:r>
        <w:t xml:space="preserve"> </w:t>
      </w:r>
      <w:r>
        <w:rPr>
          <w:rFonts w:hint="eastAsia"/>
        </w:rPr>
        <w:t xml:space="preserve">全部为NaN，不能把EMOT联合热损失加到绕组。</w:t>
      </w:r>
    </w:p>
    <w:bookmarkEnd w:id="22"/>
    <w:bookmarkStart w:id="23" w:name="减速器驱动与反拖"/>
    <w:p>
      <w:pPr>
        <w:pStyle w:val="Heading2"/>
      </w:pPr>
      <w:r>
        <w:t xml:space="preserve">4.2 </w:t>
      </w:r>
      <w:r>
        <w:rPr>
          <w:rFonts w:hint="eastAsia"/>
        </w:rPr>
        <w:t xml:space="preserve">减速器驱动与反拖</w:t>
      </w:r>
    </w:p>
    <w:p>
      <w:pPr>
        <w:pStyle w:val="FirstParagraph"/>
      </w:pPr>
      <w:r>
        <w:rPr>
          <w:rFonts w:hint="eastAsia"/>
        </w:rPr>
        <w:t xml:space="preserve">以电机经减速器向车轮传递的带符号功率</w:t>
      </w:r>
      <w:r>
        <w:t xml:space="preserve"> </w:t>
      </w:r>
      <m:oMath>
        <m:sSub>
          <m:e>
            <m:r>
              <m:t>P</m:t>
            </m:r>
          </m:e>
          <m:sub>
            <m:r>
              <m:t>w</m:t>
            </m:r>
          </m:sub>
        </m:sSub>
      </m:oMath>
      <w:r>
        <w:t xml:space="preserve"> </w:t>
      </w:r>
      <w:r>
        <w:rPr>
          <w:rFonts w:hint="eastAsia"/>
        </w:rPr>
        <w:t xml:space="preserve">为端口，采用两个方向效率：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sSub>
                      <m:e>
                        <m:r>
                          <m:t>P</m:t>
                        </m:r>
                      </m:e>
                      <m:sub>
                        <m: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  <m:r>
            <m:t>  </m:t>
          </m:r>
          <m:sSub>
            <m:e>
              <m:r>
                <m:t>Q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因此再生时轮端力与电机负转矩满足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T</m:t>
            </m:r>
          </m:e>
          <m:sub>
            <m:r>
              <m:t>m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|</m:t>
        </m:r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sSub>
          <m:e>
            <m:r>
              <m:t>η</m:t>
            </m:r>
          </m:e>
          <m:sub>
            <m:r>
              <m:t>b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。测试另外使用不同的驱动／反拖效率，防止因为当前两者恰为0.96而隐藏方向错误。常数效率不能代替齿轮、轴承、密封和搅油损耗图；未传功时模型给出零齿轮热，表示未计空载拖曳和搅油，并非真实减速器无发热。</w:t>
      </w:r>
    </w:p>
    <w:bookmarkEnd w:id="23"/>
    <w:bookmarkStart w:id="24" w:name="电池共享功率与低速退出"/>
    <w:p>
      <w:pPr>
        <w:pStyle w:val="Heading2"/>
      </w:pPr>
      <w:r>
        <w:t xml:space="preserve">4.3 </w:t>
      </w:r>
      <w:r>
        <w:rPr>
          <w:rFonts w:hint="eastAsia"/>
        </w:rPr>
        <w:t xml:space="preserve">电池共享功率与低速退出</w:t>
      </w:r>
    </w:p>
    <w:p>
      <w:pPr>
        <w:pStyle w:val="FirstParagraph"/>
      </w:pPr>
      <w:r>
        <w:rPr>
          <w:rFonts w:hint="eastAsia"/>
        </w:rPr>
        <w:t xml:space="preserve">每侧首先求轮端需求、轮胎附着、电机负转矩包络、再生软件限扭和机械功率允许的转矩，再考虑低速衰减。随后对左右负转矩共同缩放，以损耗图计算直流回收功率，35次二分求解满足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≤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充电上限是整车总值。单侧失去再生时，另一侧可使用剩余电池预算，但不得超过自己的制动需求及电机限制。高SOC或温度限充示例使有效上限为零，摩擦制动承接；SOC</w:t>
      </w:r>
      <w:r>
        <w:t xml:space="preserve"> </w:t>
      </w:r>
      <w:r>
        <w:rPr>
          <w:rFonts w:hint="eastAsia"/>
        </w:rPr>
        <w:t xml:space="preserve">0.90门限及温度乘数只是显式场景假设，没有声称取得真实BMS标定。</w:t>
      </w:r>
    </w:p>
    <w:bookmarkEnd w:id="24"/>
    <w:bookmarkStart w:id="25" w:name="制动盘片接触功与假设热分配"/>
    <w:p>
      <w:pPr>
        <w:pStyle w:val="Heading2"/>
      </w:pPr>
      <w:r>
        <w:t xml:space="preserve">4.4 </w:t>
      </w:r>
      <w:r>
        <w:rPr>
          <w:rFonts w:hint="eastAsia"/>
        </w:rPr>
        <w:t xml:space="preserve">制动盘片接触功与假设热分配</w:t>
      </w:r>
    </w:p>
    <w:p>
      <w:pPr>
        <w:pStyle w:val="FirstParagraph"/>
      </w:pPr>
      <w:r>
        <w:rPr>
          <w:rFonts w:hint="eastAsia"/>
        </w:rPr>
        <w:t xml:space="preserve">每侧摩擦器承担本侧后轴制动需求扣除已实现再生的余量，接触功率为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sSub>
            <m:e>
              <m:r>
                <m:t>ω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β</m:t>
          </m:r>
          <m:sSub>
            <m:e>
              <m:r>
                <m:t>P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β</m:t>
          </m:r>
          <m:r>
            <m:rPr>
              <m:sty m:val="p"/>
            </m:rPr>
            <m:t>)</m:t>
          </m:r>
          <m:sSub>
            <m:e>
              <m:r>
                <m:t>P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本轮示例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0.90</m:t>
        </m:r>
      </m:oMath>
      <w:r>
        <w:rPr>
          <w:rFonts w:hint="eastAsia"/>
        </w:rPr>
        <w:t xml:space="preserve">，另导出0.85–0.95份额范围。接触摩擦功、分给盘的热和实际存入盘的热是不同量。未取得几何和热边界，故不生成空间热流密度或温度场，也未计算盘到电机的辐射／导热侵入。</w:t>
      </w:r>
    </w:p>
    <w:bookmarkEnd w:id="25"/>
    <w:bookmarkEnd w:id="26"/>
    <w:bookmarkStart w:id="27" w:name="整车能量守恒与左右非对称"/>
    <w:p>
      <w:pPr>
        <w:pStyle w:val="Heading1"/>
      </w:pPr>
      <w:r>
        <w:t xml:space="preserve">5. </w:t>
      </w:r>
      <w:r>
        <w:rPr>
          <w:rFonts w:hint="eastAsia"/>
        </w:rPr>
        <w:t xml:space="preserve">整车能量守恒与左右非对称</w:t>
      </w:r>
    </w:p>
    <w:p>
      <w:pPr>
        <w:pStyle w:val="FirstParagraph"/>
      </w:pPr>
      <w:r>
        <w:rPr>
          <w:rFonts w:hint="eastAsia"/>
        </w:rPr>
        <w:t xml:space="preserve">每时刻检查带符号功率账本：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̇"/>
                </m:accPr>
                <m:e>
                  <m:r>
                    <m:t>E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P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x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已实现轨迹的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约为数值零；不满足需求时，该诊断端口解释规定轨迹与实际力之间的差，不把未实现制动当作损耗消失。</w:t>
      </w:r>
    </w:p>
    <w:p>
      <w:pPr>
        <w:pStyle w:val="BodyText"/>
      </w:pPr>
      <w:r>
        <w:rPr>
          <w:rFonts w:hint="eastAsia"/>
        </w:rPr>
        <w:t xml:space="preserve">左右轮速相同且对称时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。强加不同左右轮速和制动力的接口测试使用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为各侧带符号轮胎力。该外部交换端口防止把不对称轮端功误算入纵向平动动能。它不是完整横摆动力学、轮胎侧偏或转向模型，不能用此测试声称车辆转弯稳定性已验证。</w:t>
      </w:r>
    </w:p>
    <w:bookmarkEnd w:id="27"/>
    <w:bookmarkStart w:id="37" w:name="实际运行结果"/>
    <w:p>
      <w:pPr>
        <w:pStyle w:val="Heading1"/>
      </w:pPr>
      <w:r>
        <w:t xml:space="preserve">6. </w:t>
      </w:r>
      <w:r>
        <w:rPr>
          <w:rFonts w:hint="eastAsia"/>
        </w:rPr>
        <w:t xml:space="preserve">实际运行结果</w:t>
      </w:r>
    </w:p>
    <w:p>
      <w:pPr>
        <w:pStyle w:val="FirstParagraph"/>
      </w:pPr>
      <w:r>
        <w:rPr>
          <w:rFonts w:hint="eastAsia"/>
        </w:rPr>
        <w:t xml:space="preserve">主矩阵为100→0km/h，0.3／0.6／0.8g，整车直流回收上限0／30／60kW，无路阻及含路阻共18组；另有单侧再生故障、高SOC、温度禁充、独立轮速接口及0→80km/h短驱动共5组。默认时间间隔不超过0.02s，低速再生在5–10km/h线性衰减。</w:t>
      </w:r>
    </w:p>
    <w:bookmarkStart w:id="28" w:name="含路阻的单侧后盘结果"/>
    <w:p>
      <w:pPr>
        <w:pStyle w:val="Heading2"/>
      </w:pPr>
      <w:r>
        <w:t xml:space="preserve">6.1 </w:t>
      </w:r>
      <w:r>
        <w:rPr>
          <w:rFonts w:hint="eastAsia"/>
        </w:rPr>
        <w:t xml:space="preserve">含路阻的单侧后盘结果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</w:trPr>
        <w:tc>
          <w:tcPr>
            <w:shd w:fill="EAF0F7"/>
          </w:tcPr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rFonts w:hint="eastAsia"/>
                <w:b/>
                <w:sz w:val="19"/>
              </w:rPr>
              <w:t xml:space="preserve">减速度</w:t>
            </w:r>
          </w:p>
        </w:tc>
        <w:tc>
          <w:tcPr>
            <w:shd w:fill="EAF0F7"/>
          </w:tcPr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rFonts w:hint="eastAsia"/>
                <w:b/>
                <w:sz w:val="19"/>
              </w:rPr>
              <w:t xml:space="preserve">整车充电上限</w:t>
            </w:r>
          </w:p>
        </w:tc>
        <w:tc>
          <w:tcPr>
            <w:shd w:fill="EAF0F7"/>
          </w:tcPr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rFonts w:hint="eastAsia"/>
                <w:b/>
                <w:sz w:val="19"/>
              </w:rPr>
              <w:t xml:space="preserve">初始单盘转矩</w:t>
            </w:r>
          </w:p>
        </w:tc>
        <w:tc>
          <w:tcPr>
            <w:shd w:fill="EAF0F7"/>
          </w:tcPr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rFonts w:hint="eastAsia"/>
                <w:b/>
                <w:sz w:val="19"/>
              </w:rPr>
              <w:t xml:space="preserve">初始单盘功率</w:t>
            </w:r>
          </w:p>
        </w:tc>
        <w:tc>
          <w:tcPr>
            <w:shd w:fill="EAF0F7"/>
          </w:tcPr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rFonts w:hint="eastAsia"/>
                <w:b/>
                <w:sz w:val="19"/>
              </w:rPr>
              <w:t xml:space="preserve">单盘接触摩擦功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sz w:val="19"/>
              </w:rPr>
              <w:t xml:space="preserve">0.3g</w:t>
            </w:r>
          </w:p>
        </w:tc>
        <w:tc>
          <w:tcPr/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sz w:val="19"/>
              </w:rPr>
              <w:t xml:space="preserve">0kW</w:t>
            </w:r>
          </w:p>
        </w:tc>
        <w:tc>
          <w:tcPr/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sz w:val="19"/>
              </w:rPr>
              <w:t xml:space="preserve">387.69N·m</w:t>
            </w:r>
          </w:p>
        </w:tc>
        <w:tc>
          <w:tcPr/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sz w:val="19"/>
              </w:rPr>
              <w:t xml:space="preserve">32.63kW</w:t>
            </w:r>
          </w:p>
        </w:tc>
        <w:tc>
          <w:tcPr/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sz w:val="19"/>
              </w:rPr>
              <w:t xml:space="preserve">158.73kJ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sz w:val="19"/>
              </w:rPr>
              <w:t xml:space="preserve">0.3g</w:t>
            </w:r>
          </w:p>
        </w:tc>
        <w:tc>
          <w:tcPr/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sz w:val="19"/>
              </w:rPr>
              <w:t xml:space="preserve">30kW</w:t>
            </w:r>
          </w:p>
        </w:tc>
        <w:tc>
          <w:tcPr/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sz w:val="19"/>
              </w:rPr>
              <w:t xml:space="preserve">187.05N·m</w:t>
            </w:r>
          </w:p>
        </w:tc>
        <w:tc>
          <w:tcPr/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sz w:val="19"/>
              </w:rPr>
              <w:t xml:space="preserve">15.74kW</w:t>
            </w:r>
          </w:p>
        </w:tc>
        <w:tc>
          <w:tcPr/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sz w:val="19"/>
              </w:rPr>
              <w:t xml:space="preserve">39.30kJ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sz w:val="19"/>
              </w:rPr>
              <w:t xml:space="preserve">0.3g</w:t>
            </w:r>
          </w:p>
        </w:tc>
        <w:tc>
          <w:tcPr/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sz w:val="19"/>
              </w:rPr>
              <w:t xml:space="preserve">60kW</w:t>
            </w:r>
          </w:p>
        </w:tc>
        <w:tc>
          <w:tcPr/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rFonts w:hint="eastAsia"/>
                <w:sz w:val="19"/>
              </w:rPr>
              <w:t xml:space="preserve">约0N·m</w:t>
            </w:r>
          </w:p>
        </w:tc>
        <w:tc>
          <w:tcPr/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rFonts w:hint="eastAsia"/>
                <w:sz w:val="19"/>
              </w:rPr>
              <w:t xml:space="preserve">约0kW</w:t>
            </w:r>
          </w:p>
        </w:tc>
        <w:tc>
          <w:tcPr/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sz w:val="19"/>
              </w:rPr>
              <w:t xml:space="preserve">0.97kJ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sz w:val="19"/>
              </w:rPr>
              <w:t xml:space="preserve">0.6g</w:t>
            </w:r>
          </w:p>
        </w:tc>
        <w:tc>
          <w:tcPr/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sz w:val="19"/>
              </w:rPr>
              <w:t xml:space="preserve">0kW</w:t>
            </w:r>
          </w:p>
        </w:tc>
        <w:tc>
          <w:tcPr/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sz w:val="19"/>
              </w:rPr>
              <w:t xml:space="preserve">716.93N·m</w:t>
            </w:r>
          </w:p>
        </w:tc>
        <w:tc>
          <w:tcPr/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sz w:val="19"/>
              </w:rPr>
              <w:t xml:space="preserve">60.35kW</w:t>
            </w:r>
          </w:p>
        </w:tc>
        <w:tc>
          <w:tcPr/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sz w:val="19"/>
              </w:rPr>
              <w:t xml:space="preserve">144.47kJ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sz w:val="19"/>
              </w:rPr>
              <w:t xml:space="preserve">0.6g</w:t>
            </w:r>
          </w:p>
        </w:tc>
        <w:tc>
          <w:tcPr/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sz w:val="19"/>
              </w:rPr>
              <w:t xml:space="preserve">30kW</w:t>
            </w:r>
          </w:p>
        </w:tc>
        <w:tc>
          <w:tcPr/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sz w:val="19"/>
              </w:rPr>
              <w:t xml:space="preserve">516.29N·m</w:t>
            </w:r>
          </w:p>
        </w:tc>
        <w:tc>
          <w:tcPr/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sz w:val="19"/>
              </w:rPr>
              <w:t xml:space="preserve">43.46kW</w:t>
            </w:r>
          </w:p>
        </w:tc>
        <w:tc>
          <w:tcPr/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sz w:val="19"/>
              </w:rPr>
              <w:t xml:space="preserve">75.87kJ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sz w:val="19"/>
              </w:rPr>
              <w:t xml:space="preserve">0.6g</w:t>
            </w:r>
          </w:p>
        </w:tc>
        <w:tc>
          <w:tcPr/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sz w:val="19"/>
              </w:rPr>
              <w:t xml:space="preserve">60kW</w:t>
            </w:r>
          </w:p>
        </w:tc>
        <w:tc>
          <w:tcPr/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sz w:val="19"/>
              </w:rPr>
              <w:t xml:space="preserve">323.07N·m</w:t>
            </w:r>
          </w:p>
        </w:tc>
        <w:tc>
          <w:tcPr/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sz w:val="19"/>
              </w:rPr>
              <w:t xml:space="preserve">27.19kW</w:t>
            </w:r>
          </w:p>
        </w:tc>
        <w:tc>
          <w:tcPr/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sz w:val="19"/>
              </w:rPr>
              <w:t xml:space="preserve">30.99kJ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sz w:val="19"/>
              </w:rPr>
              <w:t xml:space="preserve">0.8g</w:t>
            </w:r>
          </w:p>
        </w:tc>
        <w:tc>
          <w:tcPr/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sz w:val="19"/>
              </w:rPr>
              <w:t xml:space="preserve">0kW</w:t>
            </w:r>
          </w:p>
        </w:tc>
        <w:tc>
          <w:tcPr/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sz w:val="19"/>
              </w:rPr>
              <w:t xml:space="preserve">878.46N·m</w:t>
            </w:r>
          </w:p>
        </w:tc>
        <w:tc>
          <w:tcPr/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sz w:val="19"/>
              </w:rPr>
              <w:t xml:space="preserve">73.94kW</w:t>
            </w:r>
          </w:p>
        </w:tc>
        <w:tc>
          <w:tcPr/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sz w:val="19"/>
              </w:rPr>
              <w:t xml:space="preserve">132.27kJ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sz w:val="19"/>
              </w:rPr>
              <w:t xml:space="preserve">0.8g</w:t>
            </w:r>
          </w:p>
        </w:tc>
        <w:tc>
          <w:tcPr/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sz w:val="19"/>
              </w:rPr>
              <w:t xml:space="preserve">30kW</w:t>
            </w:r>
          </w:p>
        </w:tc>
        <w:tc>
          <w:tcPr/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sz w:val="19"/>
              </w:rPr>
              <w:t xml:space="preserve">677.82N·m</w:t>
            </w:r>
          </w:p>
        </w:tc>
        <w:tc>
          <w:tcPr/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sz w:val="19"/>
              </w:rPr>
              <w:t xml:space="preserve">57.06kW</w:t>
            </w:r>
          </w:p>
        </w:tc>
        <w:tc>
          <w:tcPr/>
          <w:p>
            <w:pPr>
              <w:pStyle w:val="Compact"/>
              <w:keepNext/>
              <w:spacing w:after="60" w:line="252" w:lineRule="auto"/>
              <w:jc w:val="right"/>
            </w:pPr>
            <w:r>
              <w:rPr>
                <w:sz w:val="19"/>
              </w:rPr>
              <w:t xml:space="preserve">79.27kJ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0.8g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60kW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484.61N·m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40.79kW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41.41kJ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例如0.6g／30kW时，假设分给单盘的热约68.28kJ，示例盘份额0.85–0.95对应64.49–72.07kJ；这不是实测盘储热。低速再生衰减后，单盘峰值转矩约737.78N·m，高于初始516.29N·m；不能按初始有再生转矩选型。</w:t>
      </w:r>
    </w:p>
    <w:p>
      <w:pPr>
        <w:pStyle w:val="BodyText"/>
      </w:pPr>
      <w:r>
        <w:rPr>
          <w:rFonts w:hint="eastAsia"/>
        </w:rPr>
        <w:t xml:space="preserve">在0.3g／60kW场景，初始后轴需求可由再生承担，初始摩擦约零，但低速退出使整段摩擦功仍约0.97kJ。摩擦功率的初始值也不总是峰值。</w:t>
      </w:r>
    </w:p>
    <w:bookmarkEnd w:id="28"/>
    <w:bookmarkStart w:id="29" w:name="无路阻回归及与m0的差异"/>
    <w:p>
      <w:pPr>
        <w:pStyle w:val="Heading2"/>
      </w:pPr>
      <w:r>
        <w:t xml:space="preserve">6.2 </w:t>
      </w:r>
      <w:r>
        <w:rPr>
          <w:rFonts w:hint="eastAsia"/>
        </w:rPr>
        <w:t xml:space="preserve">无路阻回归及与M0的差异</w:t>
      </w:r>
    </w:p>
    <w:p>
      <w:pPr>
        <w:pStyle w:val="FirstParagraph"/>
      </w:pPr>
      <w:r>
        <w:rPr>
          <w:rFonts w:hint="eastAsia"/>
        </w:rPr>
        <w:t xml:space="preserve">0.6g、无路阻、零再生重新得到单盘752.839N·m、初始63.370kW及接触摩擦功149.5316kJ，与M0解析基线一致。</w:t>
      </w:r>
    </w:p>
    <w:p>
      <w:pPr>
        <w:pStyle w:val="BodyText"/>
      </w:pPr>
      <w:r>
        <w:rPr>
          <w:rFonts w:hint="eastAsia"/>
        </w:rPr>
        <w:t xml:space="preserve">有再生时不应要求M1逐字复制M0固定0.90再生效率的估算。M1改为EPA负转矩联合损耗图加直流功率预算，并新增5–10km/h低速渐退。例如无路阻0.6g／30kW，单盘功由M0约79.20kJ变为M1约80.69kJ；60kW档由约30.93kJ变为约35.03kJ。这反映模型及控制假设变化，未证明真实电机优于或劣于M0假定效率。</w:t>
      </w:r>
    </w:p>
    <w:bookmarkEnd w:id="29"/>
    <w:bookmarkStart w:id="36" w:name="故障与短驱动"/>
    <w:p>
      <w:pPr>
        <w:pStyle w:val="Heading2"/>
      </w:pPr>
      <w:r>
        <w:t xml:space="preserve">6.3 </w:t>
      </w:r>
      <w:r>
        <w:rPr>
          <w:rFonts w:hint="eastAsia"/>
        </w:rPr>
        <w:t xml:space="preserve">故障与短驱动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fill="EAF0F7"/>
          </w:tcPr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9"/>
              </w:rPr>
              <w:t xml:space="preserve">场景</w:t>
            </w:r>
          </w:p>
        </w:tc>
        <w:tc>
          <w:tcPr>
            <w:shd w:fill="EAF0F7"/>
          </w:tcPr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9"/>
              </w:rPr>
              <w:t xml:space="preserve">单侧／整车关键结果</w:t>
            </w:r>
          </w:p>
        </w:tc>
        <w:tc>
          <w:tcPr>
            <w:shd w:fill="EAF0F7"/>
          </w:tcPr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9"/>
              </w:rPr>
              <w:t xml:space="preserve">解释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左侧再生不可用，0.6g／30kW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左盘144.47kJ，右盘30.99kJ，电池回收100.50kJ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左盘回退全摩擦，右侧使用共享预算；前轴仍计入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高SOC或温度禁充，0.6g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两侧各144.47kJ，电池回收0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有效充电上限为零，不能强制保持原再生比例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强加不同左右轮速与分配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左盘52.26kJ，右盘104.90kJ，交换端口−5.78kJ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仅功率接口测试，不能省略带符号交换项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0→80km/h，0.15g，15.10s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电池净输出559.70kJ，动能增量444.44kJ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另含路阻51.31kJ、齿轮20.66kJ、EMOT43.28kJ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短驱动示例中约91.28%的驱动采样落在稀疏ORNL损耗比例可插值范围内，其余点的联合热量保持未拆分。15.10秒小于原报告18秒参考峰值测试时间，并不证明本新总成的连续或短时温度能力。</w:t>
      </w:r>
    </w:p>
    <w:p>
      <w:pPr>
        <w:pStyle w:val="CaptionedFigure"/>
      </w:pPr>
      <w:r>
        <w:drawing>
          <wp:inline>
            <wp:extent cx="5759999" cy="3873214"/>
            <wp:effectExtent b="0" l="0" r="0" t="0"/>
            <wp:docPr descr="图1：参考损耗图及工程假设下的源项功率和单盘能量；再生区域为EPA镜像估计。" title="" id="31" name="Picture"/>
            <a:graphic>
              <a:graphicData uri="http://schemas.openxmlformats.org/drawingml/2006/picture">
                <pic:pic>
                  <pic:nvPicPr>
                    <pic:cNvPr descr="../results/m1/source_power_curve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873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图1：参考损耗图及工程假设下的源项功率和单盘能量；再生区域为EPA镜像估计。</w:t>
      </w:r>
    </w:p>
    <w:p>
      <w:pPr>
        <w:pStyle w:val="CaptionedFigure"/>
      </w:pPr>
      <w:r>
        <w:drawing>
          <wp:inline>
            <wp:extent cx="5759999" cy="2479536"/>
            <wp:effectExtent b="0" l="0" r="0" t="0"/>
            <wp:docPr descr="图2：整车能量账本及独立左右速度接口测试。" title="" id="34" name="Picture"/>
            <a:graphic>
              <a:graphicData uri="http://schemas.openxmlformats.org/drawingml/2006/picture">
                <pic:pic>
                  <pic:nvPicPr>
                    <pic:cNvPr descr="../results/m1/energy_and_independent_side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479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图2：整车能量账本及独立左右速度接口测试。</w:t>
      </w:r>
    </w:p>
    <w:bookmarkEnd w:id="36"/>
    <w:bookmarkEnd w:id="37"/>
    <w:bookmarkStart w:id="38" w:name="测试复现与结果真实性"/>
    <w:p>
      <w:pPr>
        <w:pStyle w:val="Heading1"/>
      </w:pPr>
      <w:r>
        <w:t xml:space="preserve">7. </w:t>
      </w:r>
      <w:r>
        <w:rPr>
          <w:rFonts w:hint="eastAsia"/>
        </w:rPr>
        <w:t xml:space="preserve">测试、复现与结果真实性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fill="EAF0F7"/>
          </w:tcPr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9"/>
              </w:rPr>
              <w:t xml:space="preserve">检查</w:t>
            </w:r>
          </w:p>
        </w:tc>
        <w:tc>
          <w:tcPr>
            <w:shd w:fill="EAF0F7"/>
          </w:tcPr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9"/>
              </w:rPr>
              <w:t xml:space="preserve">实际结果与阈值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sz w:val="19"/>
              </w:rPr>
              <w:t xml:space="preserve">MATLAB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R2025a，25.1.0.2943329，实际执行18组测试、23组轨迹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解析回归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零再生100→0单盘功、前轴及两侧总能量与独立解析值一致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方向及单侧标定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盘轮1:1、电机9:1；驱动与反拖分别核查；30kW按整车合计DC侧限制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工况可行性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主23组可实现；额外测试验证附着／放电能力不足时必须报告需求未实现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边界与严格模式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拒绝转速／转矩／电压外推、负车速；拒绝把镜像再生当实测；严格真实热源模式因缺资料明确拒绝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热源未知值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全部轨迹绕组源均为NaN；稀疏凸包外和再生模式不伪造部件损耗分配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功率及积分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点功率容差0.001W、实际最大约9.09e-11W；相对能量阈值1e-6、MATLAB最大约7.20e-16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步长细化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0.02→0.01s，名义单盘摩擦功相对变化约3.71e-5，即0.00371%，低于0.1%预设阈值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Python独立复核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读取23份CSV，另行积分端口能量，最大相对残差约6.81e-15，并检查力、转速、功率约束及热量分配总和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ALPHA／REVS原对象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sz w:val="19"/>
              </w:rPr>
              <w:t xml:space="preserve">NOT </w:t>
            </w:r>
            <w:r>
              <w:rPr>
                <w:rFonts w:hint="eastAsia"/>
                <w:sz w:val="19"/>
              </w:rPr>
              <w:t xml:space="preserve">EXECUTED；使用已经审计的数字表，不依赖未提供的专有类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实体实验、M2、ANSYS、Fluent、优化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sz w:val="19"/>
              </w:rPr>
              <w:t xml:space="preserve">NOT </w:t>
            </w:r>
            <w:r>
              <w:rPr>
                <w:rFonts w:hint="eastAsia"/>
                <w:sz w:val="19"/>
              </w:rPr>
              <w:t xml:space="preserve">EXECUTED；不在本轮范围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初次运行出现了MATLAB对行向量查询的网格格式性能提示，已改为列向量查询后恢复原形状，并重新运行测试与工况。它未改变地图或物理模型；最终日志以重新运行结果为准。</w:t>
      </w:r>
    </w:p>
    <w:p>
      <w:pPr>
        <w:pStyle w:val="BodyText"/>
      </w:pPr>
      <w:r>
        <w:rPr>
          <w:rFonts w:hint="eastAsia"/>
        </w:rPr>
        <w:t xml:space="preserve">复现命令见</w:t>
      </w:r>
      <w:r>
        <w:t xml:space="preserve"> </w:t>
      </w:r>
      <w:r>
        <w:rPr>
          <w:rStyle w:val="VerbatimChar"/>
        </w:rPr>
        <w:t xml:space="preserve">scripts/m1/README.md</w:t>
      </w:r>
      <w:r>
        <w:rPr>
          <w:rFonts w:hint="eastAsia"/>
        </w:rPr>
        <w:t xml:space="preserve">。主要证据：</w:t>
      </w:r>
      <w:r>
        <w:rPr>
          <w:rStyle w:val="VerbatimChar"/>
        </w:rPr>
        <w:t xml:space="preserve">case_summary.csv</w:t>
      </w:r>
      <w:r>
        <w:t xml:space="preserve">、</w:t>
      </w:r>
      <w:r>
        <w:rPr>
          <w:rStyle w:val="VerbatimChar"/>
        </w:rPr>
        <w:t xml:space="preserve">traces/*.csv</w:t>
      </w:r>
      <w:r>
        <w:t xml:space="preserve">、</w:t>
      </w:r>
      <w:r>
        <w:rPr>
          <w:rStyle w:val="VerbatimChar"/>
        </w:rPr>
        <w:t xml:space="preserve">m1_results.mat</w:t>
      </w:r>
      <w:r>
        <w:t xml:space="preserve">、</w:t>
      </w:r>
      <w:r>
        <w:rPr>
          <w:rStyle w:val="VerbatimChar"/>
        </w:rPr>
        <w:t xml:space="preserve">tests.json</w:t>
      </w:r>
      <w:r>
        <w:t xml:space="preserve">、</w:t>
      </w:r>
      <w:r>
        <w:rPr>
          <w:rStyle w:val="VerbatimChar"/>
        </w:rPr>
        <w:t xml:space="preserve">validation.json</w:t>
      </w:r>
      <w:r>
        <w:t xml:space="preserve">、</w:t>
      </w:r>
      <w:r>
        <w:rPr>
          <w:rStyle w:val="VerbatimChar"/>
        </w:rPr>
        <w:t xml:space="preserve">source_readiness.json</w:t>
      </w:r>
      <w:r>
        <w:t xml:space="preserve">、</w:t>
      </w:r>
      <w:r>
        <w:rPr>
          <w:rStyle w:val="VerbatimChar"/>
        </w:rPr>
        <w:t xml:space="preserve">independent_checks.json</w:t>
      </w:r>
      <w:r>
        <w:rPr>
          <w:rFonts w:hint="eastAsia"/>
        </w:rPr>
        <w:t xml:space="preserve">和MATLAB运行日志。所有结果为参考地图及工程假设的数值计算，不是温度实验验证。</w:t>
      </w:r>
    </w:p>
    <w:bookmarkEnd w:id="38"/>
    <w:bookmarkStart w:id="39" w:name="未完成的真实输入与m1送审状态"/>
    <w:p>
      <w:pPr>
        <w:pStyle w:val="Heading1"/>
      </w:pPr>
      <w:r>
        <w:t xml:space="preserve">8. </w:t>
      </w:r>
      <w:r>
        <w:rPr>
          <w:rFonts w:hint="eastAsia"/>
        </w:rPr>
        <w:t xml:space="preserve">未完成的真实输入与M1送审状态</w:t>
      </w:r>
    </w:p>
    <w:p>
      <w:pPr>
        <w:pStyle w:val="FirstParagraph"/>
      </w:pPr>
      <w:r>
        <w:rPr>
          <w:rFonts w:hint="eastAsia"/>
        </w:rPr>
        <w:t xml:space="preserve">以下缺口使M1保持PARTIAL，而不能作为已验证部件热场的完整输入：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电机铜／铁／转子／机械损耗及温度依赖、真实再生下电机与逆变器损耗拆分；目前没有绕组发热图。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实际电压、电池SOC／温度充电曲线、再生和牵引电流限制、原电机连续功率及控制器标定。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两级减速器结构、方向损耗图、轴承／密封／搅油分项及油温依赖。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实际盘片热分配、摩擦温变、几何、质量、材料与允许温度，及内移安装强度和支承。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冷却流路、流量、入口温度、接触热阻、热物性和热预载；这些属于未来热模型的输入准备，未在本轮补造。</w:t>
      </w:r>
    </w:p>
    <w:p>
      <w:pPr>
        <w:pStyle w:val="FirstParagraph"/>
      </w:pPr>
      <w:r>
        <w:rPr>
          <w:rFonts w:hint="eastAsia"/>
        </w:rPr>
        <w:t xml:space="preserve">现已形成可运行的M1功率／热源框架、接口、独立校核、数值曲线及报告。PR只申请审查本轮实现和证据，不自行合并M1、不创建M1正式Tag，不把M0的批准当作M1验收或M2启动许可。</w:t>
      </w:r>
    </w:p>
    <w:bookmarkEnd w:id="39"/>
    <w:bookmarkStart w:id="42" w:name="参考与文件定位"/>
    <w:p>
      <w:pPr>
        <w:pStyle w:val="Heading1"/>
      </w:pPr>
      <w:r>
        <w:rPr>
          <w:rFonts w:hint="eastAsia"/>
        </w:rPr>
        <w:t xml:space="preserve">参考与文件定位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原始数据及SHA：</w:t>
      </w:r>
      <w:r>
        <w:rPr>
          <w:rStyle w:val="VerbatimChar"/>
        </w:rPr>
        <w:t xml:space="preserve">data/raw/m0/manifest.json</w:t>
      </w:r>
      <w:r>
        <w:rPr>
          <w:rFonts w:hint="eastAsia"/>
        </w:rPr>
        <w:t xml:space="preserve">，EPA包内3a生成说明、3c独立驱动效率表和7号</w:t>
      </w:r>
      <w:r>
        <w:rPr>
          <w:rStyle w:val="VerbatimChar"/>
        </w:rPr>
        <w:t xml:space="preserve">.m</w:t>
      </w:r>
      <w:r>
        <w:rPr>
          <w:rFonts w:hint="eastAsia"/>
        </w:rPr>
        <w:t xml:space="preserve">数字定义。</w:t>
      </w:r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US EPA </w:t>
        </w:r>
        <w:r>
          <w:rPr>
            <w:rStyle w:val="Hyperlink"/>
            <w:rFonts w:hint="eastAsia"/>
          </w:rPr>
          <w:t xml:space="preserve">官方eMotor地图目录</w:t>
        </w:r>
      </w:hyperlink>
      <w:r>
        <w:rPr>
          <w:rFonts w:hint="eastAsia"/>
        </w:rPr>
        <w:t xml:space="preserve">；MG2包版本2023-04-06。</w:t>
      </w:r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  <w:rFonts w:hint="eastAsia"/>
          </w:rPr>
          <w:t xml:space="preserve">ORNL/TM-2010/253，2011-03</w:t>
        </w:r>
      </w:hyperlink>
      <w:r>
        <w:rPr>
          <w:rFonts w:hint="eastAsia"/>
        </w:rPr>
        <w:t xml:space="preserve">，原M0已保存并审计；不把原冷却及18秒能力直接移植为本车连续能力。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docs/REAR_DRIVE_V04_SOURCED_BASELINE.md</w:t>
      </w:r>
      <w:r>
        <w:t xml:space="preserve">、</w:t>
      </w:r>
      <w:r>
        <w:rPr>
          <w:rStyle w:val="VerbatimChar"/>
        </w:rPr>
        <w:t xml:space="preserve">docs/CODEX_EXECUTION.md</w:t>
      </w:r>
      <w:r>
        <w:rPr>
          <w:rFonts w:hint="eastAsia"/>
        </w:rPr>
        <w:t xml:space="preserve">及</w:t>
      </w:r>
      <w:r>
        <w:rPr>
          <w:rStyle w:val="VerbatimChar"/>
        </w:rPr>
        <w:t xml:space="preserve">docs/GIT_VERSIONING_POLICY.md</w:t>
      </w:r>
      <w:r>
        <w:t xml:space="preserve">。</w:t>
      </w:r>
    </w:p>
    <w:bookmarkEnd w:id="42"/>
    <w:sectPr w:rsidR="00FC693F" w:rsidRPr="0006063C" w:rsidSect="00034616">
      <w:footerReference r:id="rId9" w:type="default"/>
      <w:pgSz w:h="16838" w:w="11906"/>
      <w:pgMar w:bottom="1077" w:footer="720" w:gutter="0" w:header="720" w:left="1191" w:right="1191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V0.4 · M1 多热源模型   | 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76" w:lineRule="auto"/>
    </w:pPr>
    <w:rPr>
      <w:rFonts w:ascii="Calibri" w:eastAsia="宋体" w:hAnsi="Calibri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280"/>
      <w:outlineLvl w:val="0"/>
    </w:pPr>
    <w:rPr>
      <w:rFonts w:ascii="Calibri" w:asciiTheme="majorHAnsi" w:cstheme="majorBidi" w:eastAsia="黑体" w:eastAsiaTheme="majorEastAsia" w:hAnsi="Calibri" w:hAnsiTheme="majorHAnsi"/>
      <w:b/>
      <w:bCs/>
      <w:color w:val="1E3A5F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" w:asciiTheme="majorHAnsi" w:cstheme="majorBidi" w:eastAsia="黑体" w:eastAsiaTheme="majorEastAsia" w:hAnsi="Calibri" w:hAnsiTheme="majorHAnsi"/>
      <w:b/>
      <w:bCs/>
      <w:color w:val="1E3A5F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" w:asciiTheme="majorHAnsi" w:cstheme="majorBidi" w:eastAsia="黑体" w:eastAsiaTheme="majorEastAsia" w:hAnsi="Calibri" w:hAnsiTheme="majorHAnsi"/>
      <w:b/>
      <w:bCs/>
      <w:color w:val="1E3A5F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300" w:line="240" w:lineRule="auto"/>
      <w:contextualSpacing/>
    </w:pPr>
    <w:rPr>
      <w:rFonts w:ascii="Calibri" w:asciiTheme="majorHAnsi" w:cstheme="majorBidi" w:eastAsia="黑体" w:eastAsiaTheme="majorEastAsia" w:hAnsi="Calibri" w:hAnsiTheme="majorHAnsi"/>
      <w:color w:val="1E3A5F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="Calibri" w:asciiTheme="majorHAnsi" w:cstheme="majorBidi" w:eastAsia="黑体" w:eastAsiaTheme="majorEastAsia" w:hAnsi="Calibri" w:hAnsiTheme="majorHAnsi"/>
      <w:i/>
      <w:iCs/>
      <w:color w:val="1E3A5F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00" w:line="276" w:lineRule="auto"/>
    </w:pPr>
    <w:rPr>
      <w:rFonts w:ascii="Calibri" w:eastAsia="宋体" w:hAnsi="Calibri"/>
      <w:sz w:val="20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00" w:line="276" w:lineRule="auto"/>
    </w:pPr>
    <w:rPr>
      <w:rFonts w:ascii="Calibri" w:eastAsia="宋体" w:hAnsi="Calibri"/>
      <w:b/>
      <w:bCs/>
      <w:color w:themeColor="accent1" w:val="4F81BD"/>
      <w:sz w:val="20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Relationship Id="rId33" Type="http://schemas.openxmlformats.org/officeDocument/2006/relationships/image" Target="media/rId33.png"/><Relationship Id="rId30" Type="http://schemas.openxmlformats.org/officeDocument/2006/relationships/image" Target="media/rId30.png"/><Relationship Id="rId18" Type="http://schemas.openxmlformats.org/officeDocument/2006/relationships/hyperlink" Target="https://github.com/alan9900/Thermal-coupling-analysis-under-drive-control-integration/pull/2" TargetMode="External"/><Relationship Id="rId41" Type="http://schemas.openxmlformats.org/officeDocument/2006/relationships/hyperlink" Target="https://info.ornl.gov/sites/publications/files/Pub26762.pdf" TargetMode="External"/><Relationship Id="rId40" Type="http://schemas.openxmlformats.org/officeDocument/2006/relationships/hyperlink" Target="https://www.epa.gov/vehicle-and-fuel-emissions-testing/combining-data-complete-emotor-alpha-map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s://github.com/alan9900/Thermal-coupling-analysis-under-drive-control-integration/pull/2" TargetMode="External"/><Relationship Id="rId41" Type="http://schemas.openxmlformats.org/officeDocument/2006/relationships/hyperlink" Target="https://info.ornl.gov/sites/publications/files/Pub26762.pdf" TargetMode="External"/><Relationship Id="rId40" Type="http://schemas.openxmlformats.org/officeDocument/2006/relationships/hyperlink" Target="https://www.epa.gov/vehicle-and-fuel-emissions-testing/combining-data-complete-emotor-alpha-ma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V0.4 后驱双电机 M1 多热源模型</dc:title>
  <dc:creator>研究模型与可复算审查</dc:creator>
  <cp:keywords/>
  <dcterms:created xsi:type="dcterms:W3CDTF">2026-10-19T04:16:58Z</dcterms:created>
  <dcterms:modified xsi:type="dcterms:W3CDTF">2026-10-19T04:16:58Z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2026-10-19</vt:lpwstr>
  </property>
  <property fmtid="{D5CDD505-2E9C-101B-9397-08002B2CF9AE}" pid="3" name="subtitle">
    <vt:lpwstr>阶段状态 PARTIAL · 数值实现通过，真实热源分配仍有缺口</vt:lpwstr>
  </property>
</Properties>
</file>