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V0.4 </w:t>
      </w:r>
      <w:r>
        <w:rPr>
          <w:rFonts w:hint="eastAsia"/>
        </w:rPr>
        <w:t xml:space="preserve">后驱双独立电机</w:t>
      </w:r>
      <w:r>
        <w:t xml:space="preserve"> M0 </w:t>
      </w:r>
      <w:r>
        <w:rPr>
          <w:rFonts w:hint="eastAsia"/>
        </w:rPr>
        <w:t xml:space="preserve">参数审查</w:t>
      </w:r>
    </w:p>
    <w:p>
      <w:pPr>
        <w:pStyle w:val="Subtitle"/>
      </w:pPr>
      <w:r>
        <w:t xml:space="preserve">1800 kg </w:t>
      </w:r>
      <w:r>
        <w:rPr>
          <w:rFonts w:hint="eastAsia"/>
        </w:rPr>
        <w:t xml:space="preserve">概念车</w:t>
      </w:r>
      <w:r>
        <w:t xml:space="preserve"> · </w:t>
      </w:r>
      <w:r>
        <w:rPr>
          <w:rFonts w:hint="eastAsia"/>
        </w:rPr>
        <w:t xml:space="preserve">单侧后轴内移制动盘</w:t>
      </w:r>
      <w:r>
        <w:t xml:space="preserve"> · </w:t>
      </w:r>
      <w:r>
        <w:rPr>
          <w:rFonts w:hint="eastAsia"/>
        </w:rPr>
        <w:t xml:space="preserve">仅参数准备</w:t>
      </w:r>
    </w:p>
    <w:p>
      <w:pPr>
        <w:pStyle w:val="Author"/>
      </w:pPr>
      <w:r>
        <w:rPr>
          <w:rFonts w:hint="eastAsia"/>
        </w:rPr>
        <w:t xml:space="preserve">研究资料与可复算审查</w:t>
      </w:r>
    </w:p>
    <w:p>
      <w:pPr>
        <w:pStyle w:val="Date"/>
      </w:pPr>
      <w:r>
        <w:t xml:space="preserve">2026-10-18</w:t>
      </w:r>
    </w:p>
    <w:bookmarkStart w:id="18" w:name="审查结论与范围"/>
    <w:p>
      <w:pPr>
        <w:pStyle w:val="Heading1"/>
      </w:pPr>
      <w:r>
        <w:t xml:space="preserve">1. </w:t>
      </w:r>
      <w:r>
        <w:rPr>
          <w:rFonts w:hint="eastAsia"/>
        </w:rPr>
        <w:t xml:space="preserve">审查结论与范围</w:t>
      </w:r>
    </w:p>
    <w:p>
      <w:pPr>
        <w:pStyle w:val="FirstParagraph"/>
      </w:pPr>
      <w:r>
        <w:rPr>
          <w:rFonts w:hint="eastAsia"/>
        </w:rPr>
        <w:t xml:space="preserve">本次完成</w:t>
      </w:r>
      <w:r>
        <w:t xml:space="preserve"> M0 </w:t>
      </w:r>
      <w:r>
        <w:rPr>
          <w:rFonts w:hint="eastAsia"/>
        </w:rPr>
        <w:t xml:space="preserve">参数、原始资料获取及动力学可行性审查。研究对象为</w:t>
      </w:r>
      <w:r>
        <w:t xml:space="preserve"> 1800 kg </w:t>
      </w:r>
      <w:r>
        <w:rPr>
          <w:rFonts w:hint="eastAsia"/>
        </w:rPr>
        <w:t xml:space="preserve">后驱概念车：后轴左右各一台参考</w:t>
      </w:r>
      <w:r>
        <w:t xml:space="preserve"> Prius MG2 </w:t>
      </w:r>
      <w:r>
        <w:rPr>
          <w:rFonts w:hint="eastAsia"/>
        </w:rPr>
        <w:t xml:space="preserve">的电机、一台两级</w:t>
      </w:r>
      <w:r>
        <w:t xml:space="preserve"> 9:1 </w:t>
      </w:r>
      <w:r>
        <w:rPr>
          <w:rFonts w:hint="eastAsia"/>
        </w:rPr>
        <w:t xml:space="preserve">减速器及一个减速器输出端内移摩擦盘，无差速器；前轴保留普通摩擦制动器。当前拓扑以仓库</w:t>
      </w:r>
      <w:r>
        <w:t xml:space="preserve"> V0.4 </w:t>
      </w:r>
      <w:r>
        <w:rPr>
          <w:rFonts w:hint="eastAsia"/>
        </w:rPr>
        <w:t xml:space="preserve">配置及权威说明为准。</w:t>
      </w:r>
    </w:p>
    <w:p>
      <w:pPr>
        <w:pStyle w:val="BodyText"/>
      </w:pPr>
      <w:r>
        <w:t xml:space="preserve">EPA </w:t>
      </w:r>
      <w:r>
        <w:rPr>
          <w:rFonts w:hint="eastAsia"/>
        </w:rPr>
        <w:t xml:space="preserve">官方</w:t>
      </w:r>
      <w:r>
        <w:t xml:space="preserve"> MG2 </w:t>
      </w:r>
      <w:r>
        <w:rPr>
          <w:rFonts w:hint="eastAsia"/>
        </w:rPr>
        <w:t xml:space="preserve">数据包已实际下载、解包及读取。完整数值电功率表覆盖正转速下正、负转矩，但负转矩区域是由驱动损耗镜像估计，不能称为</w:t>
      </w:r>
      <w:r>
        <w:t xml:space="preserve"> ORNL </w:t>
      </w:r>
      <w:r>
        <w:rPr>
          <w:rFonts w:hint="eastAsia"/>
        </w:rPr>
        <w:t xml:space="preserve">实测再生图。包内另外含有独立电机、逆变器的稀疏驱动效率数据。电机总损耗仍不能全部视为绕组发热。</w:t>
      </w:r>
    </w:p>
    <w:p>
      <w:pPr>
        <w:pStyle w:val="BodyText"/>
      </w:pPr>
      <w:r>
        <w:rPr>
          <w:rFonts w:hint="eastAsia"/>
        </w:rPr>
        <w:t xml:space="preserve">在当前假设下，160</w:t>
      </w:r>
      <w:r>
        <w:t xml:space="preserve"> km/h </w:t>
      </w:r>
      <w:r>
        <w:rPr>
          <w:rFonts w:hint="eastAsia"/>
        </w:rPr>
        <w:t xml:space="preserve">的转速与短时动力筛查通过。持续高速、真实再生能力、内移盘安装强度与热容量均未验证。0.6g</w:t>
      </w:r>
      <w:r>
        <w:t xml:space="preserve"> </w:t>
      </w:r>
      <w:r>
        <w:rPr>
          <w:rFonts w:hint="eastAsia"/>
        </w:rPr>
        <w:t xml:space="preserve">零再生时单侧后盘制动转矩约</w:t>
      </w:r>
      <w:r>
        <w:t xml:space="preserve"> 752.84 </w:t>
      </w:r>
      <w:r>
        <w:rPr>
          <w:rFonts w:hint="eastAsia"/>
        </w:rPr>
        <w:t xml:space="preserve">N·m，初始接触摩擦功率</w:t>
      </w:r>
      <w:r>
        <w:t xml:space="preserve"> 63.37 </w:t>
      </w:r>
      <w:r>
        <w:rPr>
          <w:rFonts w:hint="eastAsia"/>
        </w:rPr>
        <w:t xml:space="preserve">kW，一次</w:t>
      </w:r>
      <w:r>
        <w:t xml:space="preserve"> 100→0 km/h </w:t>
      </w:r>
      <w:r>
        <w:rPr>
          <w:rFonts w:hint="eastAsia"/>
        </w:rPr>
        <w:t xml:space="preserve">的接触摩擦功</w:t>
      </w:r>
      <w:r>
        <w:t xml:space="preserve"> 149.53 kJ。</w:t>
      </w:r>
    </w:p>
    <w:p>
      <w:pPr>
        <w:pStyle w:val="BodyText"/>
      </w:pPr>
      <w:r>
        <w:rPr>
          <w:rFonts w:hint="eastAsia"/>
        </w:rPr>
        <w:t xml:space="preserve">本次未建立</w:t>
      </w:r>
      <w:r>
        <w:t xml:space="preserve"> M1 </w:t>
      </w:r>
      <w:r>
        <w:rPr>
          <w:rFonts w:hint="eastAsia"/>
        </w:rPr>
        <w:t xml:space="preserve">瞬态热源模型，未运行</w:t>
      </w:r>
      <w:r>
        <w:t xml:space="preserve"> </w:t>
      </w:r>
      <w:r>
        <w:rPr>
          <w:rFonts w:hint="eastAsia"/>
        </w:rPr>
        <w:t xml:space="preserve">ANSYS、热网络、CAD</w:t>
      </w:r>
      <w:r>
        <w:t xml:space="preserve"> </w:t>
      </w:r>
      <w:r>
        <w:rPr>
          <w:rFonts w:hint="eastAsia"/>
        </w:rPr>
        <w:t xml:space="preserve">或优化。制动功与损耗分项仅用于</w:t>
      </w:r>
      <w:r>
        <w:t xml:space="preserve"> M0 </w:t>
      </w:r>
      <w:r>
        <w:rPr>
          <w:rFonts w:hint="eastAsia"/>
        </w:rPr>
        <w:t xml:space="preserve">参数和整车能量核算，不生成温度、空间热流密度或部件热源分配。进入</w:t>
      </w:r>
      <w:r>
        <w:t xml:space="preserve"> M1 </w:t>
      </w:r>
      <w:r>
        <w:rPr>
          <w:rFonts w:hint="eastAsia"/>
        </w:rPr>
        <w:t xml:space="preserve">需用户另行确认。</w:t>
      </w:r>
    </w:p>
    <w:bookmarkEnd w:id="18"/>
    <w:bookmarkStart w:id="19" w:name="资料来源与证据边界"/>
    <w:p>
      <w:pPr>
        <w:pStyle w:val="Heading1"/>
      </w:pPr>
      <w:r>
        <w:t xml:space="preserve">2. </w:t>
      </w:r>
      <w:r>
        <w:rPr>
          <w:rFonts w:hint="eastAsia"/>
        </w:rPr>
        <w:t xml:space="preserve">资料来源与证据边界</w:t>
      </w:r>
    </w:p>
    <w:p>
      <w:pPr>
        <w:pStyle w:val="FirstParagraph"/>
      </w:pPr>
      <w:r>
        <w:rPr>
          <w:rFonts w:hint="eastAsia"/>
        </w:rPr>
        <w:t xml:space="preserve">原始文件位于</w:t>
      </w:r>
      <w:r>
        <w:t xml:space="preserve"> </w:t>
      </w:r>
      <w:r>
        <w:rPr>
          <w:rStyle w:val="VerbatimChar"/>
        </w:rPr>
        <w:t xml:space="preserve">data/raw/m0/</w:t>
      </w:r>
      <w:r>
        <w:t xml:space="preserve">。</w:t>
      </w:r>
      <w:r>
        <w:rPr>
          <w:rStyle w:val="VerbatimChar"/>
        </w:rPr>
        <w:t xml:space="preserve">manifest.json</w:t>
      </w:r>
      <w:r>
        <w:t xml:space="preserve"> </w:t>
      </w:r>
      <w:r>
        <w:rPr>
          <w:rFonts w:hint="eastAsia"/>
        </w:rPr>
        <w:t xml:space="preserve">记录请求地址、最终地址、获取时刻、文件字节数和</w:t>
      </w:r>
      <w:r>
        <w:t xml:space="preserve"> </w:t>
      </w:r>
      <w:r>
        <w:rPr>
          <w:rFonts w:hint="eastAsia"/>
        </w:rPr>
        <w:t xml:space="preserve">SHA-256；EPA</w:t>
      </w:r>
      <w:r>
        <w:t xml:space="preserve"> </w:t>
      </w:r>
      <w:r>
        <w:rPr>
          <w:rFonts w:hint="eastAsia"/>
        </w:rPr>
        <w:t xml:space="preserve">包内各文件校验值见</w:t>
      </w:r>
      <w:r>
        <w:t xml:space="preserve"> </w:t>
      </w:r>
      <w:r>
        <w:rPr>
          <w:rStyle w:val="VerbatimChar"/>
        </w:rPr>
        <w:t xml:space="preserve">results/m0/epa_zip_inventory.json</w:t>
      </w:r>
      <w:r>
        <w:t xml:space="preserve">。S1 </w:t>
      </w:r>
      <w:r>
        <w:rPr>
          <w:rFonts w:hint="eastAsia"/>
        </w:rPr>
        <w:t xml:space="preserve">表示官方原始参考，S3</w:t>
      </w:r>
      <w:r>
        <w:t xml:space="preserve"> </w:t>
      </w:r>
      <w:r>
        <w:rPr>
          <w:rFonts w:hint="eastAsia"/>
        </w:rPr>
        <w:t xml:space="preserve">表示明确的工程估算；缺失值保持</w:t>
      </w:r>
      <w:r>
        <w:t xml:space="preserve"> </w:t>
      </w:r>
      <w:r>
        <w:rPr>
          <w:rFonts w:hint="eastAsia"/>
        </w:rPr>
        <w:t xml:space="preserve">null。参考部件的</w:t>
      </w:r>
      <w:r>
        <w:t xml:space="preserve"> S1 </w:t>
      </w:r>
      <w:r>
        <w:rPr>
          <w:rFonts w:hint="eastAsia"/>
        </w:rPr>
        <w:t xml:space="preserve">证据不代表概念总成经过实测。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b/>
                <w:sz w:val="19"/>
              </w:rPr>
              <w:t xml:space="preserve">资料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b/>
                <w:sz w:val="19"/>
              </w:rPr>
              <w:t xml:space="preserve">本次获取与定位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b/>
                <w:sz w:val="19"/>
              </w:rPr>
              <w:t xml:space="preserve">支持内容及限制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EPA MG2 EMOT </w:t>
            </w:r>
            <w:r>
              <w:rPr>
                <w:rFonts w:hint="eastAsia"/>
                <w:sz w:val="19"/>
              </w:rPr>
              <w:t xml:space="preserve">包，2023-04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官方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ZIP，32,352,137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字节，12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个文件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联合电功率表、生成方法、稀疏原始效率数据；再生为估计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ORNL/TM-2010/253，2011-03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ORNL </w:t>
            </w:r>
            <w:r>
              <w:rPr>
                <w:rFonts w:hint="eastAsia"/>
                <w:sz w:val="19"/>
              </w:rPr>
              <w:t xml:space="preserve">官方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PDF，88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页；EPA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包也附有一份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额定能力、拆解尺寸、效率和特定条件持续负荷测试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Toyota </w:t>
            </w:r>
            <w:r>
              <w:rPr>
                <w:rFonts w:hint="eastAsia"/>
                <w:sz w:val="19"/>
              </w:rPr>
              <w:t xml:space="preserve">第三代</w:t>
            </w:r>
            <w:r>
              <w:rPr>
                <w:sz w:val="19"/>
              </w:rPr>
              <w:t xml:space="preserve"> Prius </w:t>
            </w:r>
            <w:r>
              <w:rPr>
                <w:rFonts w:hint="eastAsia"/>
                <w:sz w:val="19"/>
              </w:rPr>
              <w:t xml:space="preserve">发布，2009-05-18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官方网页已保存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电机最大</w:t>
            </w:r>
            <w:r>
              <w:rPr>
                <w:sz w:val="19"/>
              </w:rPr>
              <w:t xml:space="preserve"> 60 kW、207 </w:t>
            </w:r>
            <w:r>
              <w:rPr>
                <w:rFonts w:hint="eastAsia"/>
                <w:sz w:val="19"/>
              </w:rPr>
              <w:t xml:space="preserve">N·m，系统最高</w:t>
            </w:r>
            <w:r>
              <w:rPr>
                <w:sz w:val="19"/>
              </w:rPr>
              <w:t xml:space="preserve"> 650 </w:t>
            </w:r>
            <w:r>
              <w:rPr>
                <w:rFonts w:hint="eastAsia"/>
                <w:sz w:val="19"/>
              </w:rPr>
              <w:t xml:space="preserve">V；不证明连续输出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Volkswagen MY23 ID.3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官方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PDF；PDF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第5页轮胎、第9页性能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215/55 R18、160 </w:t>
            </w:r>
            <w:r>
              <w:rPr>
                <w:rFonts w:hint="eastAsia"/>
                <w:sz w:val="19"/>
              </w:rPr>
              <w:t xml:space="preserve">km/h；不支持概念质量及重心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Volkswagen MY21 ID.3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官方</w:t>
            </w:r>
            <w:r>
              <w:rPr>
                <w:sz w:val="19"/>
              </w:rPr>
              <w:t xml:space="preserve"> PDF </w:t>
            </w:r>
            <w:r>
              <w:rPr>
                <w:rFonts w:hint="eastAsia"/>
                <w:sz w:val="19"/>
              </w:rPr>
              <w:t xml:space="preserve">第19页图示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L101，已目视核查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轴距</w:t>
            </w:r>
            <w:r>
              <w:rPr>
                <w:sz w:val="19"/>
              </w:rPr>
              <w:t xml:space="preserve"> 2765 </w:t>
            </w:r>
            <w:r>
              <w:rPr>
                <w:rFonts w:hint="eastAsia"/>
                <w:sz w:val="19"/>
              </w:rPr>
              <w:t xml:space="preserve">mm；是较早版本车身参照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Volkswagen 2020 </w:t>
            </w:r>
            <w:r>
              <w:rPr>
                <w:rFonts w:hint="eastAsia"/>
                <w:sz w:val="19"/>
              </w:rPr>
              <w:t xml:space="preserve">技术页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搜索索引仍有内容，直接访问为</w:t>
            </w:r>
            <w:r>
              <w:rPr>
                <w:sz w:val="19"/>
              </w:rPr>
              <w:t xml:space="preserve"> HTTP 404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Cd=0.27 </w:t>
            </w:r>
            <w:r>
              <w:rPr>
                <w:rFonts w:hint="eastAsia"/>
                <w:sz w:val="19"/>
              </w:rPr>
              <w:t xml:space="preserve">仅保留未验证筛查值；不标为本次完整原文核实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Brembo 09.9908.21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官方目录网页已保存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后轴通风盘</w:t>
            </w:r>
            <w:r>
              <w:rPr>
                <w:sz w:val="19"/>
              </w:rPr>
              <w:t xml:space="preserve"> 280×22 </w:t>
            </w:r>
            <w:r>
              <w:rPr>
                <w:rFonts w:hint="eastAsia"/>
                <w:sz w:val="19"/>
              </w:rPr>
              <w:t xml:space="preserve">mm、高42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mm、中孔68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mm；不证明内移可装</w:t>
            </w:r>
          </w:p>
        </w:tc>
      </w:tr>
    </w:tbl>
    <w:p>
      <w:pPr>
        <w:pStyle w:val="BodyText"/>
      </w:pPr>
      <w:r>
        <w:t xml:space="preserve">EPA ZIP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SHA-256：</w:t>
      </w:r>
    </w:p>
    <w:p>
      <w:pPr>
        <w:pStyle w:val="BodyText"/>
      </w:pPr>
      <w:r>
        <w:rPr>
          <w:rStyle w:val="VerbatimChar"/>
        </w:rPr>
        <w:t xml:space="preserve">9351bd93e82a58d6c2d7fd5220f4913b0966adb9e4922f34f98c0b4f957f39cd</w:t>
      </w:r>
    </w:p>
    <w:p>
      <w:pPr>
        <w:pStyle w:val="BodyText"/>
      </w:pPr>
      <w:r>
        <w:rPr>
          <w:rFonts w:hint="eastAsia"/>
        </w:rPr>
        <w:t xml:space="preserve">所有原始资料保留原有归属和版权标识。包内未附一份统一覆盖全部</w:t>
      </w:r>
      <w:r>
        <w:t xml:space="preserve"> OEM/ORNL </w:t>
      </w:r>
      <w:r>
        <w:rPr>
          <w:rFonts w:hint="eastAsia"/>
        </w:rPr>
        <w:t xml:space="preserve">附件的再分发许可证，不能将第三方资料笼统宣称为无版权。仓库保留原包用于本研究证据追溯，引用采用</w:t>
      </w:r>
      <w:r>
        <w:t xml:space="preserve"> EPA </w:t>
      </w:r>
      <w:r>
        <w:rPr>
          <w:rFonts w:hint="eastAsia"/>
        </w:rPr>
        <w:t xml:space="preserve">建议的</w:t>
      </w:r>
      <w:r>
        <w:t xml:space="preserve"> 2023-04 </w:t>
      </w:r>
      <w:r>
        <w:rPr>
          <w:rFonts w:hint="eastAsia"/>
        </w:rPr>
        <w:t xml:space="preserve">版本说明。ORNL</w:t>
      </w:r>
      <w:r>
        <w:t xml:space="preserve"> </w:t>
      </w:r>
      <w:r>
        <w:rPr>
          <w:rFonts w:hint="eastAsia"/>
        </w:rPr>
        <w:t xml:space="preserve">官网</w:t>
      </w:r>
      <w:r>
        <w:t xml:space="preserve"> PDF </w:t>
      </w:r>
      <w:r>
        <w:rPr>
          <w:rFonts w:hint="eastAsia"/>
        </w:rPr>
        <w:t xml:space="preserve">与包内</w:t>
      </w:r>
      <w:r>
        <w:t xml:space="preserve"> PDF </w:t>
      </w:r>
      <w:r>
        <w:rPr>
          <w:rFonts w:hint="eastAsia"/>
        </w:rPr>
        <w:t xml:space="preserve">字节数及哈希不同，分别留存，不把二者当作二进制相同文件。</w:t>
      </w:r>
    </w:p>
    <w:bookmarkEnd w:id="19"/>
    <w:bookmarkStart w:id="23" w:name="epa-数据包审计"/>
    <w:p>
      <w:pPr>
        <w:pStyle w:val="Heading1"/>
      </w:pPr>
      <w:r>
        <w:t xml:space="preserve">3. EPA </w:t>
      </w:r>
      <w:r>
        <w:rPr>
          <w:rFonts w:hint="eastAsia"/>
        </w:rPr>
        <w:t xml:space="preserve">数据包审计</w:t>
      </w:r>
    </w:p>
    <w:bookmarkStart w:id="20" w:name="格式与可读取性"/>
    <w:p>
      <w:pPr>
        <w:pStyle w:val="Heading2"/>
      </w:pPr>
      <w:r>
        <w:t xml:space="preserve">3.1 </w:t>
      </w:r>
      <w:r>
        <w:rPr>
          <w:rFonts w:hint="eastAsia"/>
        </w:rPr>
        <w:t xml:space="preserve">格式与可读取性</w:t>
      </w:r>
    </w:p>
    <w:p>
      <w:pPr>
        <w:pStyle w:val="FirstParagraph"/>
      </w:pPr>
      <w:r>
        <w:rPr>
          <w:rFonts w:hint="eastAsia"/>
        </w:rPr>
        <w:t xml:space="preserve">包内包含</w:t>
      </w:r>
      <w:r>
        <w:t xml:space="preserve"> 3 </w:t>
      </w:r>
      <w:r>
        <w:rPr>
          <w:rFonts w:hint="eastAsia"/>
        </w:rPr>
        <w:t xml:space="preserve">个</w:t>
      </w:r>
      <w:r>
        <w:t xml:space="preserve"> DOCX、1 </w:t>
      </w:r>
      <w:r>
        <w:rPr>
          <w:rFonts w:hint="eastAsia"/>
        </w:rPr>
        <w:t xml:space="preserve">个</w:t>
      </w:r>
      <w:r>
        <w:t xml:space="preserve"> HTML、2 </w:t>
      </w:r>
      <w:r>
        <w:rPr>
          <w:rFonts w:hint="eastAsia"/>
        </w:rPr>
        <w:t xml:space="preserve">个</w:t>
      </w:r>
      <w:r>
        <w:t xml:space="preserve"> XLSX、5 </w:t>
      </w:r>
      <w:r>
        <w:rPr>
          <w:rFonts w:hint="eastAsia"/>
        </w:rPr>
        <w:t xml:space="preserve">个</w:t>
      </w:r>
      <w:r>
        <w:t xml:space="preserve"> PDF、1 </w:t>
      </w:r>
      <w:r>
        <w:rPr>
          <w:rFonts w:hint="eastAsia"/>
        </w:rPr>
        <w:t xml:space="preserve">个</w:t>
      </w:r>
      <w:r>
        <w:t xml:space="preserve"> MATLAB</w:t>
      </w:r>
      <w:r>
        <w:t xml:space="preserve"> </w:t>
      </w:r>
      <w:r>
        <w:rPr>
          <w:rStyle w:val="VerbatimChar"/>
        </w:rPr>
        <w:t xml:space="preserve">.m</w:t>
      </w:r>
      <w:r>
        <w:t xml:space="preserve"> </w:t>
      </w:r>
      <w:r>
        <w:rPr>
          <w:rFonts w:hint="eastAsia"/>
        </w:rPr>
        <w:t xml:space="preserve">文件。没有</w:t>
      </w:r>
      <w:r>
        <w:t xml:space="preserve"> MAT </w:t>
      </w:r>
      <w:r>
        <w:rPr>
          <w:rFonts w:hint="eastAsia"/>
        </w:rPr>
        <w:t xml:space="preserve">原始文件。</w:t>
      </w:r>
      <w:r>
        <w:rPr>
          <w:rStyle w:val="VerbatimChar"/>
        </w:rPr>
        <w:t xml:space="preserve">.m</w:t>
      </w:r>
      <w:r>
        <w:t xml:space="preserve"> </w:t>
      </w:r>
      <w:r>
        <w:rPr>
          <w:rFonts w:hint="eastAsia"/>
        </w:rPr>
        <w:t xml:space="preserve">是</w:t>
      </w:r>
      <w:r>
        <w:t xml:space="preserve"> ALPHA/REVS </w:t>
      </w:r>
      <w:r>
        <w:rPr>
          <w:rFonts w:hint="eastAsia"/>
        </w:rPr>
        <w:t xml:space="preserve">对象定义，依赖</w:t>
      </w:r>
      <w:r>
        <w:t xml:space="preserve"> </w:t>
      </w:r>
      <w:r>
        <w:rPr>
          <w:rStyle w:val="VerbatimChar"/>
        </w:rPr>
        <w:t xml:space="preserve">class_REVS_emachine_geared</w:t>
      </w:r>
      <w:r>
        <w:t xml:space="preserve"> </w:t>
      </w:r>
      <w:r>
        <w:rPr>
          <w:rFonts w:hint="eastAsia"/>
        </w:rPr>
        <w:t xml:space="preserve">等外部类；不能仅凭拥有</w:t>
      </w:r>
      <w:r>
        <w:t xml:space="preserve"> MATLAB </w:t>
      </w:r>
      <w:r>
        <w:rPr>
          <w:rFonts w:hint="eastAsia"/>
        </w:rPr>
        <w:t xml:space="preserve">就声称完整运行了</w:t>
      </w:r>
      <w:r>
        <w:t xml:space="preserve"> </w:t>
      </w:r>
      <w:r>
        <w:rPr>
          <w:rFonts w:hint="eastAsia"/>
        </w:rPr>
        <w:t xml:space="preserve">ALPHA。生成</w:t>
      </w:r>
      <w:r>
        <w:t xml:space="preserve"> HTML </w:t>
      </w:r>
      <w:r>
        <w:rPr>
          <w:rFonts w:hint="eastAsia"/>
        </w:rPr>
        <w:t xml:space="preserve">还引用未随包提供的</w:t>
      </w:r>
      <w:r>
        <w:t xml:space="preserve"> </w:t>
      </w:r>
      <w:r>
        <w:rPr>
          <w:rStyle w:val="VerbatimChar"/>
        </w:rPr>
        <w:t xml:space="preserve">Extracted_Data_emach</w:t>
      </w:r>
      <w:r>
        <w:rPr>
          <w:rFonts w:hint="eastAsia"/>
        </w:rPr>
        <w:t xml:space="preserve">。本次不执行下载的代码，以数值赋值解析方式提取原表，并与示例</w:t>
      </w:r>
      <w:r>
        <w:t xml:space="preserve"> XLSX </w:t>
      </w:r>
      <w:r>
        <w:rPr>
          <w:rFonts w:hint="eastAsia"/>
        </w:rPr>
        <w:t xml:space="preserve">交叉核对，生成了可供</w:t>
      </w:r>
      <w:r>
        <w:t xml:space="preserve"> MATLAB </w:t>
      </w:r>
      <w:r>
        <w:rPr>
          <w:rFonts w:hint="eastAsia"/>
        </w:rPr>
        <w:t xml:space="preserve">读取的</w:t>
      </w:r>
      <w:r>
        <w:t xml:space="preserve"> JSON/MAT </w:t>
      </w:r>
      <w:r>
        <w:rPr>
          <w:rFonts w:hint="eastAsia"/>
        </w:rPr>
        <w:t xml:space="preserve">和</w:t>
      </w:r>
      <w:r>
        <w:t xml:space="preserve"> CSV。</w:t>
      </w:r>
    </w:p>
    <w:p>
      <w:pPr>
        <w:pStyle w:val="BodyText"/>
      </w:pPr>
      <w:r>
        <w:rPr>
          <w:rStyle w:val="VerbatimChar"/>
        </w:rPr>
        <w:t xml:space="preserve">3c</w:t>
      </w:r>
      <w:r>
        <w:t xml:space="preserve"> </w:t>
      </w:r>
      <w:r>
        <w:t xml:space="preserve">XLSX </w:t>
      </w:r>
      <w:r>
        <w:rPr>
          <w:rFonts w:hint="eastAsia"/>
        </w:rPr>
        <w:t xml:space="preserve">含</w:t>
      </w:r>
      <w:r>
        <w:t xml:space="preserve"> </w:t>
      </w:r>
      <w:r>
        <w:rPr>
          <w:rStyle w:val="VerbatimChar"/>
        </w:rPr>
        <w:t xml:space="preserve">650V Motor Only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650V Inv Only</w:t>
      </w:r>
      <w:r>
        <w:t xml:space="preserve"> </w:t>
      </w:r>
      <w:r>
        <w:rPr>
          <w:rFonts w:hint="eastAsia"/>
        </w:rPr>
        <w:t xml:space="preserve">两张工作表。每张正转矩候选网格为</w:t>
      </w:r>
      <w:r>
        <w:t xml:space="preserve"> </w:t>
      </w:r>
      <w:r>
        <w:rPr>
          <w:rFonts w:hint="eastAsia"/>
        </w:rPr>
        <w:t xml:space="preserve">20×14；各有</w:t>
      </w:r>
      <w:r>
        <w:t xml:space="preserve"> 137 </w:t>
      </w:r>
      <w:r>
        <w:rPr>
          <w:rFonts w:hint="eastAsia"/>
        </w:rPr>
        <w:t xml:space="preserve">个有效值、143</w:t>
      </w:r>
      <w:r>
        <w:t xml:space="preserve"> </w:t>
      </w:r>
      <w:r>
        <w:rPr>
          <w:rFonts w:hint="eastAsia"/>
        </w:rPr>
        <w:t xml:space="preserve">个缺失值，配对有效驱动点为</w:t>
      </w:r>
      <w:r>
        <w:t xml:space="preserve"> 137 </w:t>
      </w:r>
      <w:r>
        <w:rPr>
          <w:rFonts w:hint="eastAsia"/>
        </w:rPr>
        <w:t xml:space="preserve">个。0</w:t>
      </w:r>
      <w:r>
        <w:t xml:space="preserve"> N·m </w:t>
      </w:r>
      <w:r>
        <w:rPr>
          <w:rFonts w:hint="eastAsia"/>
        </w:rPr>
        <w:t xml:space="preserve">行虽有数值，EPA</w:t>
      </w:r>
      <w:r>
        <w:t xml:space="preserve"> </w:t>
      </w:r>
      <w:r>
        <w:rPr>
          <w:rFonts w:hint="eastAsia"/>
        </w:rPr>
        <w:t xml:space="preserve">生成说明指出其效率不符合物理意义并排除，不能作为静止损耗验证数据。</w:t>
      </w:r>
    </w:p>
    <w:p>
      <w:pPr>
        <w:pStyle w:val="BodyText"/>
      </w:pPr>
      <w:r>
        <w:rPr>
          <w:rStyle w:val="VerbatimChar"/>
        </w:rPr>
        <w:t xml:space="preserve">6</w:t>
      </w:r>
      <w:r>
        <w:t xml:space="preserve"> </w:t>
      </w:r>
      <w:r>
        <w:t xml:space="preserve">XLSX </w:t>
      </w:r>
      <w:r>
        <w:rPr>
          <w:rFonts w:hint="eastAsia"/>
        </w:rPr>
        <w:t xml:space="preserve">是</w:t>
      </w:r>
      <w:r>
        <w:t xml:space="preserve"> ALPHA </w:t>
      </w:r>
      <w:r>
        <w:rPr>
          <w:rFonts w:hint="eastAsia"/>
        </w:rPr>
        <w:t xml:space="preserve">导出的示例数据，共272行，并非完整矩形网格；其电功率与</w:t>
      </w:r>
      <w:r>
        <w:t xml:space="preserve"> </w:t>
      </w:r>
      <w:r>
        <w:rPr>
          <w:rStyle w:val="VerbatimChar"/>
        </w:rPr>
        <w:t xml:space="preserve">.m</w:t>
      </w:r>
      <w:r>
        <w:t xml:space="preserve"> </w:t>
      </w:r>
      <w:r>
        <w:rPr>
          <w:rFonts w:hint="eastAsia"/>
        </w:rPr>
        <w:t xml:space="preserve">中相应数值的插值结果一致。</w:t>
      </w:r>
    </w:p>
    <w:bookmarkEnd w:id="20"/>
    <w:bookmarkStart w:id="21" w:name="转矩转速功率范围"/>
    <w:p>
      <w:pPr>
        <w:pStyle w:val="Heading2"/>
      </w:pPr>
      <w:r>
        <w:t xml:space="preserve">3.2 </w:t>
      </w:r>
      <w:r>
        <w:rPr>
          <w:rFonts w:hint="eastAsia"/>
        </w:rPr>
        <w:t xml:space="preserve">转矩、转速、功率范围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b/>
                <w:sz w:val="19"/>
              </w:rPr>
              <w:t xml:space="preserve">项目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b/>
                <w:sz w:val="19"/>
              </w:rPr>
              <w:t xml:space="preserve">核查结果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Style w:val="VerbatimChar"/>
                <w:sz w:val="19"/>
              </w:rPr>
              <w:t xml:space="preserve">.m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完整电功率表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14 </w:t>
            </w:r>
            <w:r>
              <w:rPr>
                <w:rFonts w:hint="eastAsia"/>
                <w:sz w:val="19"/>
              </w:rPr>
              <w:t xml:space="preserve">个转速点×39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个转矩点，共546个有限值，无空值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转速轴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0–13000 </w:t>
            </w:r>
            <w:r>
              <w:rPr>
                <w:rFonts w:hint="eastAsia"/>
                <w:sz w:val="19"/>
              </w:rPr>
              <w:t xml:space="preserve">rpm，步长1000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rpm；仅非负转速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转矩轴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−200 </w:t>
            </w:r>
            <w:r>
              <w:rPr>
                <w:rFonts w:hint="eastAsia"/>
                <w:sz w:val="19"/>
              </w:rPr>
              <w:t xml:space="preserve">至</w:t>
            </w:r>
            <w:r>
              <w:rPr>
                <w:sz w:val="19"/>
              </w:rPr>
              <w:t xml:space="preserve"> +200 </w:t>
            </w:r>
            <w:r>
              <w:rPr>
                <w:rFonts w:hint="eastAsia"/>
                <w:sz w:val="19"/>
              </w:rPr>
              <w:t xml:space="preserve">N·m，非等间距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物理最高转速声明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13500 </w:t>
            </w:r>
            <w:r>
              <w:rPr>
                <w:rFonts w:hint="eastAsia"/>
                <w:sz w:val="19"/>
              </w:rPr>
              <w:t xml:space="preserve">rpm；13000–13500</w:t>
            </w:r>
            <w:r>
              <w:rPr>
                <w:sz w:val="19"/>
              </w:rPr>
              <w:t xml:space="preserve"> rpm </w:t>
            </w:r>
            <w:r>
              <w:rPr>
                <w:rFonts w:hint="eastAsia"/>
                <w:sz w:val="19"/>
              </w:rPr>
              <w:t xml:space="preserve">无表格覆盖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工作电压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单一650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V；不代表任意直流母线电压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驱动／发电功率声明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各60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kW，但再生声明不是实测承诺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正负限扭线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数值互为相反数；绝对值约200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N·m低速、25.23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N·m在13000</w:t>
            </w:r>
            <w:r>
              <w:rPr>
                <w:sz w:val="19"/>
              </w:rPr>
              <w:t xml:space="preserve"> rpm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同时满足限扭线及60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kW的网格点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268点；矩形表内其他点不能直接当可行工作点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有完整数值表并不意味着全部矩形区域均可运行。必须同时满足电压、转速、正负转矩包络、功率以及未来的电流与温度限制。硬件207</w:t>
      </w:r>
      <w:r>
        <w:t xml:space="preserve"> </w:t>
      </w:r>
      <w:r>
        <w:rPr>
          <w:rFonts w:hint="eastAsia"/>
        </w:rPr>
        <w:t xml:space="preserve">N·m与低速图中约200</w:t>
      </w:r>
      <w:r>
        <w:t xml:space="preserve"> </w:t>
      </w:r>
      <w:r>
        <w:rPr>
          <w:rFonts w:hint="eastAsia"/>
        </w:rPr>
        <w:t xml:space="preserve">N·m的限扭线是不同层次的参数，不能用207</w:t>
      </w:r>
      <w:r>
        <w:t xml:space="preserve"> </w:t>
      </w:r>
      <w:r>
        <w:rPr>
          <w:rFonts w:hint="eastAsia"/>
        </w:rPr>
        <w:t xml:space="preserve">N·m替换整张图。</w:t>
      </w:r>
    </w:p>
    <w:p>
      <w:pPr>
        <w:pStyle w:val="BodyText"/>
      </w:pPr>
      <w:r>
        <w:rPr>
          <w:rFonts w:hint="eastAsia"/>
        </w:rPr>
        <w:t xml:space="preserve">本次用边界内线性插值验证网格点和示例数据，显式检查13500</w:t>
      </w:r>
      <w:r>
        <w:t xml:space="preserve"> </w:t>
      </w:r>
      <w:r>
        <w:rPr>
          <w:rFonts w:hint="eastAsia"/>
        </w:rPr>
        <w:t xml:space="preserve">rpm查询会被拒绝。未生成13000</w:t>
      </w:r>
      <w:r>
        <w:t xml:space="preserve"> </w:t>
      </w:r>
      <w:r>
        <w:rPr>
          <w:rFonts w:hint="eastAsia"/>
        </w:rPr>
        <w:t xml:space="preserve">rpm以外的外推图，也没有验证负转速运行象限。</w:t>
      </w:r>
    </w:p>
    <w:bookmarkEnd w:id="21"/>
    <w:bookmarkStart w:id="22" w:name="再生证据及损耗定义"/>
    <w:p>
      <w:pPr>
        <w:pStyle w:val="Heading2"/>
      </w:pPr>
      <w:r>
        <w:t xml:space="preserve">3.3 </w:t>
      </w:r>
      <w:r>
        <w:rPr>
          <w:rFonts w:hint="eastAsia"/>
        </w:rPr>
        <w:t xml:space="preserve">再生证据及损耗定义</w:t>
      </w:r>
    </w:p>
    <w:p>
      <w:pPr>
        <w:pStyle w:val="FirstParagraph"/>
      </w:pPr>
      <w:r>
        <w:t xml:space="preserve">NCAT </w:t>
      </w:r>
      <w:r>
        <w:rPr>
          <w:rFonts w:hint="eastAsia"/>
        </w:rPr>
        <w:t xml:space="preserve">报告及生成</w:t>
      </w:r>
      <w:r>
        <w:t xml:space="preserve"> HTML </w:t>
      </w:r>
      <w:r>
        <w:rPr>
          <w:rFonts w:hint="eastAsia"/>
        </w:rPr>
        <w:t xml:space="preserve">明确说明：ORNL</w:t>
      </w:r>
      <w:r>
        <w:t xml:space="preserve"> </w:t>
      </w:r>
      <w:r>
        <w:rPr>
          <w:rFonts w:hint="eastAsia"/>
        </w:rPr>
        <w:t xml:space="preserve">的</w:t>
      </w:r>
      <w:r>
        <w:t xml:space="preserve"> MG2 </w:t>
      </w:r>
      <w:r>
        <w:rPr>
          <w:rFonts w:hint="eastAsia"/>
        </w:rPr>
        <w:t xml:space="preserve">原始数据来自驱动模式，EPA</w:t>
      </w:r>
      <w:r>
        <w:t xml:space="preserve"> </w:t>
      </w:r>
      <w:r>
        <w:rPr>
          <w:rFonts w:hint="eastAsia"/>
        </w:rPr>
        <w:t xml:space="preserve">将驱动损耗转换成曲面后，以1.05系数镜像构造再生损耗。该系数是</w:t>
      </w:r>
      <w:r>
        <w:t xml:space="preserve"> EPA </w:t>
      </w:r>
      <w:r>
        <w:rPr>
          <w:rFonts w:hint="eastAsia"/>
        </w:rPr>
        <w:t xml:space="preserve">根据其掌握的其他资料使用的经验修正，不是这台</w:t>
      </w:r>
      <w:r>
        <w:t xml:space="preserve"> MG2 </w:t>
      </w:r>
      <w:r>
        <w:rPr>
          <w:rFonts w:hint="eastAsia"/>
        </w:rPr>
        <w:t xml:space="preserve">的负转矩实测标定。</w:t>
      </w:r>
    </w:p>
    <w:p>
      <w:pPr>
        <w:pStyle w:val="BodyText"/>
      </w:pPr>
      <w:r>
        <w:rPr>
          <w:rFonts w:hint="eastAsia"/>
        </w:rPr>
        <w:t xml:space="preserve">取电机轴机械功率为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m</m:t>
            </m:r>
          </m:sub>
        </m:sSub>
        <m:sSub>
          <m:e>
            <m:r>
              <m:t>ω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，从直流侧输入为正的电功率为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</m:sub>
        </m:sSub>
      </m:oMath>
      <w:r>
        <w:rPr>
          <w:rFonts w:hint="eastAsia"/>
        </w:rPr>
        <w:t xml:space="preserve">，则联合损耗满足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驱动效率使用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</m:sub>
        </m:sSub>
      </m:oMath>
      <w:r>
        <w:rPr>
          <w:rFonts w:hint="eastAsia"/>
        </w:rPr>
        <w:t xml:space="preserve">；仅在机械输入且直流净输出时，再生效率使用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。负转矩在低速下可能仍需直流输入，不能仅按转矩符号判定电池正在充电；零速、零输出附近也不宜用效率比值表示。</w:t>
      </w:r>
    </w:p>
    <w:p>
      <w:pPr>
        <w:pStyle w:val="BodyText"/>
      </w:pPr>
      <w:r>
        <w:t xml:space="preserve">EMOT </w:t>
      </w:r>
      <w:r>
        <w:rPr>
          <w:rFonts w:hint="eastAsia"/>
        </w:rPr>
        <w:t xml:space="preserve">包含电机和逆变器，不包含齿轮损耗。包内</w:t>
      </w:r>
      <w:r>
        <w:t xml:space="preserve"> </w:t>
      </w:r>
      <w:r>
        <w:rPr>
          <w:rStyle w:val="VerbatimChar"/>
        </w:rPr>
        <w:t xml:space="preserve">gear.ratio=2.636</w:t>
      </w:r>
      <w:r>
        <w:t xml:space="preserve"> </w:t>
      </w:r>
      <w:r>
        <w:rPr>
          <w:rFonts w:hint="eastAsia"/>
        </w:rPr>
        <w:t xml:space="preserve">的生成说明将其列为原</w:t>
      </w:r>
      <w:r>
        <w:t xml:space="preserve"> Prius </w:t>
      </w:r>
      <w:r>
        <w:rPr>
          <w:rFonts w:hint="eastAsia"/>
        </w:rPr>
        <w:t xml:space="preserve">行星速比参考，</w:t>
      </w:r>
      <w:r>
        <w:rPr>
          <w:rStyle w:val="VerbatimChar"/>
        </w:rPr>
        <w:t xml:space="preserve">gear.efficiency_norm=1</w:t>
      </w:r>
      <w:r>
        <w:rPr>
          <w:rFonts w:hint="eastAsia"/>
        </w:rPr>
        <w:t xml:space="preserve">；本研究直接采用电机轴转速与转矩表，外部仅乘本方案9:1速比，不能再额外乘2.636。</w:t>
      </w:r>
    </w:p>
    <w:p>
      <w:pPr>
        <w:pStyle w:val="BodyText"/>
      </w:pPr>
      <w:r>
        <w:rPr>
          <w:rFonts w:hint="eastAsia"/>
        </w:rPr>
        <w:t xml:space="preserve">在匹配的驱动测量点，独立电机效率和逆变器效率可用于后续总损耗拆分；但依然缺电机铜损、铁损、转子及机械损耗分配和其温度依赖。此次保留</w:t>
      </w:r>
      <w:r>
        <w:t xml:space="preserve"> </w:t>
      </w:r>
      <w:r>
        <w:rPr>
          <w:rStyle w:val="VerbatimChar"/>
        </w:rPr>
        <w:t xml:space="preserve">motor_loss_map_file</w:t>
      </w:r>
      <w:r>
        <w:t xml:space="preserve">、</w:t>
      </w:r>
      <w:r>
        <w:rPr>
          <w:rStyle w:val="VerbatimChar"/>
        </w:rPr>
        <w:t xml:space="preserve">inverter_loss_map_file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null，没有把稀疏效率工作表转换成绕组热源图。</w:t>
      </w:r>
    </w:p>
    <w:p>
      <w:pPr>
        <w:pStyle w:val="BodyText"/>
      </w:pPr>
      <w:r>
        <w:rPr>
          <w:rFonts w:hint="eastAsia"/>
        </w:rPr>
        <w:t xml:space="preserve">另发现</w:t>
      </w:r>
      <w:r>
        <w:t xml:space="preserve"> NCAT </w:t>
      </w:r>
      <w:r>
        <w:rPr>
          <w:rFonts w:hint="eastAsia"/>
        </w:rPr>
        <w:t xml:space="preserve">报告正文将电池写成270</w:t>
      </w:r>
      <w:r>
        <w:t xml:space="preserve"> </w:t>
      </w:r>
      <w:r>
        <w:rPr>
          <w:rFonts w:hint="eastAsia"/>
        </w:rPr>
        <w:t xml:space="preserve">V锂聚合物，而其表格及Toyota资料为镍氢体系。该明显不一致记录为资料勘误，不导入本车电池参数；本研究电池规格、SOC及实际充电能力仍未知。</w:t>
      </w:r>
    </w:p>
    <w:bookmarkEnd w:id="22"/>
    <w:bookmarkEnd w:id="23"/>
    <w:bookmarkStart w:id="24" w:name="电机能力几何与冷却资料"/>
    <w:p>
      <w:pPr>
        <w:pStyle w:val="Heading1"/>
      </w:pPr>
      <w:r>
        <w:t xml:space="preserve">4. </w:t>
      </w:r>
      <w:r>
        <w:rPr>
          <w:rFonts w:hint="eastAsia"/>
        </w:rPr>
        <w:t xml:space="preserve">电机能力、几何与冷却资料</w:t>
      </w:r>
    </w:p>
    <w:p>
      <w:pPr>
        <w:pStyle w:val="FirstParagraph"/>
      </w:pPr>
      <w:r>
        <w:t xml:space="preserve">Toyota </w:t>
      </w:r>
      <w:r>
        <w:rPr>
          <w:rFonts w:hint="eastAsia"/>
        </w:rPr>
        <w:t xml:space="preserve">发布资料支持最大60</w:t>
      </w:r>
      <w:r>
        <w:t xml:space="preserve"> kW、207 </w:t>
      </w:r>
      <w:r>
        <w:rPr>
          <w:rFonts w:hint="eastAsia"/>
        </w:rPr>
        <w:t xml:space="preserve">N·m；ORNL表2.1支持13500</w:t>
      </w:r>
      <w:r>
        <w:t xml:space="preserve"> </w:t>
      </w:r>
      <w:r>
        <w:rPr>
          <w:rFonts w:hint="eastAsia"/>
        </w:rPr>
        <w:t xml:space="preserve">rpm最高转速参照。ORNL正文第63页（PDF第72页）描述了在其试验条件下达到定子150°C之前维持60</w:t>
      </w:r>
      <w:r>
        <w:t xml:space="preserve"> </w:t>
      </w:r>
      <w:r>
        <w:rPr>
          <w:rFonts w:hint="eastAsia"/>
        </w:rPr>
        <w:t xml:space="preserve">kW共18秒的峰值能力验证。该测试不能解释成每侧60</w:t>
      </w:r>
      <w:r>
        <w:t xml:space="preserve"> </w:t>
      </w:r>
      <w:r>
        <w:rPr>
          <w:rFonts w:hint="eastAsia"/>
        </w:rPr>
        <w:t xml:space="preserve">kW连续能力，也不能把150°C直接认作新总成绕组允许温度。</w:t>
      </w:r>
    </w:p>
    <w:p>
      <w:pPr>
        <w:pStyle w:val="BodyText"/>
      </w:pPr>
      <w:r>
        <w:rPr>
          <w:rFonts w:hint="eastAsia"/>
        </w:rPr>
        <w:t xml:space="preserve">ORNL表2.7（正文第46页，PDF第55页）提供下列拆解参考；已另存于</w:t>
      </w:r>
      <w:r>
        <w:t xml:space="preserve"> </w:t>
      </w:r>
      <w:r>
        <w:rPr>
          <w:rStyle w:val="VerbatimChar"/>
        </w:rPr>
        <w:t xml:space="preserve">configs/m0_ornl_reference_geometry.yaml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b/>
                <w:sz w:val="19"/>
              </w:rPr>
              <w:t xml:space="preserve">MG2原始参考参数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数值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b/>
                <w:sz w:val="19"/>
              </w:rPr>
              <w:t xml:space="preserve">用途边界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定子叠片外径／内径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sz w:val="19"/>
              </w:rPr>
              <w:t xml:space="preserve">264／161.9</w:t>
            </w:r>
            <w:r>
              <w:rPr>
                <w:sz w:val="19"/>
              </w:rPr>
              <w:t xml:space="preserve"> mm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不是电机壳外径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定子叠长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50.8 mm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不含端部绕组及端盖空间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转子外径／叠长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sz w:val="19"/>
              </w:rPr>
              <w:t xml:space="preserve">160.4／50.165</w:t>
            </w:r>
            <w:r>
              <w:rPr>
                <w:sz w:val="19"/>
              </w:rPr>
              <w:t xml:space="preserve"> mm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不是完整轴系尺寸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气隙／叠片厚度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sz w:val="19"/>
              </w:rPr>
              <w:t xml:space="preserve">0.73／0.305</w:t>
            </w:r>
            <w:r>
              <w:rPr>
                <w:sz w:val="19"/>
              </w:rPr>
              <w:t xml:space="preserve"> mm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原始MG2设计参考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转子质量，含轴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6.7 kg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不等于润滑油或热容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定子／叠片铁芯／铜质量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sz w:val="19"/>
              </w:rPr>
              <w:t xml:space="preserve">15.99／10.36／4.93</w:t>
            </w:r>
            <w:r>
              <w:rPr>
                <w:sz w:val="19"/>
              </w:rPr>
              <w:t xml:space="preserve"> kg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质量边界不同，不能重复相加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原电机壳质量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14.1 kg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含旋变、泵等，不能全算铝壳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原壳体参考直径／轴向长度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sz w:val="19"/>
              </w:rPr>
              <w:t xml:space="preserve">302／161</w:t>
            </w:r>
            <w:r>
              <w:rPr>
                <w:sz w:val="19"/>
              </w:rPr>
              <w:t xml:space="preserve"> mm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不能当新内移盘总成装配包络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相电阻，21°C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0.077 Ω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来源定义为相间平均电阻除以2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磁体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sz w:val="19"/>
              </w:rPr>
              <w:t xml:space="preserve">NdFeB，总质量0.768</w:t>
            </w:r>
            <w:r>
              <w:rPr>
                <w:sz w:val="19"/>
              </w:rPr>
              <w:t xml:space="preserve"> kg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缺精确牌号、退磁及温变参数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ORNL说明原系统通过循环油及乙二醇冷却回路散热，试验冷却液先经PCU后到ECVT换热器；第3.4节还给出不同功率、速度及冷却温度下的持续负荷结果。这些结果不能直接移植到两套独立减速器及新电机壳体。质量资料也不足以确定有效热容，仍需材料比热、浸漆、绝缘、接触热阻及实际冷却流路。</w:t>
      </w:r>
    </w:p>
    <w:bookmarkEnd w:id="24"/>
    <w:bookmarkStart w:id="25" w:name="kg整车参数审查"/>
    <w:p>
      <w:pPr>
        <w:pStyle w:val="Heading1"/>
      </w:pPr>
      <w:r>
        <w:t xml:space="preserve">5. 1800 </w:t>
      </w:r>
      <w:r>
        <w:rPr>
          <w:rFonts w:hint="eastAsia"/>
        </w:rPr>
        <w:t xml:space="preserve">kg整车参数审查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b/>
                <w:sz w:val="19"/>
              </w:rPr>
              <w:t xml:space="preserve">参数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b/>
                <w:sz w:val="19"/>
              </w:rPr>
              <w:t xml:space="preserve">当前值与状态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b/>
                <w:sz w:val="19"/>
              </w:rPr>
              <w:t xml:space="preserve">审查意见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质量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1800 </w:t>
            </w:r>
            <w:r>
              <w:rPr>
                <w:rFonts w:hint="eastAsia"/>
                <w:sz w:val="19"/>
              </w:rPr>
              <w:t xml:space="preserve">kg，S3概念基准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未区分整备、驾驶员及满载；后续至少补质量范围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轴距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2.765 </w:t>
            </w:r>
            <w:r>
              <w:rPr>
                <w:rFonts w:hint="eastAsia"/>
                <w:sz w:val="19"/>
              </w:rPr>
              <w:t xml:space="preserve">m，S1车身参考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MY21官方图已核实；不是概念车实测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后轴静载／重心高度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55%／0.55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m，S3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扫描50%–60%、0.45–0.65</w:t>
            </w:r>
            <w:r>
              <w:rPr>
                <w:sz w:val="19"/>
              </w:rPr>
              <w:t xml:space="preserve"> m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有效滚动半径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0.33 </w:t>
            </w:r>
            <w:r>
              <w:rPr>
                <w:rFonts w:hint="eastAsia"/>
                <w:sz w:val="19"/>
              </w:rPr>
              <w:t xml:space="preserve">m，S3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扫描0.32–0.34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m；标称未加载半径0.34685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m不能直接替代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后轮距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null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参考车目录不能替代新电驱包装、半轴和轮胎位置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Cd／迎风面积／滚阻系数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0.27／2.30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m²／0.012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Cd原网页404，其他为假设；组合风阻面积0.621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m²未验证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转动惯量系数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1.0，S3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本次忽略车轮、转子及齿轮转动动能，需后续补齐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路面附着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0.8，S3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干路示例，0.8g已达理想附着边界，无鲁棒余量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牵引软件限扭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130 </w:t>
            </w:r>
            <w:r>
              <w:rPr>
                <w:rFonts w:hint="eastAsia"/>
                <w:sz w:val="19"/>
              </w:rPr>
              <w:t xml:space="preserve">N·m／侧，S3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非硬件铭牌、非真实再生控制上限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驱动／反拖减速器效率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各0.96，S3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两个方向分别定义；不是常数效率实测图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单侧盘与自己的车轮同速；单侧电机转速为该侧轮速的9倍。左右可不同速，本次只算直线对称工况。任何单侧盘转矩都不乘电机减速比；电机再生转矩才需经过反拖效率换算。</w:t>
      </w:r>
    </w:p>
    <w:p>
      <w:pPr>
        <w:pStyle w:val="BodyText"/>
      </w:pPr>
      <w:r>
        <w:rPr>
          <w:rFonts w:hint="eastAsia"/>
        </w:rPr>
        <w:t xml:space="preserve">加速时后轴增载。忽略路阻时，纯后驱附着约束应为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μ</m:t>
              </m:r>
              <m:sSub>
                <m:e>
                  <m:r>
                    <m:t>f</m:t>
                  </m:r>
                </m:e>
                <m:sub>
                  <m:r>
                    <m:t>r</m:t>
                  </m:r>
                  <m:r>
                    <m:t>0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L</m:t>
              </m:r>
            </m:den>
          </m:f>
          <m:r>
            <m:rPr>
              <m:sty m:val="p"/>
            </m:rPr>
            <m:t>=</m:t>
          </m:r>
          <m:r>
            <m:t>0.52327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旧V0.4文字中的正号分母及0.3796g已修正。当前130</w:t>
      </w:r>
      <w:r>
        <w:t xml:space="preserve"> </w:t>
      </w:r>
      <w:r>
        <w:rPr>
          <w:rFonts w:hint="eastAsia"/>
        </w:rPr>
        <w:t xml:space="preserve">N·m软件限扭、9:1及0.96驱动效率下，两侧轮端总转矩2246.4</w:t>
      </w:r>
      <w:r>
        <w:t xml:space="preserve"> </w:t>
      </w:r>
      <w:r>
        <w:rPr>
          <w:rFonts w:hint="eastAsia"/>
        </w:rPr>
        <w:t xml:space="preserve">N·m，对应低速力矩上限约0.38551g（忽略路阻），先于0.52327g附着上限；高速还受EPA包络约束。制动时的后轴减载公式保持负号，二者不能混用。</w:t>
      </w:r>
    </w:p>
    <w:bookmarkEnd w:id="25"/>
    <w:bookmarkStart w:id="26" w:name="最高车速功率与速比匹配"/>
    <w:p>
      <w:pPr>
        <w:pStyle w:val="Heading1"/>
      </w:pPr>
      <w:r>
        <w:t xml:space="preserve">6. </w:t>
      </w:r>
      <w:r>
        <w:rPr>
          <w:rFonts w:hint="eastAsia"/>
        </w:rPr>
        <w:t xml:space="preserve">最高车速、功率与速比匹配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</m:num>
            <m:den>
              <m:r>
                <m:t>r</m:t>
              </m:r>
            </m:den>
          </m:f>
          <m:r>
            <m:t> </m:t>
          </m:r>
          <m:r>
            <m:t>i</m:t>
          </m:r>
          <m:r>
            <m:t> </m:t>
          </m:r>
          <m:f>
            <m:fPr>
              <m:type m:val="bar"/>
            </m:fPr>
            <m:num>
              <m:r>
                <m:t>60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sSub>
            <m:e>
              <m:r>
                <m:t>ω</m:t>
              </m:r>
            </m:e>
            <m:sub>
              <m:r>
                <m:t>m</m:t>
              </m:r>
            </m:sub>
          </m:sSub>
          <m:sSub>
            <m:e>
              <m:r>
                <m:t>η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车速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电机转速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理想60kW限扭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EPA包络限扭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两侧轮端可用功率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50 km/h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3617.16 rpm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130.00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162.04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94.55 kW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100 km/h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7234.32 rpm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79.20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63.58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92.48 kW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160 km/h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11574.90 rpm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49.50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31.49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73.29 kW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实际筛查取软件限扭、60</w:t>
      </w:r>
      <w:r>
        <w:t xml:space="preserve"> </w:t>
      </w:r>
      <w:r>
        <w:rPr>
          <w:rFonts w:hint="eastAsia"/>
        </w:rPr>
        <w:t xml:space="preserve">kW及EPA包络的最小值。上述“可用”是参考峰值包络配工程效率计算，不是新总成台架能力。</w:t>
      </w:r>
    </w:p>
    <w:p>
      <w:pPr>
        <w:pStyle w:val="BodyText"/>
      </w:pPr>
      <w:r>
        <w:t xml:space="preserve">130 </w:t>
      </w:r>
      <w:r>
        <w:rPr>
          <w:rFonts w:hint="eastAsia"/>
        </w:rPr>
        <w:t xml:space="preserve">N·m与60</w:t>
      </w:r>
      <w:r>
        <w:t xml:space="preserve"> </w:t>
      </w:r>
      <w:r>
        <w:rPr>
          <w:rFonts w:hint="eastAsia"/>
        </w:rPr>
        <w:t xml:space="preserve">kW的理想转折为4407.37</w:t>
      </w:r>
      <w:r>
        <w:t xml:space="preserve"> </w:t>
      </w:r>
      <w:r>
        <w:rPr>
          <w:rFonts w:hint="eastAsia"/>
        </w:rPr>
        <w:t xml:space="preserve">rpm；硬件207</w:t>
      </w:r>
      <w:r>
        <w:t xml:space="preserve"> </w:t>
      </w:r>
      <w:r>
        <w:rPr>
          <w:rFonts w:hint="eastAsia"/>
        </w:rPr>
        <w:t xml:space="preserve">N·m对应2767.91</w:t>
      </w:r>
      <w:r>
        <w:t xml:space="preserve"> </w:t>
      </w:r>
      <w:r>
        <w:rPr>
          <w:rFonts w:hint="eastAsia"/>
        </w:rPr>
        <w:t xml:space="preserve">rpm。两者均不代表实测曲线的恒功率起点。13500</w:t>
      </w:r>
      <w:r>
        <w:t xml:space="preserve"> </w:t>
      </w:r>
      <w:r>
        <w:rPr>
          <w:rFonts w:hint="eastAsia"/>
        </w:rPr>
        <w:t xml:space="preserve">rpm只按运动学对应186.61</w:t>
      </w:r>
      <w:r>
        <w:t xml:space="preserve"> </w:t>
      </w:r>
      <w:r>
        <w:rPr>
          <w:rFonts w:hint="eastAsia"/>
        </w:rPr>
        <w:t xml:space="preserve">km/h，而实际表格13000</w:t>
      </w:r>
      <w:r>
        <w:t xml:space="preserve"> </w:t>
      </w:r>
      <w:r>
        <w:rPr>
          <w:rFonts w:hint="eastAsia"/>
        </w:rPr>
        <w:t xml:space="preserve">rpm只覆盖至179.70</w:t>
      </w:r>
      <w:r>
        <w:t xml:space="preserve"> </w:t>
      </w:r>
      <w:r>
        <w:rPr>
          <w:rFonts w:hint="eastAsia"/>
        </w:rPr>
        <w:t xml:space="preserve">km/h；两者都不是已证明的整车最高车速。</w:t>
      </w:r>
    </w:p>
    <w:p>
      <w:pPr>
        <w:pStyle w:val="BodyText"/>
      </w:pPr>
      <w:r>
        <w:t xml:space="preserve">160 </w:t>
      </w:r>
      <w:r>
        <w:rPr>
          <w:rFonts w:hint="eastAsia"/>
        </w:rPr>
        <w:t xml:space="preserve">km/h下，硬件转速允许总速比不超过10.497，现有数据表覆盖允许不超过10.108；候选9.0通过。半径0.32–0.34</w:t>
      </w:r>
      <w:r>
        <w:t xml:space="preserve"> </w:t>
      </w:r>
      <w:r>
        <w:rPr>
          <w:rFonts w:hint="eastAsia"/>
        </w:rPr>
        <w:t xml:space="preserve">m时转速约11936.62–11234.47</w:t>
      </w:r>
      <w:r>
        <w:t xml:space="preserve"> </w:t>
      </w:r>
      <w:r>
        <w:rPr>
          <w:rFonts w:hint="eastAsia"/>
        </w:rPr>
        <w:t xml:space="preserve">rpm，仍在表格范围内。</w:t>
      </w:r>
    </w:p>
    <w:p>
      <w:pPr>
        <w:pStyle w:val="BodyText"/>
      </w:pPr>
      <w:r>
        <w:rPr>
          <w:rFonts w:hint="eastAsia"/>
        </w:rPr>
        <w:t xml:space="preserve">平路无风的路阻筛查使用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g</m:t>
          </m:r>
          <m:sSub>
            <m:e>
              <m:r>
                <m:t>C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ρ</m:t>
          </m:r>
          <m:sSub>
            <m:e>
              <m:r>
                <m:t>C</m:t>
              </m:r>
            </m:e>
            <m:sub>
              <m:r>
                <m:t>d</m:t>
              </m:r>
            </m:sub>
          </m:sSub>
          <m:r>
            <m:t>A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b>
          </m:sSub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额外假设空气密度1.225</w:t>
      </w:r>
      <w:r>
        <w:t xml:space="preserve"> </w:t>
      </w:r>
      <w:r>
        <w:rPr>
          <w:rFonts w:hint="eastAsia"/>
        </w:rPr>
        <w:t xml:space="preserve">kg/m³；该值作为独立筛查常数，并非按25°C和当地海拔测得。160</w:t>
      </w:r>
      <w:r>
        <w:t xml:space="preserve"> </w:t>
      </w:r>
      <w:r>
        <w:rPr>
          <w:rFonts w:hint="eastAsia"/>
        </w:rPr>
        <w:t xml:space="preserve">km/h路阻约963.23</w:t>
      </w:r>
      <w:r>
        <w:t xml:space="preserve"> N、42.81 </w:t>
      </w:r>
      <w:r>
        <w:rPr>
          <w:rFonts w:hint="eastAsia"/>
        </w:rPr>
        <w:t xml:space="preserve">kW，要求每侧电机轴功率约22.30</w:t>
      </w:r>
      <w:r>
        <w:t xml:space="preserve"> </w:t>
      </w:r>
      <w:r>
        <w:rPr>
          <w:rFonts w:hint="eastAsia"/>
        </w:rPr>
        <w:t xml:space="preserve">kW。参考短时包络支持的轮端73.29</w:t>
      </w:r>
      <w:r>
        <w:t xml:space="preserve"> </w:t>
      </w:r>
      <w:r>
        <w:rPr>
          <w:rFonts w:hint="eastAsia"/>
        </w:rPr>
        <w:t xml:space="preserve">kW高于路阻，但22.30</w:t>
      </w:r>
      <w:r>
        <w:t xml:space="preserve"> </w:t>
      </w:r>
      <w:r>
        <w:rPr>
          <w:rFonts w:hint="eastAsia"/>
        </w:rPr>
        <w:t xml:space="preserve">kW／侧能否持续、650</w:t>
      </w:r>
      <w:r>
        <w:t xml:space="preserve"> </w:t>
      </w:r>
      <w:r>
        <w:rPr>
          <w:rFonts w:hint="eastAsia"/>
        </w:rPr>
        <w:t xml:space="preserve">V供电是否可实现、坡度及逆风工况仍未确认，因此结论仅为平路短时筛查通过。</w:t>
      </w:r>
    </w:p>
    <w:bookmarkEnd w:id="26"/>
    <w:bookmarkStart w:id="34" w:name="单侧后盘制动转矩功率与能量"/>
    <w:p>
      <w:pPr>
        <w:pStyle w:val="Heading1"/>
      </w:pPr>
      <w:r>
        <w:t xml:space="preserve">7. </w:t>
      </w:r>
      <w:r>
        <w:rPr>
          <w:rFonts w:hint="eastAsia"/>
        </w:rPr>
        <w:t xml:space="preserve">单侧后盘制动转矩、功率与能量</w:t>
      </w:r>
    </w:p>
    <w:bookmarkStart w:id="27" w:name="定义分配与效率方向"/>
    <w:p>
      <w:pPr>
        <w:pStyle w:val="Heading2"/>
      </w:pPr>
      <w:r>
        <w:t xml:space="preserve">7.1 </w:t>
      </w:r>
      <w:r>
        <w:rPr>
          <w:rFonts w:hint="eastAsia"/>
        </w:rPr>
        <w:t xml:space="preserve">定义、分配与效率方向</w:t>
      </w:r>
    </w:p>
    <w:p>
      <w:pPr>
        <w:pStyle w:val="FirstParagraph"/>
      </w:pPr>
      <w:r>
        <w:rPr>
          <w:rFonts w:hint="eastAsia"/>
        </w:rPr>
        <w:t xml:space="preserve">设减速度大小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z</m:t>
        </m:r>
        <m:r>
          <m:t>g</m:t>
        </m:r>
      </m:oMath>
      <w:r>
        <w:rPr>
          <w:rFonts w:hint="eastAsia"/>
        </w:rPr>
        <w:t xml:space="preserve">，后轴动态载荷比例为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r</m:t>
              </m:r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z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无路阻基线取总制动力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m</m:t>
        </m:r>
        <m:r>
          <m:t>a</m:t>
        </m:r>
      </m:oMath>
      <w:r>
        <w:rPr>
          <w:rFonts w:hint="eastAsia"/>
        </w:rPr>
        <w:t xml:space="preserve">；含路阻筛查取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m</m:t>
        </m:r>
        <m:r>
          <m:t>a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sub>
        </m:sSub>
      </m:oMath>
      <w:r>
        <w:rPr>
          <w:rFonts w:hint="eastAsia"/>
        </w:rPr>
        <w:t xml:space="preserve">。按同附着利用率的参考分配，前轴承担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，后轴承担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  <m:sSub>
          <m:e>
            <m:r>
              <m:t>F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。这是参数审查用理想分配，未建立量产EBD/ABS控制律。含路阻算例仍使用按总减速度计算的轴荷近似，未识别风阻作用高度等俯仰力矩。</w:t>
      </w:r>
    </w:p>
    <w:p>
      <w:pPr>
        <w:pStyle w:val="BodyText"/>
      </w:pPr>
      <w:r>
        <w:rPr>
          <w:rFonts w:hint="eastAsia"/>
        </w:rPr>
        <w:t xml:space="preserve">对两侧对称，后轴总再生轮端力为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</m:sub>
        </m:sSub>
      </m:oMath>
      <w:r>
        <w:rPr>
          <w:rFonts w:hint="eastAsia"/>
        </w:rPr>
        <w:t xml:space="preserve">，单盘转矩和功率为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t>r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r>
                <m:t>v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a</m:t>
                  </m:r>
                </m:den>
              </m:f>
            </m:e>
          </m:nary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M0再生筛查另作以下S3假设：联合EMOT再生效率0.90，反拖效率0.96，每侧再生轴转矩假设限130</w:t>
      </w:r>
      <w:r>
        <w:t xml:space="preserve"> </w:t>
      </w:r>
      <w:r>
        <w:rPr>
          <w:rFonts w:hint="eastAsia"/>
        </w:rPr>
        <w:t xml:space="preserve">N·m，并与EPA镜像限扭曲线取小值；5</w:t>
      </w:r>
      <w:r>
        <w:t xml:space="preserve"> </w:t>
      </w:r>
      <w:r>
        <w:rPr>
          <w:rFonts w:hint="eastAsia"/>
        </w:rPr>
        <w:t xml:space="preserve">km/h以下再生关闭；电池总充电功率上限分别0、30、60</w:t>
      </w:r>
      <w:r>
        <w:t xml:space="preserve"> </w:t>
      </w:r>
      <w:r>
        <w:rPr>
          <w:rFonts w:hint="eastAsia"/>
        </w:rPr>
        <w:t xml:space="preserve">kW。后两档为整车左右两台之和，实际SOC、温度及充电能力未知。未用0.90代替真实MAP，也未声称130</w:t>
      </w:r>
      <w:r>
        <w:t xml:space="preserve"> </w:t>
      </w:r>
      <w:r>
        <w:rPr>
          <w:rFonts w:hint="eastAsia"/>
        </w:rPr>
        <w:t xml:space="preserve">N·m为厂家再生上限。</w:t>
      </w:r>
    </w:p>
    <w:p>
      <w:pPr>
        <w:pStyle w:val="BodyText"/>
      </w:pPr>
      <w:r>
        <w:rPr>
          <w:rFonts w:hint="eastAsia"/>
        </w:rPr>
        <w:t xml:space="preserve">反拖时，电机输入机械功率为轮端再生机械功率的0.96倍，不能沿用牵引的乘法换算轮端转矩。总再生轮端力采用约束最小值：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μ</m:t>
              </m:r>
              <m:r>
                <m:t>m</m:t>
              </m:r>
              <m:r>
                <m:t>g</m:t>
              </m:r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i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g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r</m:t>
                  </m:r>
                  <m:sSub>
                    <m:e>
                      <m:r>
                        <m:t>η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num>
                <m:den>
                  <m:r>
                    <m:t>v</m:t>
                  </m:r>
                  <m:sSub>
                    <m:e>
                      <m:r>
                        <m:t>η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num>
                <m:den>
                  <m:r>
                    <m:t>v</m:t>
                  </m:r>
                  <m:sSub>
                    <m:e>
                      <m:r>
                        <m:t>η</m:t>
                      </m:r>
                    </m:e>
                    <m:sub>
                      <m:r>
                        <m:t>b</m:t>
                      </m:r>
                    </m:sub>
                  </m:sSub>
                  <m:sSub>
                    <m:e>
                      <m:r>
                        <m:t>η</m:t>
                      </m:r>
                    </m:e>
                    <m:sub>
                      <m:r>
                        <m:t>e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仅在速度高于关闭阈值时使用；零速再生功率强制为零。此公式只核算功率边界，不表示真实再生响应或电池控制策略。</w:t>
      </w:r>
    </w:p>
    <w:bookmarkEnd w:id="27"/>
    <w:bookmarkStart w:id="28" w:name="无路阻基线1000-kmh"/>
    <w:p>
      <w:pPr>
        <w:pStyle w:val="Heading2"/>
      </w:pPr>
      <w:r>
        <w:t xml:space="preserve">7.2 </w:t>
      </w:r>
      <w:r>
        <w:rPr>
          <w:rFonts w:hint="eastAsia"/>
        </w:rPr>
        <w:t xml:space="preserve">无路阻基线：100→0</w:t>
      </w:r>
      <w:r>
        <w:t xml:space="preserve"> km/h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减速度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电池总上限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初始单盘转矩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初始单盘功率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单盘摩擦功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0.3g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428.58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36.08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170.25 kJ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0.3g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30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222.33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18.71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46.24 kJ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0.3g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60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16.08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1.35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0.66 kJ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0.6g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752.84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63.37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149.53 kJ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0.6g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30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546.59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46.01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79.20 kJ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0.6g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60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340.34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28.65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30.93 kJ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0.8g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911.06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76.69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135.72 kJ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0.8g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30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704.81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59.33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81.56 kJ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0.8g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60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498.56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41.97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40.98 kJ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后轴动态比例依次为0.49033、0.43065、0.39087。停车时间依次9.439、4.719、3.539秒；停车距离131.09、65.55、49.16米，不计驾驶员反应。减速度增大而后盘无再生摩擦功降低，源于本参考分配把更多负荷移至前轴，并非总制动能量下降。</w:t>
      </w:r>
    </w:p>
    <w:p>
      <w:pPr>
        <w:pStyle w:val="BodyText"/>
      </w:pPr>
      <w:r>
        <w:rPr>
          <w:rFonts w:hint="eastAsia"/>
        </w:rPr>
        <w:t xml:space="preserve">表中转矩与功率为制动初始值。低速关闭再生后，峰值盘转矩仍会恢复到该减速度的零再生水平；例如0.6g即752.84</w:t>
      </w:r>
      <w:r>
        <w:t xml:space="preserve"> </w:t>
      </w:r>
      <w:r>
        <w:rPr>
          <w:rFonts w:hint="eastAsia"/>
        </w:rPr>
        <w:t xml:space="preserve">N·m，不能按60</w:t>
      </w:r>
      <w:r>
        <w:t xml:space="preserve"> </w:t>
      </w:r>
      <w:r>
        <w:rPr>
          <w:rFonts w:hint="eastAsia"/>
        </w:rPr>
        <w:t xml:space="preserve">kW档初始340.34</w:t>
      </w:r>
      <w:r>
        <w:t xml:space="preserve"> </w:t>
      </w:r>
      <w:r>
        <w:rPr>
          <w:rFonts w:hint="eastAsia"/>
        </w:rPr>
        <w:t xml:space="preserve">N·m选型。0.3g／60</w:t>
      </w:r>
      <w:r>
        <w:t xml:space="preserve"> </w:t>
      </w:r>
      <w:r>
        <w:rPr>
          <w:rFonts w:hint="eastAsia"/>
        </w:rPr>
        <w:t xml:space="preserve">kW的单盘峰值功率约1.80</w:t>
      </w:r>
      <w:r>
        <w:t xml:space="preserve"> </w:t>
      </w:r>
      <w:r>
        <w:rPr>
          <w:rFonts w:hint="eastAsia"/>
        </w:rPr>
        <w:t xml:space="preserve">kW，也高于初始1.35</w:t>
      </w:r>
      <w:r>
        <w:t xml:space="preserve"> </w:t>
      </w:r>
      <w:r>
        <w:rPr>
          <w:rFonts w:hint="eastAsia"/>
        </w:rPr>
        <w:t xml:space="preserve">kW。完整峰值、前轴、能量分项见CSV。</w:t>
      </w:r>
    </w:p>
    <w:bookmarkEnd w:id="28"/>
    <w:bookmarkStart w:id="29" w:name="含路阻的筛查"/>
    <w:p>
      <w:pPr>
        <w:pStyle w:val="Heading2"/>
      </w:pPr>
      <w:r>
        <w:t xml:space="preserve">7.3 </w:t>
      </w:r>
      <w:r>
        <w:rPr>
          <w:rFonts w:hint="eastAsia"/>
        </w:rPr>
        <w:t xml:space="preserve">含路阻的筛查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减速度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电池总上限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初始单盘转矩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初始单盘功率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单盘摩擦功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0.3g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387.69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32.63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158.73 kJ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0.3g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30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181.44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15.27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36.65 kJ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0.3g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60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0.00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0.00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0.41 kJ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0.6g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716.93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60.35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144.47 kJ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0.6g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30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510.68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42.99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74.37 kJ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0.6g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60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304.43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25.62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26.99 kJ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0.8g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878.46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73.94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132.27 kJ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0.8g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30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672.21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56.58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78.22 kJ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0.8g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60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465.96 N·m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39.22 kW</w:t>
            </w:r>
          </w:p>
        </w:tc>
        <w:tc>
          <w:tcPr/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sz w:val="19"/>
              </w:rPr>
              <w:t xml:space="preserve">38.02 kJ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路阻帮助整车减速，不应仍把全部</w:t>
      </w:r>
      <w:r>
        <w:t xml:space="preserve"> </w:t>
      </w:r>
      <m:oMath>
        <m:r>
          <m:t>m</m:t>
        </m:r>
        <m:r>
          <m:t>a</m:t>
        </m:r>
      </m:oMath>
      <w:r>
        <w:t xml:space="preserve"> </w:t>
      </w:r>
      <w:r>
        <w:rPr>
          <w:rFonts w:hint="eastAsia"/>
        </w:rPr>
        <w:t xml:space="preserve">同时分给制动器。再生关闭或失效时，摩擦器承担更多负荷；附着不足时不能保证原定减速度。0.8g在假设0.8附着下无余量，不能据此声称制动安全或法规符合性。</w:t>
      </w:r>
    </w:p>
    <w:bookmarkEnd w:id="29"/>
    <w:bookmarkStart w:id="33" w:name="整车能量闭合与热量边界"/>
    <w:p>
      <w:pPr>
        <w:pStyle w:val="Heading2"/>
      </w:pPr>
      <w:r>
        <w:t xml:space="preserve">7.4 </w:t>
      </w:r>
      <w:r>
        <w:rPr>
          <w:rFonts w:hint="eastAsia"/>
        </w:rPr>
        <w:t xml:space="preserve">整车能量闭合与热量边界</w:t>
      </w:r>
    </w:p>
    <w:p>
      <w:pPr>
        <w:pStyle w:val="FirstParagraph"/>
      </w:pPr>
      <w:r>
        <w:rPr>
          <w:rFonts w:hint="eastAsia"/>
        </w:rPr>
        <w:t xml:space="preserve">初始平动动能为694.444</w:t>
      </w:r>
      <w:r>
        <w:t xml:space="preserve"> </w:t>
      </w:r>
      <w:r>
        <w:rPr>
          <w:rFonts w:hint="eastAsia"/>
        </w:rPr>
        <w:t xml:space="preserve">kJ。核算前轴摩擦、两侧后盘摩擦、两侧反拖减速器损耗、两侧EMOT联合损耗、电池回收及路阻功：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E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例如0.6g、30</w:t>
      </w:r>
      <w:r>
        <w:t xml:space="preserve"> </w:t>
      </w:r>
      <w:r>
        <w:rPr>
          <w:rFonts w:hint="eastAsia"/>
        </w:rPr>
        <w:t xml:space="preserve">kW、无路阻：前轴395.381</w:t>
      </w:r>
      <w:r>
        <w:t xml:space="preserve"> </w:t>
      </w:r>
      <w:r>
        <w:rPr>
          <w:rFonts w:hint="eastAsia"/>
        </w:rPr>
        <w:t xml:space="preserve">kJ、每侧后盘79.196</w:t>
      </w:r>
      <w:r>
        <w:t xml:space="preserve"> </w:t>
      </w:r>
      <w:r>
        <w:rPr>
          <w:rFonts w:hint="eastAsia"/>
        </w:rPr>
        <w:t xml:space="preserve">kJ、电池121.540</w:t>
      </w:r>
      <w:r>
        <w:t xml:space="preserve"> </w:t>
      </w:r>
      <w:r>
        <w:rPr>
          <w:rFonts w:hint="eastAsia"/>
        </w:rPr>
        <w:t xml:space="preserve">kJ、两侧齿轮合计5.627</w:t>
      </w:r>
      <w:r>
        <w:t xml:space="preserve"> </w:t>
      </w:r>
      <w:r>
        <w:rPr>
          <w:rFonts w:hint="eastAsia"/>
        </w:rPr>
        <w:t xml:space="preserve">kJ、两侧EMOT合计13.504</w:t>
      </w:r>
      <w:r>
        <w:t xml:space="preserve"> </w:t>
      </w:r>
      <w:r>
        <w:rPr>
          <w:rFonts w:hint="eastAsia"/>
        </w:rPr>
        <w:t xml:space="preserve">kJ。18组算例最大相对能量残差约</w:t>
      </w:r>
      <w:r>
        <w:t xml:space="preserve"> </w:t>
      </w:r>
      <m:oMath>
        <m:r>
          <m:t>7.91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Fonts w:hint="eastAsia"/>
        </w:rPr>
        <w:t xml:space="preserve">。这是代数收支自洽，不能消除效率、轴荷及再生假设的不确定性。</w:t>
      </w:r>
    </w:p>
    <w:p>
      <w:pPr>
        <w:pStyle w:val="BodyText"/>
      </w:pPr>
      <w:r>
        <w:rPr>
          <w:rFonts w:hint="eastAsia"/>
        </w:rPr>
        <w:t xml:space="preserve">上表</w:t>
      </w:r>
      <w:r>
        <w:t xml:space="preserve"> </w:t>
      </w:r>
      <m:oMath>
        <m:sSub>
          <m:e>
            <m:r>
              <m:t>E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是盘片接触产生的摩擦功，不是全部存入盘的热量，更不是传入电机绕组的能量。热分配、对流、辐射和盘毂轴承导热尚未计算。材料未知时，不把摩擦功直接换算温升。</w:t>
      </w:r>
    </w:p>
    <w:p>
      <w:pPr>
        <w:pStyle w:val="BodyText"/>
      </w:pPr>
      <w:r>
        <w:rPr>
          <w:rFonts w:hint="eastAsia"/>
        </w:rPr>
        <w:t xml:space="preserve">以0.8g零再生911.06</w:t>
      </w:r>
      <w:r>
        <w:t xml:space="preserve"> </w:t>
      </w:r>
      <w:r>
        <w:rPr>
          <w:rFonts w:hint="eastAsia"/>
        </w:rPr>
        <w:t xml:space="preserve">N·m及假设摩擦系数0.40估算，若有效摩擦半径小于外半径0.14</w:t>
      </w:r>
      <w:r>
        <w:t xml:space="preserve"> </w:t>
      </w:r>
      <w:r>
        <w:rPr>
          <w:rFonts w:hint="eastAsia"/>
        </w:rPr>
        <w:t xml:space="preserve">m，两侧摩擦面法向力之和至少约16.27</w:t>
      </w:r>
      <w:r>
        <w:t xml:space="preserve"> </w:t>
      </w:r>
      <w:r>
        <w:rPr>
          <w:rFonts w:hint="eastAsia"/>
        </w:rPr>
        <w:t xml:space="preserve">kN。这只是几何下限，缺内径、接触压力与卡钳能力，不能完成制动器容量验证。</w:t>
      </w:r>
    </w:p>
    <w:p>
      <w:pPr>
        <w:pStyle w:val="CaptionedFigure"/>
      </w:pPr>
      <w:r>
        <w:drawing>
          <wp:inline>
            <wp:extent cx="5759999" cy="2954611"/>
            <wp:effectExtent b="0" l="0" r="0" t="0"/>
            <wp:docPr descr="图1：EPA参考包络与M0假设制动积分；右图再生结果均为工程筛查。" title="" id="31" name="Picture"/>
            <a:graphic>
              <a:graphicData uri="http://schemas.openxmlformats.org/drawingml/2006/picture">
                <pic:pic>
                  <pic:nvPicPr>
                    <pic:cNvPr descr="../results/m0/m0_review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54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图1：EPA参考包络与M0假设制动积分；右图再生结果均为工程筛查。</w:t>
      </w:r>
    </w:p>
    <w:bookmarkEnd w:id="33"/>
    <w:bookmarkEnd w:id="34"/>
    <w:bookmarkStart w:id="35" w:name="仍需补充的输入与验证"/>
    <w:p>
      <w:pPr>
        <w:pStyle w:val="Heading1"/>
      </w:pPr>
      <w:r>
        <w:t xml:space="preserve">8. </w:t>
      </w:r>
      <w:r>
        <w:rPr>
          <w:rFonts w:hint="eastAsia"/>
        </w:rPr>
        <w:t xml:space="preserve">仍需补充的输入与验证</w:t>
      </w:r>
    </w:p>
    <w:p>
      <w:pPr>
        <w:pStyle w:val="FirstParagraph"/>
      </w:pPr>
      <w:r>
        <w:rPr>
          <w:rStyle w:val="VerbatimChar"/>
        </w:rPr>
        <w:t xml:space="preserve">parameter_audit.csv</w:t>
      </w:r>
      <w:r>
        <w:t xml:space="preserve"> </w:t>
      </w:r>
      <w:r>
        <w:rPr>
          <w:rFonts w:hint="eastAsia"/>
        </w:rPr>
        <w:t xml:space="preserve">覆盖当前配置全部叶子字段；39项保持null。下面按研究用途列出必须补齐的参数，不将工程假设升级为实测值。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b/>
                <w:sz w:val="19"/>
              </w:rPr>
              <w:t xml:space="preserve">参数组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b/>
                <w:sz w:val="19"/>
              </w:rPr>
              <w:t xml:space="preserve">缺口与需获取资料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b/>
                <w:sz w:val="19"/>
              </w:rPr>
              <w:t xml:space="preserve">后续影响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整车及工况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整备／满载质量、实测轴荷和重心、有效滚动半径、后轮距、各转动惯量；坡度、逆风及重复停车定义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制动力、能量、附着和高速功率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电机／逆变器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连续能力；不同电压、温度和速度下电流／转矩限制；实测再生；铜／铁／转子／机械损耗；逆变器位置和损耗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M1损耗可信度、热源分离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电池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电压、SOC／温度状态、总充电功率曲线、限流及回生退出策略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实际回收功率与摩擦负荷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电机新包装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端部绕组、端盖、水套、轴伸、旋变、密封、安装面、接线及油路CAD；完整质量边界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不能只用264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mm定子外径冻结CAD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两级减速器几何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级间速比分配、齿数、模数、压力／螺旋角、齿宽、中心距、齿轮外径；轴径跨距、键／花键、材料与热处理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强度、轴承载荷、空间及真实损耗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减速器热参数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驱动／反拖损耗图，轴承摩擦，搅油；油型、油量、粘温关系、喷油／油泵及油温限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机械与热边界不能由0.96常数替代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材料热物性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铜／电工钢／磁钢精确牌号、绝缘漆、浸渍层、轴承及壳体材料；密度、比热、各向异性导热率及温变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热容、热阻与温度响应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冷却边界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水套／油路几何、冷却液配比、入口温度、质量流量、压降与泵曲线、换热器能力；预热初温、环境及车底空气流场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不能从ORNL原系统直接移植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制动器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盘质量、内外摩擦半径、通风筋及厚度、材质物性、盘片热分配、摩擦温变、接触压力、片厚；活塞面积／液压／夹紧力与热限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不能由280×22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mm推出热容量和制动力矩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内移安装与热路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盘毂、输出轴、轴承寿命与热负荷、支架反力、密封耐温；盘壳间距、热变形、公差、接触热阻和辐射视角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安装可行性与固体／辐射热侵入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温限与验证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绕组绝缘／磁钢退磁、油液／密封／轴承、盘／片／卡钳允许温度；台架热与制动测量方案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无法建立优化硬约束及实验验证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优先顺序：先确认电压／电池再生边界和损耗证据，再确定减速器与内移盘机械包装、冷却及材料温限。几何、材料、冷却不足时不应发布定量温升或结构降温收益。已有隔热罩优化边界仅是历史候选范围，此次未冻结或优化。</w:t>
      </w:r>
    </w:p>
    <w:bookmarkEnd w:id="35"/>
    <w:bookmarkStart w:id="36" w:name="可复算交付与实际验证"/>
    <w:p>
      <w:pPr>
        <w:pStyle w:val="Heading1"/>
      </w:pPr>
      <w:r>
        <w:t xml:space="preserve">9. </w:t>
      </w:r>
      <w:r>
        <w:rPr>
          <w:rFonts w:hint="eastAsia"/>
        </w:rPr>
        <w:t xml:space="preserve">可复算交付与实际验证</w:t>
      </w:r>
    </w:p>
    <w:p>
      <w:pPr>
        <w:pStyle w:val="FirstParagraph"/>
      </w:pPr>
      <w:r>
        <w:rPr>
          <w:rFonts w:hint="eastAsia"/>
        </w:rPr>
        <w:t xml:space="preserve">输入配置保留YAML，经Python审查后生成保持null语义的JSON，MATLAB</w:t>
      </w:r>
      <w:r>
        <w:t xml:space="preserve"> </w:t>
      </w:r>
      <w:r>
        <w:rPr>
          <w:rFonts w:hint="eastAsia"/>
        </w:rPr>
        <w:t xml:space="preserve">R2025a读取JSON并执行M0计算。Python</w:t>
      </w:r>
      <w:r>
        <w:t xml:space="preserve"> 3.13.12、MATLAB </w:t>
      </w:r>
      <w:r>
        <w:rPr>
          <w:rFonts w:hint="eastAsia"/>
        </w:rPr>
        <w:t xml:space="preserve">25.1.0.2943329（R2025a）已实际运行。基础仓库提交为</w:t>
      </w:r>
      <w:r>
        <w:t xml:space="preserve"> </w:t>
      </w:r>
      <w:r>
        <w:rPr>
          <w:rStyle w:val="VerbatimChar"/>
        </w:rPr>
        <w:t xml:space="preserve">8648dd9eb068f73eda92cd869db19cd0f98a31a3</w:t>
      </w:r>
      <w:r>
        <w:rPr>
          <w:rFonts w:hint="eastAsia"/>
        </w:rPr>
        <w:t xml:space="preserve">；配置哈希及环境见</w:t>
      </w:r>
      <w:r>
        <w:t xml:space="preserve"> </w:t>
      </w:r>
      <w:r>
        <w:rPr>
          <w:rStyle w:val="VerbatimChar"/>
        </w:rPr>
        <w:t xml:space="preserve">audit_metadata.json</w:t>
      </w:r>
      <w:r>
        <w:rPr>
          <w:rFonts w:hint="eastAsia"/>
        </w:rPr>
        <w:t xml:space="preserve">，本交付提交号由Git历史确定，避免自引用哈希。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b/>
                <w:sz w:val="19"/>
              </w:rPr>
              <w:t xml:space="preserve">验证项目</w:t>
            </w:r>
          </w:p>
        </w:tc>
        <w:tc>
          <w:tcPr>
            <w:shd w:fill="EAF0F7"/>
          </w:tcPr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b/>
                <w:sz w:val="19"/>
              </w:rPr>
              <w:t xml:space="preserve">实际结果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Python配置测试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3个测试通过；其中覆盖10种旧拓扑／非物理输入拒绝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EPA下载及ZIP</w:t>
            </w:r>
            <w:r>
              <w:rPr>
                <w:sz w:val="19"/>
              </w:rPr>
              <w:t xml:space="preserve"> CRC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通过；包内12文件SHA-256登记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完整网格及示例表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546个有限值；272行示例交叉核对；插值越界拒绝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拓扑、速度及未知项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通过；无差速器、盘轮同速、每侧独立电机；连续功率和绕组图保持未知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附着、功率及能量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18组制动积分通过；无负摩擦、遵守电池功率及电机转矩限制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独立解析检查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0.6g零再生转矩／能量回归、恒力与恒功率分段积分通过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积分步长细化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0.6g／30kW／含路阻，10001至40001速度点；单盘功相对变化约0.000739%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假设扫描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18组再生效率／低速退出组合；27组轴荷／重心／半径组合，均另存CSV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MATLAB原始对象构造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NOT </w:t>
            </w:r>
            <w:r>
              <w:rPr>
                <w:rFonts w:hint="eastAsia"/>
                <w:sz w:val="19"/>
              </w:rPr>
              <w:t xml:space="preserve">EXECUTED：未安装ALPHA／REVS外部类；仅解析数字并交叉核对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0" w:after="60" w:line="252" w:lineRule="auto"/>
            </w:pPr>
            <w:r>
              <w:rPr>
                <w:rFonts w:hint="eastAsia"/>
                <w:sz w:val="19"/>
              </w:rPr>
              <w:t xml:space="preserve">M1／ANSYS／优化</w:t>
            </w:r>
          </w:p>
        </w:tc>
        <w:tc>
          <w:tcPr/>
          <w:p>
            <w:pPr>
              <w:pStyle w:val="Compact"/>
              <w:spacing w:before="0" w:after="60" w:line="252" w:lineRule="auto"/>
            </w:pPr>
            <w:r>
              <w:rPr>
                <w:sz w:val="19"/>
              </w:rPr>
              <w:t xml:space="preserve">NOT </w:t>
            </w:r>
            <w:r>
              <w:rPr>
                <w:rFonts w:hint="eastAsia"/>
                <w:sz w:val="19"/>
              </w:rPr>
              <w:t xml:space="preserve">EXECUTED：不在本次授权范围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主要结果为</w:t>
      </w:r>
      <w:r>
        <w:t xml:space="preserve"> </w:t>
      </w:r>
      <w:r>
        <w:rPr>
          <w:rStyle w:val="VerbatimChar"/>
        </w:rPr>
        <w:t xml:space="preserve">braking_review.csv</w:t>
      </w:r>
      <w:r>
        <w:t xml:space="preserve">、</w:t>
      </w:r>
      <w:r>
        <w:rPr>
          <w:rStyle w:val="VerbatimChar"/>
        </w:rPr>
        <w:t xml:space="preserve">speed_power_review.csv</w:t>
      </w:r>
      <w:r>
        <w:t xml:space="preserve">、</w:t>
      </w:r>
      <w:r>
        <w:rPr>
          <w:rStyle w:val="VerbatimChar"/>
        </w:rPr>
        <w:t xml:space="preserve">parameter_audit.csv</w:t>
      </w:r>
      <w:r>
        <w:t xml:space="preserve">、</w:t>
      </w:r>
      <w:r>
        <w:rPr>
          <w:rStyle w:val="VerbatimChar"/>
        </w:rPr>
        <w:t xml:space="preserve">epa_map_audit.json</w:t>
      </w:r>
      <w:r>
        <w:t xml:space="preserve">、</w:t>
      </w:r>
      <w:r>
        <w:rPr>
          <w:rStyle w:val="VerbatimChar"/>
        </w:rPr>
        <w:t xml:space="preserve">validation.json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m0_results.mat</w:t>
      </w:r>
      <w:r>
        <w:rPr>
          <w:rFonts w:hint="eastAsia"/>
        </w:rPr>
        <w:t xml:space="preserve">。图提供PNG及SVG。运行顺序及依赖说明见</w:t>
      </w:r>
      <w:r>
        <w:t xml:space="preserve"> </w:t>
      </w:r>
      <w:r>
        <w:rPr>
          <w:rStyle w:val="VerbatimChar"/>
        </w:rPr>
        <w:t xml:space="preserve">scripts/m0/README.md</w:t>
      </w:r>
      <w:r>
        <w:rPr>
          <w:rFonts w:hint="eastAsia"/>
        </w:rPr>
        <w:t xml:space="preserve">；报告Markdown保留为可复用源文件，DOCX由Pandoc转换，公式以Word可编辑数学保存，并通过Word导出PDF进行目视检查。</w:t>
      </w:r>
    </w:p>
    <w:bookmarkEnd w:id="36"/>
    <w:bookmarkStart w:id="37" w:name="m0验收状态"/>
    <w:p>
      <w:pPr>
        <w:pStyle w:val="Heading1"/>
      </w:pPr>
      <w:r>
        <w:t xml:space="preserve">10. </w:t>
      </w:r>
      <w:r>
        <w:rPr>
          <w:rFonts w:hint="eastAsia"/>
        </w:rPr>
        <w:t xml:space="preserve">M0验收状态</w:t>
      </w:r>
    </w:p>
    <w:p>
      <w:pPr>
        <w:pStyle w:val="FirstParagraph"/>
      </w:pPr>
      <w:r>
        <w:rPr>
          <w:rFonts w:hint="eastAsia"/>
        </w:rPr>
        <w:t xml:space="preserve">M0资料获取、数值表读取、参数审查、后轴单盘制动功及整车能量核算已完成。真实来源、工程假设、资料矛盾和未验证输入已分别登记。M0完成不代表M1输入全部齐备；尚未获得概念总成的实体或实验验证。</w:t>
      </w:r>
    </w:p>
    <w:p>
      <w:pPr>
        <w:pStyle w:val="BodyText"/>
      </w:pPr>
      <w:r>
        <w:rPr>
          <w:rFonts w:hint="eastAsia"/>
        </w:rPr>
        <w:t xml:space="preserve">后续需用户确认是否进入M1。即使获准，也需先决定是否接受EPA镜像再生图作不确定性研究、采用何种电池边界、如何补充电机内部损耗分配及实际机械／冷却资料。本次交付在M0停止。</w:t>
      </w:r>
    </w:p>
    <w:bookmarkEnd w:id="37"/>
    <w:bookmarkStart w:id="46" w:name="参考资料"/>
    <w:p>
      <w:pPr>
        <w:pStyle w:val="Heading1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1"/>
        </w:numPr>
      </w:pPr>
      <w:hyperlink r:id="rId38">
        <w:r>
          <w:rPr>
            <w:rStyle w:val="Hyperlink"/>
          </w:rPr>
          <w:t xml:space="preserve">US </w:t>
        </w:r>
        <w:r>
          <w:rPr>
            <w:rStyle w:val="Hyperlink"/>
            <w:rFonts w:hint="eastAsia"/>
          </w:rPr>
          <w:t xml:space="preserve">EPA：Complete</w:t>
        </w:r>
        <w:r>
          <w:rPr>
            <w:rStyle w:val="Hyperlink"/>
          </w:rPr>
          <w:t xml:space="preserve"> eMotor ALPHA </w:t>
        </w:r>
        <w:r>
          <w:rPr>
            <w:rStyle w:val="Hyperlink"/>
            <w:rFonts w:hint="eastAsia"/>
          </w:rPr>
          <w:t xml:space="preserve">Maps官方目录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hyperlink r:id="rId39">
        <w:r>
          <w:rPr>
            <w:rStyle w:val="Hyperlink"/>
          </w:rPr>
          <w:t xml:space="preserve">US </w:t>
        </w:r>
        <w:r>
          <w:rPr>
            <w:rStyle w:val="Hyperlink"/>
            <w:rFonts w:hint="eastAsia"/>
          </w:rPr>
          <w:t xml:space="preserve">EPA：2010</w:t>
        </w:r>
        <w:r>
          <w:rPr>
            <w:rStyle w:val="Hyperlink"/>
          </w:rPr>
          <w:t xml:space="preserve"> Toyota Prius 60kW 650V MG2 </w:t>
        </w:r>
        <w:r>
          <w:rPr>
            <w:rStyle w:val="Hyperlink"/>
            <w:rFonts w:hint="eastAsia"/>
          </w:rPr>
          <w:t xml:space="preserve">EMOT，2023-04-06原始ZIP</w:t>
        </w:r>
      </w:hyperlink>
      <w:r>
        <w:rPr>
          <w:rFonts w:hint="eastAsia"/>
        </w:rPr>
        <w:t xml:space="preserve">。包内重点为3a生成HTML、3b</w:t>
      </w:r>
      <w:r>
        <w:t xml:space="preserve"> </w:t>
      </w:r>
      <w:r>
        <w:rPr>
          <w:rFonts w:hint="eastAsia"/>
        </w:rPr>
        <w:t xml:space="preserve">NCAT报告、3c原始效率XLSX、6示例XLSX、7对象定义文件。</w:t>
      </w:r>
    </w:p>
    <w:p>
      <w:pPr>
        <w:pStyle w:val="Compact"/>
        <w:numPr>
          <w:ilvl w:val="0"/>
          <w:numId w:val="1001"/>
        </w:numPr>
      </w:pPr>
      <w:hyperlink r:id="rId40">
        <w:r>
          <w:rPr>
            <w:rStyle w:val="Hyperlink"/>
            <w:rFonts w:hint="eastAsia"/>
          </w:rPr>
          <w:t xml:space="preserve">ORNL：Evaluation</w:t>
        </w:r>
        <w:r>
          <w:rPr>
            <w:rStyle w:val="Hyperlink"/>
          </w:rPr>
          <w:t xml:space="preserve"> of the 2010 Toyota Prius Hybrid Synergy Drive </w:t>
        </w:r>
        <w:r>
          <w:rPr>
            <w:rStyle w:val="Hyperlink"/>
            <w:rFonts w:hint="eastAsia"/>
          </w:rPr>
          <w:t xml:space="preserve">System，ORNL/TM-2010/253，2011-03</w:t>
        </w:r>
      </w:hyperlink>
      <w:r>
        <w:rPr>
          <w:rFonts w:hint="eastAsia"/>
        </w:rPr>
        <w:t xml:space="preserve">。表2.1、表2.7及第3.3–3.4节。</w:t>
      </w:r>
    </w:p>
    <w:p>
      <w:pPr>
        <w:pStyle w:val="Compact"/>
        <w:numPr>
          <w:ilvl w:val="0"/>
          <w:numId w:val="1001"/>
        </w:numPr>
      </w:pPr>
      <w:hyperlink r:id="rId41">
        <w:r>
          <w:rPr>
            <w:rStyle w:val="Hyperlink"/>
            <w:rFonts w:hint="eastAsia"/>
          </w:rPr>
          <w:t xml:space="preserve">Toyota：Toyota</w:t>
        </w:r>
        <w:r>
          <w:rPr>
            <w:rStyle w:val="Hyperlink"/>
          </w:rPr>
          <w:t xml:space="preserve"> Launches Third-generation </w:t>
        </w:r>
        <w:r>
          <w:rPr>
            <w:rStyle w:val="Hyperlink"/>
            <w:rFonts w:hint="eastAsia"/>
          </w:rPr>
          <w:t xml:space="preserve">Prius，2009-05-18</w:t>
        </w:r>
      </w:hyperlink>
      <w:r>
        <w:t xml:space="preserve">。Key hybrid system specifications。</w:t>
      </w:r>
    </w:p>
    <w:p>
      <w:pPr>
        <w:pStyle w:val="Compact"/>
        <w:numPr>
          <w:ilvl w:val="0"/>
          <w:numId w:val="1001"/>
        </w:numPr>
      </w:pPr>
      <w:hyperlink r:id="rId42">
        <w:r>
          <w:rPr>
            <w:rStyle w:val="Hyperlink"/>
          </w:rPr>
          <w:t xml:space="preserve">Volkswagen </w:t>
        </w:r>
        <w:r>
          <w:rPr>
            <w:rStyle w:val="Hyperlink"/>
            <w:rFonts w:hint="eastAsia"/>
          </w:rPr>
          <w:t xml:space="preserve">Ireland：ID.3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MY23产品资料</w:t>
        </w:r>
      </w:hyperlink>
      <w:r>
        <w:rPr>
          <w:rFonts w:hint="eastAsia"/>
        </w:rPr>
        <w:t xml:space="preserve">。PDF第5、9页。</w:t>
      </w:r>
    </w:p>
    <w:p>
      <w:pPr>
        <w:pStyle w:val="Compact"/>
        <w:numPr>
          <w:ilvl w:val="0"/>
          <w:numId w:val="1001"/>
        </w:numPr>
      </w:pPr>
      <w:hyperlink r:id="rId43">
        <w:r>
          <w:rPr>
            <w:rStyle w:val="Hyperlink"/>
          </w:rPr>
          <w:t xml:space="preserve">Volkswagen </w:t>
        </w:r>
        <w:r>
          <w:rPr>
            <w:rStyle w:val="Hyperlink"/>
            <w:rFonts w:hint="eastAsia"/>
          </w:rPr>
          <w:t xml:space="preserve">Ireland：ID.3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MY21产品资料</w:t>
        </w:r>
      </w:hyperlink>
      <w:r>
        <w:rPr>
          <w:rFonts w:hint="eastAsia"/>
        </w:rPr>
        <w:t xml:space="preserve">。PDF第19页L101=2765</w:t>
      </w:r>
      <w:r>
        <w:t xml:space="preserve"> mm。</w:t>
      </w:r>
    </w:p>
    <w:p>
      <w:pPr>
        <w:pStyle w:val="Compact"/>
        <w:numPr>
          <w:ilvl w:val="0"/>
          <w:numId w:val="1001"/>
        </w:numPr>
      </w:pPr>
      <w:hyperlink r:id="rId44">
        <w:r>
          <w:rPr>
            <w:rStyle w:val="Hyperlink"/>
            <w:rFonts w:hint="eastAsia"/>
          </w:rPr>
          <w:t xml:space="preserve">Volkswagen：2020</w:t>
        </w:r>
        <w:r>
          <w:rPr>
            <w:rStyle w:val="Hyperlink"/>
          </w:rPr>
          <w:t xml:space="preserve"> ID.3 Technical </w:t>
        </w:r>
        <w:r>
          <w:rPr>
            <w:rStyle w:val="Hyperlink"/>
            <w:rFonts w:hint="eastAsia"/>
          </w:rPr>
          <w:t xml:space="preserve">data（本次直接访问404）</w:t>
        </w:r>
      </w:hyperlink>
      <w:r>
        <w:rPr>
          <w:rFonts w:hint="eastAsia"/>
        </w:rPr>
        <w:t xml:space="preserve">。仅搜索索引参考，Cd未升级为本次原文核实。</w:t>
      </w:r>
    </w:p>
    <w:p>
      <w:pPr>
        <w:pStyle w:val="Compact"/>
        <w:numPr>
          <w:ilvl w:val="0"/>
          <w:numId w:val="1001"/>
        </w:numPr>
      </w:pPr>
      <w:hyperlink r:id="rId45">
        <w:r>
          <w:rPr>
            <w:rStyle w:val="Hyperlink"/>
            <w:rFonts w:hint="eastAsia"/>
          </w:rPr>
          <w:t xml:space="preserve">Brembo：09.9908.21后制动盘目录</w:t>
        </w:r>
      </w:hyperlink>
      <w:r>
        <w:t xml:space="preserve">。</w:t>
      </w:r>
    </w:p>
    <w:bookmarkEnd w:id="46"/>
    <w:sectPr w:rsidR="00FC693F" w:rsidRPr="0006063C" w:rsidSect="00034616">
      <w:footerReference r:id="rId9" w:type="default"/>
      <w:pgSz w:h="16838" w:w="11906"/>
      <w:pgMar w:bottom="1077" w:footer="720" w:gutter="0" w:header="720" w:left="1191" w:right="1191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V0.4 · M0 参数审查   | 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76" w:lineRule="auto"/>
    </w:pPr>
    <w:rPr>
      <w:rFonts w:ascii="Calibri" w:eastAsia="宋体" w:hAnsi="Calibri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280"/>
      <w:outlineLvl w:val="0"/>
    </w:pPr>
    <w:rPr>
      <w:rFonts w:ascii="Calibri" w:asciiTheme="majorHAnsi" w:cstheme="majorBidi" w:eastAsia="黑体" w:eastAsiaTheme="majorEastAsia" w:hAnsi="Calibri" w:hAnsiTheme="majorHAnsi"/>
      <w:b/>
      <w:bCs/>
      <w:color w:val="1E3A5F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="黑体" w:eastAsiaTheme="majorEastAsia" w:hAnsi="Calibri" w:hAnsiTheme="majorHAnsi"/>
      <w:b/>
      <w:bCs/>
      <w:color w:val="1E3A5F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="黑体" w:eastAsiaTheme="majorEastAsia" w:hAnsi="Calibri" w:hAnsiTheme="majorHAnsi"/>
      <w:b/>
      <w:bCs/>
      <w:color w:val="1E3A5F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00" w:line="240" w:lineRule="auto"/>
      <w:contextualSpacing/>
    </w:pPr>
    <w:rPr>
      <w:rFonts w:ascii="Calibri" w:asciiTheme="majorHAnsi" w:cstheme="majorBidi" w:eastAsia="黑体" w:eastAsiaTheme="majorEastAsia" w:hAnsi="Calibri" w:hAnsiTheme="majorHAnsi"/>
      <w:color w:val="1E3A5F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="Calibri" w:asciiTheme="majorHAnsi" w:cstheme="majorBidi" w:eastAsia="黑体" w:eastAsiaTheme="majorEastAsia" w:hAnsi="Calibri" w:hAnsiTheme="majorHAnsi"/>
      <w:i/>
      <w:iCs/>
      <w:color w:val="1E3A5F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Calibri" w:eastAsia="宋体" w:hAnsi="Calibri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00" w:line="276" w:lineRule="auto"/>
    </w:pPr>
    <w:rPr>
      <w:rFonts w:ascii="Calibri" w:eastAsia="宋体" w:hAnsi="Calibri"/>
      <w:b/>
      <w:bCs/>
      <w:color w:themeColor="accent1" w:val="4F81BD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30" Type="http://schemas.openxmlformats.org/officeDocument/2006/relationships/image" Target="media/rId30.png"/><Relationship Id="rId41" Type="http://schemas.openxmlformats.org/officeDocument/2006/relationships/hyperlink" Target="https://global.toyota/en/detail/308252" TargetMode="External"/><Relationship Id="rId40" Type="http://schemas.openxmlformats.org/officeDocument/2006/relationships/hyperlink" Target="https://info.ornl.gov/sites/publications/files/Pub26762.pdf" TargetMode="External"/><Relationship Id="rId45" Type="http://schemas.openxmlformats.org/officeDocument/2006/relationships/hyperlink" Target="https://www.bremboparts.com/europe/en/view-document/catalogue/disc/09-9908-21" TargetMode="External"/><Relationship Id="rId39" Type="http://schemas.openxmlformats.org/officeDocument/2006/relationships/hyperlink" Target="https://www.epa.gov/system/files/other-files/2023-04/2010-Toyota-Prius-60kW-650V-MG2-EMOT-ALPHA-Map-Package-Dated-04-06-23.zip" TargetMode="External"/><Relationship Id="rId38" Type="http://schemas.openxmlformats.org/officeDocument/2006/relationships/hyperlink" Target="https://www.epa.gov/vehicle-and-fuel-emissions-testing/combining-data-complete-emotor-alpha-maps" TargetMode="External"/><Relationship Id="rId44" Type="http://schemas.openxmlformats.org/officeDocument/2006/relationships/hyperlink" Target="https://www.volkswagen-newsroom.com/en/the-new-id3-6240/technical-data-6249" TargetMode="External"/><Relationship Id="rId43" Type="http://schemas.openxmlformats.org/officeDocument/2006/relationships/hyperlink" Target="https://www.volkswagen.ie/idhub/content/dam/onehub_pkw/importers/ie/models/product-guides/2021/my21_master/ID3_MY21.pdf" TargetMode="External"/><Relationship Id="rId42" Type="http://schemas.openxmlformats.org/officeDocument/2006/relationships/hyperlink" Target="https://www.volkswagen.ie/idhub/content/dam/onehub_pkw/importers/ie/models/product-guides/my23/ID3_MY23.pdf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global.toyota/en/detail/308252" TargetMode="External"/><Relationship Id="rId40" Type="http://schemas.openxmlformats.org/officeDocument/2006/relationships/hyperlink" Target="https://info.ornl.gov/sites/publications/files/Pub26762.pdf" TargetMode="External"/><Relationship Id="rId45" Type="http://schemas.openxmlformats.org/officeDocument/2006/relationships/hyperlink" Target="https://www.bremboparts.com/europe/en/view-document/catalogue/disc/09-9908-21" TargetMode="External"/><Relationship Id="rId39" Type="http://schemas.openxmlformats.org/officeDocument/2006/relationships/hyperlink" Target="https://www.epa.gov/system/files/other-files/2023-04/2010-Toyota-Prius-60kW-650V-MG2-EMOT-ALPHA-Map-Package-Dated-04-06-23.zip" TargetMode="External"/><Relationship Id="rId38" Type="http://schemas.openxmlformats.org/officeDocument/2006/relationships/hyperlink" Target="https://www.epa.gov/vehicle-and-fuel-emissions-testing/combining-data-complete-emotor-alpha-maps" TargetMode="External"/><Relationship Id="rId44" Type="http://schemas.openxmlformats.org/officeDocument/2006/relationships/hyperlink" Target="https://www.volkswagen-newsroom.com/en/the-new-id3-6240/technical-data-6249" TargetMode="External"/><Relationship Id="rId43" Type="http://schemas.openxmlformats.org/officeDocument/2006/relationships/hyperlink" Target="https://www.volkswagen.ie/idhub/content/dam/onehub_pkw/importers/ie/models/product-guides/2021/my21_master/ID3_MY21.pdf" TargetMode="External"/><Relationship Id="rId42" Type="http://schemas.openxmlformats.org/officeDocument/2006/relationships/hyperlink" Target="https://www.volkswagen.ie/idhub/content/dam/onehub_pkw/importers/ie/models/product-guides/my23/ID3_MY2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V0.4 后驱双独立电机 M0 参数审查</dc:title>
  <dc:creator>研究资料与可复算审查</dc:creator>
  <cp:keywords/>
  <dcterms:created xsi:type="dcterms:W3CDTF">2026-10-18T09:56:49Z</dcterms:created>
  <dcterms:modified xsi:type="dcterms:W3CDTF">2026-10-18T09:56:49Z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2026-10-18</vt:lpwstr>
  </property>
  <property fmtid="{D5CDD505-2E9C-101B-9397-08002B2CF9AE}" pid="3" name="subtitle">
    <vt:lpwstr>1800 kg 概念车 · 单侧后轴内移制动盘 · 仅参数准备</vt:lpwstr>
  </property>
</Properties>
</file>