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V0.4 </w:t>
      </w:r>
      <w:r>
        <w:rPr>
          <w:rFonts w:hint="eastAsia"/>
        </w:rPr>
        <w:t xml:space="preserve">单侧多热源瞬态热耦合模型：M2</w:t>
      </w:r>
    </w:p>
    <w:p>
      <w:pPr>
        <w:pStyle w:val="Subtitle"/>
      </w:pPr>
      <w:r>
        <w:t xml:space="preserve">S3 </w:t>
      </w:r>
      <w:r>
        <w:rPr>
          <w:rFonts w:hint="eastAsia"/>
        </w:rPr>
        <w:t xml:space="preserve">概念LPTN预测</w:t>
      </w:r>
      <w:r>
        <w:t xml:space="preserve"> · </w:t>
      </w:r>
      <w:r>
        <w:rPr>
          <w:rFonts w:hint="eastAsia"/>
        </w:rPr>
        <w:t xml:space="preserve">概念范围验收通过</w:t>
      </w:r>
      <w:r>
        <w:t xml:space="preserve"> · </w:t>
      </w:r>
      <w:r>
        <w:rPr>
          <w:rFonts w:hint="eastAsia"/>
        </w:rPr>
        <w:t xml:space="preserve">未经样机温度标定</w:t>
      </w:r>
    </w:p>
    <w:p>
      <w:pPr>
        <w:pStyle w:val="Author"/>
      </w:pPr>
      <w:r>
        <w:rPr>
          <w:rFonts w:hint="eastAsia"/>
        </w:rPr>
        <w:t xml:space="preserve">研究模型与可复算审查</w:t>
      </w:r>
    </w:p>
    <w:p>
      <w:pPr>
        <w:pStyle w:val="Date"/>
      </w:pPr>
      <w:r>
        <w:t xml:space="preserve">2026-10-19</w:t>
      </w:r>
    </w:p>
    <w:bookmarkStart w:id="19" w:name="阶段结论基线与授权"/>
    <w:p>
      <w:pPr>
        <w:pStyle w:val="Heading1"/>
      </w:pPr>
      <w:r>
        <w:t xml:space="preserve">1. </w:t>
      </w:r>
      <w:r>
        <w:rPr>
          <w:rFonts w:hint="eastAsia"/>
        </w:rPr>
        <w:t xml:space="preserve">阶段结论、基线与授权</w:t>
      </w:r>
    </w:p>
    <w:p>
      <w:pPr>
        <w:pStyle w:val="FirstParagraph"/>
      </w:pPr>
      <w:r>
        <w:rPr>
          <w:rFonts w:hint="eastAsia"/>
        </w:rPr>
        <w:t xml:space="preserve">M1已按研究者指定的“具有明确来源、参数化假设和不确定性分析的概念数值热源模型”范围验收，真实损耗标定仍为PARTIAL。PR</w:t>
      </w:r>
      <w:r>
        <w:t xml:space="preserve"> </w:t>
      </w:r>
      <w:r>
        <w:rPr>
          <w:rFonts w:hint="eastAsia"/>
        </w:rPr>
        <w:t xml:space="preserve">#2已合并；附注Tag</w:t>
      </w:r>
      <w:r>
        <w:t xml:space="preserve"> </w:t>
      </w:r>
      <w:r>
        <w:rPr>
          <w:rStyle w:val="VerbatimChar"/>
        </w:rPr>
        <w:t xml:space="preserve">M1-v1.0</w:t>
      </w:r>
      <w:r>
        <w:t xml:space="preserve"> </w:t>
      </w:r>
      <w:r>
        <w:rPr>
          <w:rFonts w:hint="eastAsia"/>
        </w:rPr>
        <w:t xml:space="preserve">的远端对象为</w:t>
      </w:r>
      <w:r>
        <w:t xml:space="preserve"> </w:t>
      </w:r>
      <w:r>
        <w:rPr>
          <w:rStyle w:val="VerbatimChar"/>
        </w:rPr>
        <w:t xml:space="preserve">9b3c7f97c63b56b50eb7c0477a72ad03060cae39</w:t>
      </w:r>
      <w:r>
        <w:rPr>
          <w:rFonts w:hint="eastAsia"/>
        </w:rPr>
        <w:t xml:space="preserve">，剥离目标为实际main合并提交</w:t>
      </w:r>
      <w:r>
        <w:t xml:space="preserve"> </w:t>
      </w:r>
      <w:r>
        <w:rPr>
          <w:rStyle w:val="VerbatimChar"/>
        </w:rPr>
        <w:t xml:space="preserve">9d545ab39a3efcce857573af74f7e325b74a2b15</w:t>
      </w:r>
      <w:r>
        <w:rPr>
          <w:rFonts w:hint="eastAsia"/>
        </w:rPr>
        <w:t xml:space="preserve">，已实际推送和核验。</w:t>
      </w:r>
      <w:r>
        <w:rPr>
          <w:rStyle w:val="VerbatimChar"/>
        </w:rPr>
        <w:t xml:space="preserve">M0-v1.0</w:t>
      </w:r>
      <w:r>
        <w:rPr>
          <w:rFonts w:hint="eastAsia"/>
        </w:rPr>
        <w:t xml:space="preserve">仍指向</w:t>
      </w:r>
      <w:r>
        <w:t xml:space="preserve"> </w:t>
      </w:r>
      <w:r>
        <w:rPr>
          <w:rStyle w:val="VerbatimChar"/>
        </w:rPr>
        <w:t xml:space="preserve">b13f265b1ff0add1f9e8b166d2c1bfa4ac8a8d16</w:t>
      </w:r>
      <w:r>
        <w:rPr>
          <w:rFonts w:hint="eastAsia"/>
        </w:rPr>
        <w:t xml:space="preserve">，未修改或覆盖。</w:t>
      </w:r>
    </w:p>
    <w:p>
      <w:pPr>
        <w:pStyle w:val="BodyText"/>
      </w:pPr>
      <w:r>
        <w:rPr>
          <w:rFonts w:hint="eastAsia"/>
        </w:rPr>
        <w:t xml:space="preserve">M2分支</w:t>
      </w:r>
      <w:r>
        <w:t xml:space="preserve"> </w:t>
      </w:r>
      <w:r>
        <w:rPr>
          <w:rStyle w:val="VerbatimChar"/>
        </w:rPr>
        <w:t xml:space="preserve">stage/M2-thermal-network</w:t>
      </w:r>
      <w:r>
        <w:t xml:space="preserve"> </w:t>
      </w:r>
      <w:r>
        <w:rPr>
          <w:rFonts w:hint="eastAsia"/>
        </w:rPr>
        <w:t xml:space="preserve">从上述最新main创建，数值计算代码提交为</w:t>
      </w:r>
      <w:r>
        <w:t xml:space="preserve"> </w:t>
      </w:r>
      <w:r>
        <w:rPr>
          <w:rStyle w:val="VerbatimChar"/>
        </w:rPr>
        <w:t xml:space="preserve">ff818ccb35daf8d70d0cbafbf28fc6690ab457a8</w:t>
      </w:r>
      <w:r>
        <w:rPr>
          <w:rFonts w:hint="eastAsia"/>
        </w:rPr>
        <w:t xml:space="preserve">。2026-10-20研究者按“具有明确工程假设、通过能量守恒及数值验证的概念瞬态热网络模型”范围验收，批准</w:t>
      </w:r>
      <w:hyperlink r:id="rId18">
        <w:r>
          <w:rPr>
            <w:rStyle w:val="Hyperlink"/>
          </w:rPr>
          <w:t xml:space="preserve">PR #3</w:t>
        </w:r>
      </w:hyperlink>
      <w:r>
        <w:rPr>
          <w:rFonts w:hint="eastAsia"/>
        </w:rPr>
        <w:t xml:space="preserve">合并与正式归档；实际合并SHA及Tag核验在阶段登记中追加。</w:t>
      </w:r>
    </w:p>
    <w:p>
      <w:pPr>
        <w:pStyle w:val="BodyText"/>
      </w:pPr>
      <w:r>
        <w:rPr>
          <w:rFonts w:hint="eastAsia"/>
        </w:rPr>
        <w:t xml:space="preserve">已实际完成MATLAB</w:t>
      </w:r>
      <w:r>
        <w:t xml:space="preserve"> </w:t>
      </w:r>
      <w:r>
        <w:rPr>
          <w:rFonts w:hint="eastAsia"/>
        </w:rPr>
        <w:t xml:space="preserve">R2025a的13节点单侧LPTN，4基础场景、3路径移除及18敏感性场景；11组数值测试通过。全网络与电驱子域分别核算输入、储热、环境及冷却净带走热量；Python独立检查及自适应SciPy积分比较通过。</w:t>
      </w:r>
      <w:r>
        <w:rPr>
          <w:rFonts w:hint="eastAsia"/>
          <w:b/>
          <w:bCs/>
        </w:rPr>
        <w:t xml:space="preserve">所有温度均为S3概念预测，不是样机标定结果，不证明连续功率、温度限值或法规符合性。</w:t>
      </w:r>
    </w:p>
    <w:p>
      <w:pPr>
        <w:pStyle w:val="BodyText"/>
      </w:pPr>
      <w:r>
        <w:rPr>
          <w:rFonts w:hint="eastAsia"/>
        </w:rPr>
        <w:t xml:space="preserve">候选参数下，C共同热源场景盘/减速器壳/绕组峰值约109.63/32.96/57.61°C，D预热后循环约110.01/40.89/75.63°C。制动热对壳体和轴承的影响明显大于对绕组的短期影响；传热存在方向反转与延迟，不能只看瞬时峰值或把正向热侵入与净热量混为一谈。</w:t>
      </w:r>
    </w:p>
    <w:bookmarkEnd w:id="19"/>
    <w:bookmarkStart w:id="24" w:name="对象节点与来源边界"/>
    <w:p>
      <w:pPr>
        <w:pStyle w:val="Heading1"/>
      </w:pPr>
      <w:r>
        <w:t xml:space="preserve">2. </w:t>
      </w:r>
      <w:r>
        <w:rPr>
          <w:rFonts w:hint="eastAsia"/>
        </w:rPr>
        <w:t xml:space="preserve">对象、节点与来源边界</w:t>
      </w:r>
    </w:p>
    <w:p>
      <w:pPr>
        <w:pStyle w:val="FirstParagraph"/>
      </w:pPr>
      <w:r>
        <w:rPr>
          <w:rFonts w:hint="eastAsia"/>
        </w:rPr>
        <w:t xml:space="preserve">保持V0.4：1800kg后驱概念车，后轴左右独立电机，每侧60kW参考峰值及9:1减速器，输出端内移盘，无差速器。只算左侧详细热网络；M1整车账本仍包含前轴与双后侧，不能用本单侧热量直接与整车初始动能相比。</w:t>
      </w:r>
    </w:p>
    <w:p>
      <w:pPr>
        <w:pStyle w:val="BodyText"/>
      </w:pPr>
      <w:r>
        <w:rPr>
          <w:rFonts w:hint="eastAsia"/>
        </w:rPr>
        <w:t xml:space="preserve">网络包含12个部件等效节点及1个局部热空气控制体；环境和冷却液为固定温度热库。片/钳合并避免在缺乏接触与结构资料时虚构独立精度；输出轴、轴承、齿轮、油、两壳体、定子、绕组、转子其他及护罩保留各自热容。合并节点只给平均等效温度，不给片面热点、制动液或磁钢热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节点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候选质量kg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b/>
                <w:sz w:val="19"/>
              </w:rPr>
              <w:t xml:space="preserve">cp J/(kg·K)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b/>
                <w:sz w:val="19"/>
              </w:rPr>
              <w:t xml:space="preserve">C </w:t>
            </w:r>
            <w:r>
              <w:rPr>
                <w:rFonts w:hint="eastAsia"/>
                <w:b/>
                <w:sz w:val="19"/>
              </w:rPr>
              <w:t xml:space="preserve">J/K及主要依据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制动盘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4.50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2250，S3铸铁类候选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摩擦片/卡钳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2.00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700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1400，S3复合等效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输出轴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1.20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460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552，S3钢类候选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输出轴轴承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0.35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460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161，S3合计等效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两级齿轮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2.50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460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1150，S3合计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油/齿轮箱其他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0.80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2000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1600，S3等效，并非均匀实测油池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减速器壳体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4.00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900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3600，S3铝类候选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电机壳体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5.00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900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4500，S3铝类候选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定子铁心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10.36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460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4765.6，ORNL质量参照×S3等效cp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绕组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4.93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385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1898.05，ORNL铜质量×通用铜cp参照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转子/其他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6.70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460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3082，ORNL转子含电机轴的质量参照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隔热罩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0.40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500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200，S3无CAD候选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局部热空气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0.05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1005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50.25，S3通风混合控制体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完整ρ、k、ε与来源表为</w:t>
      </w:r>
      <w:r>
        <w:t xml:space="preserve"> </w:t>
      </w:r>
      <w:r>
        <w:rPr>
          <w:rStyle w:val="VerbatimChar"/>
        </w:rPr>
        <w:t xml:space="preserve">results/m2/parameter_source_table.csv</w:t>
      </w:r>
      <w:r>
        <w:rPr>
          <w:rFonts w:hint="eastAsia"/>
        </w:rPr>
        <w:t xml:space="preserve">；原未知参数独立保留null，不写回M0/M1配置。ρ、k是材料准备候选，</w:t>
      </w:r>
      <w:r>
        <w:rPr>
          <w:rFonts w:hint="eastAsia"/>
          <w:b/>
          <w:bCs/>
        </w:rPr>
        <w:t xml:space="preserve">没有用它们反推出已验证几何或接触R</w:t>
      </w:r>
      <w:r>
        <w:rPr>
          <w:rFonts w:hint="eastAsia"/>
        </w:rPr>
        <w:t xml:space="preserve">。参考电机转子质量已含其电机轴；本网络输出轴是减速器输出轴，未重复计算同一根轴。</w:t>
      </w:r>
    </w:p>
    <w:p>
      <w:pPr>
        <w:pStyle w:val="CaptionedFigure"/>
      </w:pPr>
      <w:r>
        <w:drawing>
          <wp:inline>
            <wp:extent cx="6045200" cy="3454400"/>
            <wp:effectExtent b="0" l="0" r="0" t="0"/>
            <wp:docPr descr="S3概念热网络：13动态节点；线色表示导热、对流和辐射。绿色区域为热量计账的电驱子域，不是机械装配边界。" title="" id="21" name="Picture"/>
            <a:graphic>
              <a:graphicData uri="http://schemas.openxmlformats.org/drawingml/2006/picture">
                <pic:pic>
                  <pic:nvPicPr>
                    <pic:cNvPr descr="../results/m2/thermal_topolog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S3概念热网络：13动态节点；线色表示导热、对流和辐射。绿色区域为热量计账的电驱子域，不是机械装配边界。</w:t>
      </w:r>
    </w:p>
    <w:bookmarkStart w:id="23" w:name="公开资料核对"/>
    <w:p>
      <w:pPr>
        <w:pStyle w:val="Heading2"/>
      </w:pPr>
      <w:r>
        <w:t xml:space="preserve">2.1 </w:t>
      </w:r>
      <w:r>
        <w:rPr>
          <w:rFonts w:hint="eastAsia"/>
        </w:rPr>
        <w:t xml:space="preserve">公开资料核对</w:t>
      </w:r>
    </w:p>
    <w:p>
      <w:pPr>
        <w:pStyle w:val="FirstParagraph"/>
      </w:pPr>
      <w:r>
        <w:rPr>
          <w:rFonts w:hint="eastAsia"/>
        </w:rPr>
        <w:t xml:space="preserve">ORNL表2.7支持上述三项质量参照。NIST固相Shomate式在298.15K给纯铜/铝/铁cp约385.08/897.14/449.41</w:t>
      </w:r>
      <w:r>
        <w:t xml:space="preserve"> </w:t>
      </w:r>
      <w:r>
        <w:rPr>
          <w:rFonts w:hint="eastAsia"/>
        </w:rPr>
        <w:t xml:space="preserve">J/(kg·K)，仅支持量级；浸漆绕组、叠片和复合转子仍需等效。Hydro6082线索、Fluke表面/波段发射率、COMSOL换热方法、Xiao与Griffo2020电机LPTN辨识及Corley2019齿轮箱网络用于方法审查。</w:t>
      </w:r>
    </w:p>
    <w:p>
      <w:pPr>
        <w:pStyle w:val="BodyText"/>
      </w:pPr>
      <w:r>
        <w:rPr>
          <w:rFonts w:hint="eastAsia"/>
        </w:rPr>
        <w:t xml:space="preserve">Hydro直接PDF、NASA初始路线和Wiley直接下载失败；NIST及COMSOL</w:t>
      </w:r>
      <w:r>
        <w:t xml:space="preserve"> </w:t>
      </w:r>
      <w:r>
        <w:rPr>
          <w:rFonts w:hint="eastAsia"/>
        </w:rPr>
        <w:t xml:space="preserve">HTTP可用，Xiao论文与Fluke官方页可通过浏览读取。失败与哈希保留，不伪造本地原文。Fluke的谱发射率不直接当本模型总半球灰体值。详见</w:t>
      </w:r>
      <w:r>
        <w:t xml:space="preserve"> </w:t>
      </w:r>
      <w:r>
        <w:rPr>
          <w:rStyle w:val="VerbatimChar"/>
        </w:rPr>
        <w:t xml:space="preserve">docs/M2_SOURCE_REVIEW.md</w:t>
      </w:r>
      <w:r>
        <w:t xml:space="preserve">、</w:t>
      </w:r>
      <w:r>
        <w:rPr>
          <w:rStyle w:val="VerbatimChar"/>
        </w:rPr>
        <w:t xml:space="preserve">data/raw/m2/manifest.json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material_reference_values.json</w:t>
      </w:r>
      <w:r>
        <w:rPr>
          <w:rFonts w:hint="eastAsia"/>
        </w:rPr>
        <w:t xml:space="preserve">。未做穷尽文献综述。</w:t>
      </w:r>
    </w:p>
    <w:bookmarkEnd w:id="23"/>
    <w:bookmarkEnd w:id="24"/>
    <w:bookmarkStart w:id="29" w:name="瞬态热平衡与传热模型"/>
    <w:p>
      <w:pPr>
        <w:pStyle w:val="Heading1"/>
      </w:pPr>
      <w:r>
        <w:t xml:space="preserve">3. </w:t>
      </w:r>
      <w:r>
        <w:rPr>
          <w:rFonts w:hint="eastAsia"/>
        </w:rPr>
        <w:t xml:space="preserve">瞬态热平衡与传热模型</w:t>
      </w:r>
    </w:p>
    <w:p>
      <w:pPr>
        <w:pStyle w:val="FirstParagraph"/>
      </w:pPr>
      <w:r>
        <w:rPr>
          <w:rFonts w:hint="eastAsia"/>
        </w:rPr>
        <w:t xml:space="preserve">各节点的常数热容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，全部内部温度采用K：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→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每条内部边只计算一遍，有符号热流在两端等量反号。正方向由配置的from→to给出，真实流向可反转。</w:t>
      </w:r>
    </w:p>
    <w:bookmarkStart w:id="25" w:name="固体传导与接触"/>
    <w:p>
      <w:pPr>
        <w:pStyle w:val="Heading2"/>
      </w:pPr>
      <w:r>
        <w:t xml:space="preserve">3.1 </w:t>
      </w:r>
      <w:r>
        <w:rPr>
          <w:rFonts w:hint="eastAsia"/>
        </w:rPr>
        <w:t xml:space="preserve">固体传导与接触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15条等效R包含盘—片、盘—轴、轴—轴承/齿轮、轴承/齿轮/油—壳体、壳体法兰、定子/绕组/转子等。候选R为0.08–8K/W，全部S3。其中9组涉及接触/安装的等效R统一扫描0.3–3倍；它们仍包含部分几何与材料效应，不称为独立识别的真实接触热阻。钳支架→壳体的导热旁路显式保留，不能默认为只有轴承一条固体路径。</w:t>
      </w:r>
    </w:p>
    <w:bookmarkEnd w:id="25"/>
    <w:bookmarkStart w:id="26" w:name="局部热空气及外部对流"/>
    <w:p>
      <w:pPr>
        <w:pStyle w:val="Heading2"/>
      </w:pPr>
      <w:r>
        <w:t xml:space="preserve">3.2 </w:t>
      </w:r>
      <w:r>
        <w:rPr>
          <w:rFonts w:hint="eastAsia"/>
        </w:rPr>
        <w:t xml:space="preserve">局部热空气及外部对流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rad>
            <m:radPr>
              <m:degHide m:val="on"/>
            </m:radPr>
            <m:deg/>
            <m:e>
              <m:r>
                <m:t>v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v</m:t>
        </m:r>
      </m:oMath>
      <w:r>
        <w:rPr>
          <w:rFonts w:hint="eastAsia"/>
        </w:rPr>
        <w:t xml:space="preserve">单位m/s。盘、片和护罩与局部空气交换，局部空气再与减速器壳体交换，并通过等效通风导热能力连到环境。局部空气有有限热容，不能把“盘产生的所有对流散热”立即当成“壳体吸热”。外露壳体另有环境散热边界。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r>
          <m:t>A</m:t>
        </m:r>
      </m:oMath>
      <w:r>
        <w:rPr>
          <w:rFonts w:hint="eastAsia"/>
        </w:rPr>
        <w:t xml:space="preserve">全部S3；此形式不是已验证内移盘关联式。空气—环境的虚拟面积1m²仅用于表示总通风G，不是已设计通风口。未做CFD，不能用车速替代真实底盘气流标定。</w:t>
      </w:r>
    </w:p>
    <w:bookmarkEnd w:id="26"/>
    <w:bookmarkStart w:id="27" w:name="辐射与护罩"/>
    <w:p>
      <w:pPr>
        <w:pStyle w:val="Heading2"/>
      </w:pPr>
      <w:r>
        <w:t xml:space="preserve">3.3 </w:t>
      </w:r>
      <w:r>
        <w:rPr>
          <w:rFonts w:hint="eastAsia"/>
        </w:rPr>
        <w:t xml:space="preserve">辐射与护罩</w:t>
      </w:r>
    </w:p>
    <w:p>
      <w:pPr>
        <w:pStyle w:val="FirstParagraph"/>
      </w:pPr>
      <w:r>
        <w:rPr>
          <w:rFonts w:hint="eastAsia"/>
        </w:rPr>
        <w:t xml:space="preserve">采用能量对称的两灰体有效交换近似：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σ</m:t>
          </m:r>
          <m:sSub>
            <m:e>
              <m:r>
                <m:t>A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sSub>
            <m:e>
              <m:r>
                <m:t>F</m:t>
              </m:r>
            </m:e>
            <m:sub>
              <m:r>
                <m:t>a</m:t>
              </m:r>
              <m:r>
                <m:t>b</m:t>
              </m:r>
            </m:sub>
          </m:sSub>
          <m:sSub>
            <m:e>
              <m:r>
                <m:t>ϵ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b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>
            <m:t>5.670374419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W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包括盘→减速器壳直接交换、盘→护罩和护罩→壳体。盘ε0.8、壳体0.7、护罩0.2，以及有效面积/视角因子是S3，不是CAD视角因子求解；没有声称完整封闭辐射网络或表面互易关系已几何验证。各边热量严格反对称，满足计算能量守恒。环境辐射另作边界；盘温低于电驱温度时允许反向辐射。</w:t>
      </w:r>
    </w:p>
    <w:bookmarkEnd w:id="27"/>
    <w:bookmarkStart w:id="28" w:name="液冷边界"/>
    <w:p>
      <w:pPr>
        <w:pStyle w:val="Heading2"/>
      </w:pPr>
      <w:r>
        <w:t xml:space="preserve">3.4 </w:t>
      </w:r>
      <w:r>
        <w:rPr>
          <w:rFonts w:hint="eastAsia"/>
        </w:rPr>
        <w:t xml:space="preserve">液冷边界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o</m:t>
              </m:r>
              <m:r>
                <m:t>t</m:t>
              </m:r>
              <m:r>
                <m:t>o</m:t>
              </m:r>
              <m:r>
                <m:t>r</m:t>
              </m:r>
              <m:r>
                <m:t> </m:t>
              </m:r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  <m:r>
                <m:t>a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基准</w:t>
      </w:r>
      <m:oMath>
        <m:sSub>
          <m:e>
            <m:r>
              <m:t>G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hint="eastAsia"/>
        </w:rPr>
        <w:t xml:space="preserve">W/K、环境与入口冷却液均298.15K，以隔离源项耦合。这里没有实测流量或泵模型，液冷只作用于电机壳体。冷却液温度扫描到333.15K时，可出现</w:t>
      </w:r>
      <m:oMath>
        <m:sSub>
          <m:e>
            <m:r>
              <m:t>Q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，表示热库向总成加热，不能截成零或当作损耗源。</w:t>
      </w:r>
    </w:p>
    <w:bookmarkEnd w:id="28"/>
    <w:bookmarkEnd w:id="29"/>
    <w:bookmarkStart w:id="35" w:name="m1输入接口工况与数值方法"/>
    <w:p>
      <w:pPr>
        <w:pStyle w:val="Heading1"/>
      </w:pPr>
      <w:r>
        <w:t xml:space="preserve">4. </w:t>
      </w:r>
      <w:r>
        <w:rPr>
          <w:rFonts w:hint="eastAsia"/>
        </w:rPr>
        <w:t xml:space="preserve">M1输入接口、工况与数值方法</w:t>
      </w:r>
    </w:p>
    <w:p>
      <w:pPr>
        <w:pStyle w:val="FirstParagraph"/>
      </w:pPr>
      <w:r>
        <w:rPr>
          <w:rFonts w:hint="eastAsia"/>
        </w:rPr>
        <w:t xml:space="preserve">原M1读取路径与原始NaN/null保持不变；M2只在自己的目录保存新时序。绕组铜耗、定子铁耗、转子/其他分别加载相应节点；齿面、轴承、其他齿轮箱损耗分别加载齿轮、轴承、油等效节点；盘片热量分别加载盘和片/钳节点。</w:t>
      </w:r>
      <w:r>
        <w:rPr>
          <w:rFonts w:hint="eastAsia"/>
          <w:b/>
          <w:bCs/>
        </w:rPr>
        <w:t xml:space="preserve">逆变器独立排除，联合总损耗和各分项不重复加载，转子/其他不全当作永磁体发热。</w:t>
      </w:r>
    </w:p>
    <w:bookmarkStart w:id="30" w:name="四类基础工况"/>
    <w:p>
      <w:pPr>
        <w:pStyle w:val="Heading2"/>
      </w:pPr>
      <w:r>
        <w:t xml:space="preserve">4.1 </w:t>
      </w:r>
      <w:r>
        <w:rPr>
          <w:rFonts w:hint="eastAsia"/>
        </w:rPr>
        <w:t xml:space="preserve">四类基础工况</w:t>
      </w:r>
    </w:p>
    <w:p>
      <w:pPr>
        <w:pStyle w:val="FirstParagraph"/>
      </w:pPr>
      <w:r>
        <w:rPr>
          <w:rFonts w:hint="eastAsia"/>
        </w:rPr>
        <w:t xml:space="preserve">相同基础运动序列为六次“0→80km/h、0.15g驱动；80→0、0.6g制动；停歇20s”，之后冷却600s。整车直流限充30kW仍按M1两台合计，单侧热源不乘2。总时长833.263s。停歇显式停用电驱，未计拖曳及空载热。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场景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加载热源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仅电机与减速器内部损耗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同运动序列的受控热源消融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仅盘片摩擦热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同序列另一消融，不是现实中零驱动损耗的整车循环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全部上述热源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参考时序的共同热作用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D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预热后共同热源循环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第一次驱动后插入60s、80km/h、0.18rad坡道预热，总893.263s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D的单侧轴端机械功率约41.18kW，M1瞬时转矩/速度/功率包络通过；</w:t>
      </w:r>
      <w:r>
        <w:rPr>
          <w:rFonts w:hint="eastAsia"/>
          <w:b/>
          <w:bCs/>
        </w:rPr>
        <w:t xml:space="preserve">60s持续能力未验证</w:t>
      </w:r>
      <w:r>
        <w:rPr>
          <w:rFonts w:hint="eastAsia"/>
        </w:rPr>
        <w:t xml:space="preserve">，它是工程热应力场景，不能用60kW参考峰值或18s测试去证明该连续工况真实可用。</w:t>
      </w:r>
    </w:p>
    <w:bookmarkEnd w:id="30"/>
    <w:bookmarkStart w:id="34" w:name="保守源项重采样及积分"/>
    <w:p>
      <w:pPr>
        <w:pStyle w:val="Heading2"/>
      </w:pPr>
      <w:r>
        <w:t xml:space="preserve">4.2 </w:t>
      </w:r>
      <w:r>
        <w:rPr>
          <w:rFonts w:hint="eastAsia"/>
        </w:rPr>
        <w:t xml:space="preserve">保守源项重采样及积分</w:t>
      </w:r>
    </w:p>
    <w:p>
      <w:pPr>
        <w:pStyle w:val="FirstParagraph"/>
      </w:pPr>
      <w:r>
        <w:rPr>
          <w:rFonts w:hint="eastAsia"/>
        </w:rPr>
        <w:t xml:space="preserve">每个M1原分段以线性功率的解析原函数重采样，目标区间加载精确平均功率：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Q</m:t>
                  </m:r>
                </m:e>
              </m:ba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sSub>
                <m:e>
                  <m:r>
                    <m:t>Q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不同物理分段不跨界插值。名义最大步长0.25s，温度与边界/路径累计热量使用同一显式RK4求积。输入热量重采样残差约</w:t>
      </w:r>
      <m:oMath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J。瞬时CSV热流为右侧状态诊断值，不能用其粗步长梯形积分替代原RK4累计账本后要求同样舍入残差。</w:t>
      </w:r>
    </w:p>
    <w:p>
      <w:pPr>
        <w:pStyle w:val="CaptionedFigure"/>
      </w:pPr>
      <w:r>
        <w:drawing>
          <wp:inline>
            <wp:extent cx="6045200" cy="3817043"/>
            <wp:effectExtent b="0" l="0" r="0" t="0"/>
            <wp:docPr descr="S3概念预测：四场景13节点平均温度；颜色在全部场景中一致。曲线不代表样机测试。" title="" id="32" name="Picture"/>
            <a:graphic>
              <a:graphicData uri="http://schemas.openxmlformats.org/drawingml/2006/picture">
                <pic:pic>
                  <pic:nvPicPr>
                    <pic:cNvPr descr="../results/m2/node_temperatur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81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S3概念预测：四场景13节点平均温度；颜色在全部场景中一致。曲线不代表样机测试。</w:t>
      </w:r>
    </w:p>
    <w:bookmarkEnd w:id="34"/>
    <w:bookmarkEnd w:id="35"/>
    <w:bookmarkStart w:id="42" w:name="温度结果与多热源影响"/>
    <w:p>
      <w:pPr>
        <w:pStyle w:val="Heading1"/>
      </w:pPr>
      <w:r>
        <w:t xml:space="preserve">5. </w:t>
      </w:r>
      <w:r>
        <w:rPr>
          <w:rFonts w:hint="eastAsia"/>
        </w:rPr>
        <w:t xml:space="preserve">温度结果与多热源影响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场景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盘峰值°C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减速器壳峰值°C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油等效峰值°C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绕组峰值°C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A </w:t>
            </w:r>
            <w:r>
              <w:rPr>
                <w:rFonts w:hint="eastAsia"/>
                <w:sz w:val="19"/>
              </w:rPr>
              <w:t xml:space="preserve">内部损耗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25.93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31.38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37.10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57.61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B </w:t>
            </w:r>
            <w:r>
              <w:rPr>
                <w:rFonts w:hint="eastAsia"/>
                <w:sz w:val="19"/>
              </w:rPr>
              <w:t xml:space="preserve">摩擦热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109.52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26.84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26.92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25.03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C </w:t>
            </w:r>
            <w:r>
              <w:rPr>
                <w:rFonts w:hint="eastAsia"/>
                <w:sz w:val="19"/>
              </w:rPr>
              <w:t xml:space="preserve">共同热源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109.63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32.96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37.61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57.61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D </w:t>
            </w:r>
            <w:r>
              <w:rPr>
                <w:rFonts w:hint="eastAsia"/>
                <w:sz w:val="19"/>
              </w:rPr>
              <w:t xml:space="preserve">预热后循环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110.01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40.89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53.01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75.63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A没有摩擦热，盘仍可被较热的电驱/轴系加热约0.93K，体现传热可逆。D较高的电机温度主要与牵引预热有关，不能全部归因于制动盘热侵入。</w:t>
      </w:r>
    </w:p>
    <w:p>
      <w:pPr>
        <w:pStyle w:val="BodyText"/>
      </w:pPr>
      <w:r>
        <w:rPr>
          <w:rFonts w:hint="eastAsia"/>
        </w:rPr>
        <w:t xml:space="preserve">在相同基础时间轴上，定义摩擦热额外影响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。其最大值：减速器壳约1.835K、油1.920K、输出轴轴承4.720K、电机壳0.142K、定子0.048K、绕组0.0333K、转子/其他0.0218K。</w:t>
      </w:r>
      <w:r>
        <w:rPr>
          <w:rFonts w:hint="eastAsia"/>
          <w:b/>
          <w:bCs/>
        </w:rPr>
        <w:t xml:space="preserve">绕组峰值之差仅约0.000274K，而最大逐时温差为0.0333K</w:t>
      </w:r>
      <w:r>
        <w:rPr>
          <w:rFonts w:hint="eastAsia"/>
        </w:rPr>
        <w:t xml:space="preserve">，两者不能混用；延迟侵入更多出现在源项停止后的冷却阶段。</w:t>
      </w:r>
    </w:p>
    <w:p>
      <w:pPr>
        <w:pStyle w:val="BodyText"/>
      </w:pPr>
      <w:r>
        <w:rPr>
          <w:rFonts w:hint="eastAsia"/>
        </w:rPr>
        <w:t xml:space="preserve">这表明在当前候选热阻、热容与冷却下，制动热先影响轴/轴承和减速器，传到绕组较弱且滞后。它不证明其他实际布置也可忽略制动热，尤其接触、空气路径和冷却尚未标定。</w:t>
      </w:r>
    </w:p>
    <w:p>
      <w:pPr>
        <w:pStyle w:val="CaptionedFigure"/>
      </w:pPr>
      <w:r>
        <w:drawing>
          <wp:inline>
            <wp:extent cx="6045200" cy="3724300"/>
            <wp:effectExtent b="0" l="0" r="0" t="0"/>
            <wp:docPr descr="S3受控源项比较：A/B/C在同一运动时间轴上的盘、壳体与绕组温度。" title="" id="37" name="Picture"/>
            <a:graphic>
              <a:graphicData uri="http://schemas.openxmlformats.org/drawingml/2006/picture">
                <pic:pic>
                  <pic:nvPicPr>
                    <pic:cNvPr descr="../results/m2/source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7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S3受控源项比较：A/B/C在同一运动时间轴上的盘、壳体与绕组温度。</w:t>
      </w:r>
    </w:p>
    <w:p>
      <w:pPr>
        <w:pStyle w:val="CaptionedFigure"/>
      </w:pPr>
      <w:r>
        <w:drawing>
          <wp:inline>
            <wp:extent cx="6045200" cy="2529850"/>
            <wp:effectExtent b="0" l="0" r="0" t="0"/>
            <wp:docPr descr="S3摩擦热额外影响：逐时C−A，单独放大电驱温差以显示延迟，不能用峰值相减替代。" title="" id="40" name="Picture"/>
            <a:graphic>
              <a:graphicData uri="http://schemas.openxmlformats.org/drawingml/2006/picture">
                <pic:pic>
                  <pic:nvPicPr>
                    <pic:cNvPr descr="../results/m2/additional_brake_influ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52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S3摩擦热额外影响：逐时C−A，单独放大电驱温差以显示延迟，不能用峰值相减替代。</w:t>
      </w:r>
    </w:p>
    <w:bookmarkEnd w:id="42"/>
    <w:bookmarkStart w:id="46" w:name="三条路径瞬时正向累计与净热量"/>
    <w:p>
      <w:pPr>
        <w:pStyle w:val="Heading1"/>
      </w:pPr>
      <w:r>
        <w:t xml:space="preserve">6. </w:t>
      </w:r>
      <w:r>
        <w:rPr>
          <w:rFonts w:hint="eastAsia"/>
        </w:rPr>
        <w:t xml:space="preserve">三条路径：瞬时、正向累计与净热量</w:t>
      </w:r>
    </w:p>
    <w:p>
      <w:pPr>
        <w:pStyle w:val="FirstParagraph"/>
      </w:pPr>
      <w:r>
        <w:rPr>
          <w:rFonts w:hint="eastAsia"/>
        </w:rPr>
        <w:t xml:space="preserve">为避免重复计数，电驱</w:t>
      </w:r>
      <w:r>
        <w:rPr>
          <w:rFonts w:hint="eastAsia"/>
          <w:b/>
          <w:bCs/>
        </w:rPr>
        <w:t xml:space="preserve">计账子域</w:t>
      </w:r>
      <w:r>
        <w:rPr>
          <w:rFonts w:hint="eastAsia"/>
        </w:rPr>
        <w:t xml:space="preserve">选为输出轴轴承、齿轮/油/壳体和电机节点，输出轴本身在该子域外单列储热；这是一种积分边界选择，不是机械零件归属。跨域边只有：辐射2条、局部空气→壳体1条、固体3条（轴→轴承、轴→齿轮、片/钳支架→壳体）。盘→轴与轴承→壳体仍逐边输出，但不再重复加进热侵入总量。</w:t>
      </w:r>
    </w:p>
    <w:p>
      <w:pPr>
        <w:pStyle w:val="BodyText"/>
      </w:pPr>
      <w:r>
        <w:rPr>
          <w:rFonts w:hint="eastAsia"/>
        </w:rPr>
        <w:t xml:space="preserve">每条跨域边正向定义为指入该子域：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sSub>
            <m:e>
              <m: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正向累计是每条跨界边的穿越累计量，不是唯一一次制动热粒子的追踪；不能把相反方向同时流动先相消后再算正部。净量则保留全部反向热流。路径通量本身没有热源起源标签；制动源的额外影响用A/B/C对比判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场景与路径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净入热kJ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  <w:jc w:val="right"/>
            </w:pPr>
            <w:r>
              <w:rPr>
                <w:rFonts w:hint="eastAsia"/>
                <w:b/>
                <w:sz w:val="19"/>
              </w:rPr>
              <w:t xml:space="preserve">正向累计kJ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C </w:t>
            </w:r>
            <w:r>
              <w:rPr>
                <w:rFonts w:hint="eastAsia"/>
                <w:sz w:val="19"/>
              </w:rPr>
              <w:t xml:space="preserve">辐射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1.021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1.040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有少量反向交换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C </w:t>
            </w:r>
            <w:r>
              <w:rPr>
                <w:rFonts w:hint="eastAsia"/>
                <w:sz w:val="19"/>
              </w:rPr>
              <w:t xml:space="preserve">热空气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1.883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1.912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随车速/冷却阶段改变方向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C </w:t>
            </w:r>
            <w:r>
              <w:rPr>
                <w:rFonts w:hint="eastAsia"/>
                <w:sz w:val="19"/>
              </w:rPr>
              <w:t xml:space="preserve">固体（含支架旁路）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4.757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8.072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早期电驱向外散热，后期盘轴向内传热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D </w:t>
            </w:r>
            <w:r>
              <w:rPr>
                <w:rFonts w:hint="eastAsia"/>
                <w:sz w:val="19"/>
              </w:rPr>
              <w:t xml:space="preserve">辐射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0.841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0.946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预热阶段也有反向交换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D </w:t>
            </w:r>
            <w:r>
              <w:rPr>
                <w:rFonts w:hint="eastAsia"/>
                <w:sz w:val="19"/>
              </w:rPr>
              <w:t xml:space="preserve">热空气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−2.622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0.027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全程净向外，不等于从未发生正向侵入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D </w:t>
            </w:r>
            <w:r>
              <w:rPr>
                <w:rFonts w:hint="eastAsia"/>
                <w:sz w:val="19"/>
              </w:rPr>
              <w:t xml:space="preserve">固体（含支架旁路）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−4.160</w:t>
            </w:r>
          </w:p>
        </w:tc>
        <w:tc>
          <w:tcPr/>
          <w:p>
            <w:pPr>
              <w:pStyle w:val="Compact"/>
              <w:spacing w:after="60" w:line="252" w:lineRule="auto"/>
              <w:jc w:val="right"/>
            </w:pPr>
            <w:r>
              <w:rPr>
                <w:sz w:val="19"/>
              </w:rPr>
              <w:t xml:space="preserve">6.442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预热后的反向散热大于后来正向侵入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中固体路径正向累计最大，但这些不是可直接相加的温升贡献率。三个C路径移除工况已分别求解；移除路径同时改变原有散热与储热。某些节点峰值反而上升，例如关掉固体跨界路径会使绕组峰值略升，不能将其解释成“固体导热不会带来热侵入”。</w:t>
      </w:r>
    </w:p>
    <w:p>
      <w:pPr>
        <w:pStyle w:val="CaptionedFigure"/>
      </w:pPr>
      <w:r>
        <w:drawing>
          <wp:inline>
            <wp:extent cx="6045200" cy="3734895"/>
            <wp:effectExtent b="0" l="0" r="0" t="0"/>
            <wp:docPr descr="S3有符号路径热流及累计量：实线为净量，虚线为逐边正向累计；全部按唯一跨域边计数。" title="" id="44" name="Picture"/>
            <a:graphic>
              <a:graphicData uri="http://schemas.openxmlformats.org/drawingml/2006/picture">
                <pic:pic>
                  <pic:nvPicPr>
                    <pic:cNvPr descr="../results/m2/path_heat_flow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73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S3有符号路径热流及累计量：实线为净量，虚线为逐边正向累计；全部按唯一跨域边计数。</w:t>
      </w:r>
    </w:p>
    <w:bookmarkEnd w:id="46"/>
    <w:bookmarkStart w:id="47" w:name="总能量验证数值测试与独立复核"/>
    <w:p>
      <w:pPr>
        <w:pStyle w:val="Heading1"/>
      </w:pPr>
      <w:r>
        <w:t xml:space="preserve">7. </w:t>
      </w:r>
      <w:r>
        <w:rPr>
          <w:rFonts w:hint="eastAsia"/>
        </w:rPr>
        <w:t xml:space="preserve">总能量验证、数值测试与独立复核</w:t>
      </w:r>
    </w:p>
    <w:p>
      <w:pPr>
        <w:pStyle w:val="FirstParagraph"/>
      </w:pPr>
      <w:r>
        <w:rPr>
          <w:rFonts w:hint="eastAsia"/>
        </w:rPr>
        <w:t xml:space="preserve">全网络检查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c</m:t>
              </m:r>
              <m:r>
                <m:t>o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子域另检查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o</m:t>
              </m:r>
              <m:r>
                <m:t>u</m:t>
              </m:r>
              <m:r>
                <m:t>r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t>e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  <m:r>
                <m:t>a</m:t>
              </m:r>
              <m:r>
                <m:t>r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所有内部边对全网络严格抵消。C的单侧实际加载热427.148kJ、环境净带走78.683kJ、冷却净带走39.329kJ、期末储热309.136kJ，闭合；833s结束时仍有明显储热，不把600s冷却误称完全冷却。逆变器约51.751kJ不在该热域内，没有误计入绕组或上述热量。</w:t>
      </w:r>
    </w:p>
    <w:p>
      <w:pPr>
        <w:pStyle w:val="BodyText"/>
      </w:pPr>
      <w:r>
        <w:rPr>
          <w:rFonts w:hint="eastAsia"/>
        </w:rPr>
        <w:t xml:space="preserve">11组MATLAB测试覆盖被动拓扑/唯一截面、辐射绝对K及正反方向、独立单热容指数冷却、封闭非均温网络守恒、无源趋近等温热库、热冷却液倒流、M1接口与重采样、源项消融、正向/净量区分、步长收敛及参数缺失/严格模式报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检查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实际结果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软件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MATLAB25.1.0.2943329/R2025a，实际运行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主计算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4主场景+3路径干预+18敏感性，全部通过内部能量断言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全网络能量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7主/干预场景最大相对残差5.28×10⁻¹⁴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电驱子域能量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最大绝对残差约1.50×10⁻⁸J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C步长0.5/0.25/0.125s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粗/细峰值最大差0.03864K；名义/细0.001203K，限0.05K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D名义/细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峰值最大差约0.0016K，小于0.05K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无源、初温高30K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24,000s后最大残余温差0.000657K，小于0.1K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Python独立检查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7场景源项、储热、环境/冷却及跨域账本通过；最大相对残差1.45×10⁻¹³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自适应SciPy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RK45复核C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相同区间平均源项，温度最大差0.002916K，小于事先0.01K判据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实体实验、M3/CAD、ANSYS、Fluent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NOT EXECUTED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初次无源测试观察窗12,000s结束时仍约0.17K，未达到0.1K判据。保留失败和诊断日志；诊断最慢线性化时间常数约两千秒，延长至24,000s，未放宽判据。该失败是有限观察窗不足，不假装初次通过。</w:t>
      </w:r>
    </w:p>
    <w:p>
      <w:pPr>
        <w:pStyle w:val="BodyText"/>
      </w:pPr>
      <w:r>
        <w:rPr>
          <w:rFonts w:hint="eastAsia"/>
        </w:rPr>
        <w:t xml:space="preserve">MATLAB导出高密度矢量图时提示耗时/文件较大；这是绘图性能提示，未当作数值失败或隐去。最终日志与另存的布局刷新日志分开。Python用独立实现的储热/边界/瞬时边通量及自适应积分复核，未以分项守恒代替热网络能量验证。</w:t>
      </w:r>
    </w:p>
    <w:bookmarkEnd w:id="47"/>
    <w:bookmarkStart w:id="51" w:name="热参数及热源总量不确定性"/>
    <w:p>
      <w:pPr>
        <w:pStyle w:val="Heading1"/>
      </w:pPr>
      <w:r>
        <w:t xml:space="preserve">8. </w:t>
      </w:r>
      <w:r>
        <w:rPr>
          <w:rFonts w:hint="eastAsia"/>
        </w:rPr>
        <w:t xml:space="preserve">热参数及热源总量不确定性</w:t>
      </w:r>
    </w:p>
    <w:p>
      <w:pPr>
        <w:pStyle w:val="FirstParagraph"/>
      </w:pPr>
      <w:r>
        <w:rPr>
          <w:rFonts w:hint="eastAsia"/>
        </w:rPr>
        <w:t xml:space="preserve">8个参数分别取下/上端点，共16次；再加两组M1分项的联合端点，共18次。所有区间为S3探索范围，不是温度置信区间，不保证真实总成落在其中。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参数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探索范围</w:t>
            </w:r>
          </w:p>
        </w:tc>
        <w:tc>
          <w:tcPr>
            <w:shd w:fill="EAF0F7"/>
          </w:tcPr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9"/>
              </w:rPr>
              <w:t xml:space="preserve">结果说明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所有热容尺度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0.6–1.4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绕组峰值约69.95–50.94°C，幅度远大于本次摩擦热延迟影响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9组接触/安装等效R尺度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0.3–3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绕组约45.65–68.43°C；同时改变内部散热和外部侵入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对流尺度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0.5–2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改变盘冷却、局部空气温度及壳体交换，不能单独由车速认证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液冷G尺度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0.5–2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未标定总冷却能力；固定入口热库不等于真实泵/水套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内部辐射交换尺度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0.5–1.5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包含有效面积/灰体系数误差的有限探索，不穷尽几何遮挡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电机联合损耗尺度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0.8–1.2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铜/铁/转子其他与外置逆变器相关分项共同缩放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减速器总损耗尺度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0.7–1.3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三类齿轮箱分项共同缩放；减速器壳峰值约31.28–34.69°C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冷却液温度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sz w:val="19"/>
              </w:rPr>
              <w:t xml:space="preserve">298.15–333.15K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sz w:val="19"/>
              </w:rPr>
              <w:t xml:space="preserve">热冷却液可向网络加热，不能称为负损耗或截断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两组M1联合分配场景使绕组峰值约60.99°C和51.15°C，保存实际参数向量，不是把每个热源独立上界同时加载。改变逆变器分配时，热域内/外热量相应改变，但M1联合预算仍守恒。</w:t>
      </w:r>
    </w:p>
    <w:p>
      <w:pPr>
        <w:pStyle w:val="BodyText"/>
      </w:pPr>
      <w:r>
        <w:rPr>
          <w:rFonts w:hint="eastAsia"/>
        </w:rPr>
        <w:t xml:space="preserve">电机和减速器总损耗误差分析是固定运动/控制时序下的热源扰动，未重算电池限充及再生控制，也不冒称新的整车能量账本闭合。空载拖曳、搅油和停用电驱损耗仍未建立；乘法尺度不能补出基准为零的遗漏热量。绕组电阻、油黏度、材料cp/k和冷却的温度反馈未闭环，没有在M1预算之外再叠加3RI²。</w:t>
      </w:r>
    </w:p>
    <w:p>
      <w:pPr>
        <w:pStyle w:val="CaptionedFigure"/>
      </w:pPr>
      <w:r>
        <w:drawing>
          <wp:inline>
            <wp:extent cx="6045200" cy="2747818"/>
            <wp:effectExtent b="0" l="0" r="0" t="0"/>
            <wp:docPr descr="S3单因素热参数与总损耗误差敏感性：成对端点相对C的峰值温度变化，不是概率区间。" title="" id="49" name="Picture"/>
            <a:graphic>
              <a:graphicData uri="http://schemas.openxmlformats.org/drawingml/2006/picture">
                <pic:pic>
                  <pic:nvPicPr>
                    <pic:cNvPr descr="../results/m2/parameter_sensitivi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S3单因素热参数与总损耗误差敏感性：成对端点相对C的峰值温度变化，不是概率区间。</w:t>
      </w:r>
    </w:p>
    <w:bookmarkEnd w:id="51"/>
    <w:bookmarkStart w:id="52" w:name="交付验收状态及关键缺口"/>
    <w:p>
      <w:pPr>
        <w:pStyle w:val="Heading1"/>
      </w:pPr>
      <w:r>
        <w:t xml:space="preserve">9. </w:t>
      </w:r>
      <w:r>
        <w:rPr>
          <w:rFonts w:hint="eastAsia"/>
        </w:rPr>
        <w:t xml:space="preserve">交付、验收状态及关键缺口</w:t>
      </w:r>
    </w:p>
    <w:p>
      <w:pPr>
        <w:pStyle w:val="FirstParagraph"/>
      </w:pPr>
      <w:r>
        <w:rPr>
          <w:rFonts w:hint="eastAsia"/>
        </w:rPr>
        <w:t xml:space="preserve">代码与复现命令见</w:t>
      </w:r>
      <w:r>
        <w:t xml:space="preserve"> </w:t>
      </w:r>
      <w:r>
        <w:rPr>
          <w:rStyle w:val="VerbatimChar"/>
        </w:rPr>
        <w:t xml:space="preserve">scripts/m2/README.md</w:t>
      </w:r>
      <w:r>
        <w:rPr>
          <w:rFonts w:hint="eastAsia"/>
        </w:rPr>
        <w:t xml:space="preserve">；独立配置为</w:t>
      </w:r>
      <w:r>
        <w:t xml:space="preserve"> </w:t>
      </w:r>
      <w:r>
        <w:rPr>
          <w:rStyle w:val="VerbatimChar"/>
        </w:rPr>
        <w:t xml:space="preserve">configs/m2_thermal_network.yaml</w:t>
      </w:r>
      <w:r>
        <w:t xml:space="preserve">。</w:t>
      </w:r>
      <w:r>
        <w:rPr>
          <w:rStyle w:val="VerbatimChar"/>
        </w:rPr>
        <w:t xml:space="preserve">results/m2/cases/</w:t>
      </w:r>
      <w:r>
        <w:rPr>
          <w:rFonts w:hint="eastAsia"/>
        </w:rPr>
        <w:t xml:space="preserve">保存7场景完整温度、逐边瞬时/累计热流、源项区间及JSON；MAT保存全部主场景与18敏感性场景的温度/路径累计结果、参数及汇总，避免重复存储CSV已有的全部矩阵；所有详细逐边数据仍在CSV。另存拓扑、温度、路径、差值、敏感性PNG/SVG、测试、实际日志、源/输出哈希及编译网络。</w:t>
      </w:r>
    </w:p>
    <w:p>
      <w:pPr>
        <w:pStyle w:val="BodyText"/>
      </w:pPr>
      <w:r>
        <w:rPr>
          <w:rFonts w:hint="eastAsia"/>
        </w:rPr>
        <w:t xml:space="preserve">复核表为</w:t>
      </w:r>
      <w:r>
        <w:t xml:space="preserve"> </w:t>
      </w:r>
      <w:r>
        <w:rPr>
          <w:rStyle w:val="VerbatimChar"/>
        </w:rPr>
        <w:t xml:space="preserve">reports/M2_ACCEPTANCE_CHECKLIST.md</w:t>
      </w:r>
      <w:r>
        <w:rPr>
          <w:rFonts w:hint="eastAsia"/>
        </w:rPr>
        <w:t xml:space="preserve">。本阶段可以送审“守恒、可追溯、有参数化不确定性的概念瞬态热网络”，但</w:t>
      </w:r>
      <w:r>
        <w:rPr>
          <w:rFonts w:hint="eastAsia"/>
          <w:b/>
          <w:bCs/>
        </w:rPr>
        <w:t xml:space="preserve">尚未取得真实温度标定</w:t>
      </w:r>
      <w:r>
        <w:rPr>
          <w:rFonts w:hint="eastAsia"/>
        </w:rPr>
        <w:t xml:space="preserve">，M1真实损耗仍PARTIAL；所有重要物理未知量保留null/NaN。</w:t>
      </w:r>
    </w:p>
    <w:p>
      <w:pPr>
        <w:pStyle w:val="BodyText"/>
      </w:pPr>
      <w:r>
        <w:rPr>
          <w:rFonts w:hint="eastAsia"/>
        </w:rPr>
        <w:t xml:space="preserve">优先补充：实际盘/钳/轴/轴承/齿轮/油/壳体质量与尺寸、热接触及法兰结构、真实辐射视角与表面状态、内移盘气流和通风、冷却液温度/流量/水套换热、材料温变、原始电流/损耗与实测温度、空载拖曳及搅油图、实际高负载连续能力。平均LPTN温度不能替代热点、结构强度、密封/轴承温限、安装可行性或制动法规验证。</w:t>
      </w:r>
    </w:p>
    <w:p>
      <w:pPr>
        <w:pStyle w:val="BodyText"/>
      </w:pPr>
      <w:r>
        <w:rPr>
          <w:rFonts w:hint="eastAsia"/>
        </w:rPr>
        <w:t xml:space="preserve">M2已获上述限定概念范围批准；真实几何、热阻、换热和温度标定尚未完成。只有M2-v1.0远端归档核验成功后才获准开展M3几何；M4</w:t>
      </w:r>
      <w:r>
        <w:t xml:space="preserve"> </w:t>
      </w:r>
      <w:r>
        <w:rPr>
          <w:rFonts w:hint="eastAsia"/>
        </w:rPr>
        <w:t xml:space="preserve">ANSYS及Fluent未执行，须另行批准。</w:t>
      </w:r>
    </w:p>
    <w:bookmarkEnd w:id="52"/>
    <w:bookmarkStart w:id="61" w:name="主要引用"/>
    <w:p>
      <w:pPr>
        <w:pStyle w:val="Heading1"/>
      </w:pPr>
      <w:r>
        <w:t xml:space="preserve">10. </w:t>
      </w:r>
      <w:r>
        <w:rPr>
          <w:rFonts w:hint="eastAsia"/>
        </w:rPr>
        <w:t xml:space="preserve">主要引用</w:t>
      </w:r>
    </w:p>
    <w:p>
      <w:pPr>
        <w:pStyle w:val="Compact"/>
        <w:numPr>
          <w:ilvl w:val="0"/>
          <w:numId w:val="1001"/>
        </w:numPr>
      </w:pPr>
      <w:r>
        <w:t xml:space="preserve">ORNL.</w:t>
      </w:r>
      <w:r>
        <w:t xml:space="preserve"> </w:t>
      </w:r>
      <w:r>
        <w:rPr>
          <w:i/>
          <w:iCs/>
        </w:rPr>
        <w:t xml:space="preserve">Evaluation of the 2010 Toyota Prius Hybrid Synergy Drive System</w:t>
      </w:r>
      <w:r>
        <w:t xml:space="preserve">. </w:t>
      </w:r>
      <w:r>
        <w:rPr>
          <w:rFonts w:hint="eastAsia"/>
        </w:rPr>
        <w:t xml:space="preserve">2011-03，表2.7。</w:t>
      </w:r>
      <w:hyperlink r:id="rId53">
        <w:r>
          <w:rPr>
            <w:rStyle w:val="Hyperlink"/>
            <w:rFonts w:hint="eastAsia"/>
          </w:rPr>
          <w:t xml:space="preserve">官方PDF</w:t>
        </w:r>
      </w:hyperlink>
      <w:r>
        <w:rPr>
          <w:rFonts w:hint="eastAsia"/>
        </w:rPr>
        <w:t xml:space="preserve">，只读复用M0原件。</w:t>
      </w:r>
    </w:p>
    <w:p>
      <w:pPr>
        <w:pStyle w:val="Compact"/>
        <w:numPr>
          <w:ilvl w:val="0"/>
          <w:numId w:val="1001"/>
        </w:numPr>
      </w:pPr>
      <w:r>
        <w:t xml:space="preserve">NIST Chemistry WebBook </w:t>
      </w:r>
      <w:r>
        <w:rPr>
          <w:rFonts w:hint="eastAsia"/>
        </w:rPr>
        <w:t xml:space="preserve">SRD69，Chase1998固相Shomate资料：</w:t>
      </w:r>
      <w:hyperlink r:id="rId54">
        <w:r>
          <w:rPr>
            <w:rStyle w:val="Hyperlink"/>
          </w:rPr>
          <w:t xml:space="preserve">Cu</w:t>
        </w:r>
      </w:hyperlink>
      <w:r>
        <w:t xml:space="preserve">、</w:t>
      </w:r>
      <w:hyperlink r:id="rId55">
        <w:r>
          <w:rPr>
            <w:rStyle w:val="Hyperlink"/>
          </w:rPr>
          <w:t xml:space="preserve">Al</w:t>
        </w:r>
      </w:hyperlink>
      <w:r>
        <w:t xml:space="preserve">、</w:t>
      </w:r>
      <w:hyperlink r:id="rId56">
        <w:r>
          <w:rPr>
            <w:rStyle w:val="Hyperlink"/>
          </w:rPr>
          <w:t xml:space="preserve">Fe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Xiao S., Griffo A.</w:t>
      </w:r>
      <w:r>
        <w:t xml:space="preserve"> </w:t>
      </w:r>
      <w:r>
        <w:rPr>
          <w:i/>
          <w:iCs/>
        </w:rPr>
        <w:t xml:space="preserve">Online thermal parameter identification for permanent magnet synchronous machines</w:t>
      </w:r>
      <w:r>
        <w:t xml:space="preserve">. IET Electric Power Applications, 2020,14(12):2340–2347。</w:t>
      </w:r>
      <w:hyperlink r:id="rId57">
        <w:r>
          <w:rPr>
            <w:rStyle w:val="Hyperlink"/>
          </w:rPr>
          <w:t xml:space="preserve">DOI</w:t>
        </w:r>
      </w:hyperlink>
      <w:r>
        <w:rPr>
          <w:rFonts w:hint="eastAsia"/>
        </w:rPr>
        <w:t xml:space="preserve">。仅借鉴方法，不转用机器参数。</w:t>
      </w:r>
    </w:p>
    <w:p>
      <w:pPr>
        <w:pStyle w:val="Compact"/>
        <w:numPr>
          <w:ilvl w:val="0"/>
          <w:numId w:val="1001"/>
        </w:numPr>
      </w:pPr>
      <w:r>
        <w:t xml:space="preserve">Corley B., Carroll J., McDonald A.</w:t>
      </w:r>
      <w:r>
        <w:t xml:space="preserve"> </w:t>
      </w:r>
      <w:r>
        <w:rPr>
          <w:i/>
          <w:iCs/>
        </w:rPr>
        <w:t xml:space="preserve">Thermal modelling of a small wind turbine gearbox for condition monitoring</w:t>
      </w:r>
      <w:r>
        <w:t xml:space="preserve">. The Journal of Engineering, 2019(18):5335–5339。</w:t>
      </w:r>
      <w:hyperlink r:id="rId58">
        <w:r>
          <w:rPr>
            <w:rStyle w:val="Hyperlink"/>
          </w:rPr>
          <w:t xml:space="preserve">DOI</w:t>
        </w:r>
      </w:hyperlink>
      <w:r>
        <w:rPr>
          <w:rFonts w:hint="eastAsia"/>
        </w:rPr>
        <w:t xml:space="preserve">，M1已有CC</w:t>
      </w:r>
      <w:r>
        <w:t xml:space="preserve"> </w:t>
      </w:r>
      <w:r>
        <w:rPr>
          <w:rFonts w:hint="eastAsia"/>
        </w:rPr>
        <w:t xml:space="preserve">BY3.0公开PDF。</w:t>
      </w:r>
    </w:p>
    <w:p>
      <w:pPr>
        <w:pStyle w:val="Compact"/>
        <w:numPr>
          <w:ilvl w:val="0"/>
          <w:numId w:val="1001"/>
        </w:numPr>
      </w:pPr>
      <w:r>
        <w:t xml:space="preserve">Fluke Process Instruments.</w:t>
      </w:r>
      <w:r>
        <w:t xml:space="preserve"> </w:t>
      </w:r>
      <w:hyperlink r:id="rId59">
        <w:r>
          <w:rPr>
            <w:rStyle w:val="Hyperlink"/>
          </w:rPr>
          <w:t xml:space="preserve">Emissivity—Metals</w:t>
        </w:r>
      </w:hyperlink>
      <w:r>
        <w:rPr>
          <w:rFonts w:hint="eastAsia"/>
        </w:rPr>
        <w:t xml:space="preserve">。方法及表面/波段依赖参照，非本总成灰体标定。</w:t>
      </w:r>
    </w:p>
    <w:p>
      <w:pPr>
        <w:pStyle w:val="Compact"/>
        <w:numPr>
          <w:ilvl w:val="0"/>
          <w:numId w:val="1001"/>
        </w:numPr>
      </w:pPr>
      <w:r>
        <w:t xml:space="preserve">COMSOL.</w:t>
      </w:r>
      <w:r>
        <w:t xml:space="preserve"> </w:t>
      </w:r>
      <w:hyperlink r:id="rId60">
        <w:r>
          <w:rPr>
            <w:rStyle w:val="Hyperlink"/>
          </w:rPr>
          <w:t xml:space="preserve">Modeling Natural and Forced Convection</w:t>
        </w:r>
      </w:hyperlink>
      <w:r>
        <w:rPr>
          <w:rFonts w:hint="eastAsia"/>
        </w:rPr>
        <w:t xml:space="preserve">。换热边界方法参考，本轮未运行COMSOL或CFD。</w:t>
      </w:r>
    </w:p>
    <w:bookmarkEnd w:id="61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M2 概念瞬态热网络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9" Type="http://schemas.openxmlformats.org/officeDocument/2006/relationships/image" Target="media/rId39.png"/><Relationship Id="rId31" Type="http://schemas.openxmlformats.org/officeDocument/2006/relationships/image" Target="media/rId31.png"/><Relationship Id="rId48" Type="http://schemas.openxmlformats.org/officeDocument/2006/relationships/image" Target="media/rId48.png"/><Relationship Id="rId43" Type="http://schemas.openxmlformats.org/officeDocument/2006/relationships/image" Target="media/rId43.png"/><Relationship Id="rId36" Type="http://schemas.openxmlformats.org/officeDocument/2006/relationships/image" Target="media/rId36.png"/><Relationship Id="rId20" Type="http://schemas.openxmlformats.org/officeDocument/2006/relationships/image" Target="media/rId20.png"/><Relationship Id="rId57" Type="http://schemas.openxmlformats.org/officeDocument/2006/relationships/hyperlink" Target="https://doi.org/10.1049/iet-epa.2020.0119" TargetMode="External"/><Relationship Id="rId58" Type="http://schemas.openxmlformats.org/officeDocument/2006/relationships/hyperlink" Target="https://doi.org/10.1049/joe.2018.9282" TargetMode="External"/><Relationship Id="rId18" Type="http://schemas.openxmlformats.org/officeDocument/2006/relationships/hyperlink" Target="https://github.com/alan9900/Thermal-coupling-analysis-under-drive-control-integration/pull/3" TargetMode="External"/><Relationship Id="rId53" Type="http://schemas.openxmlformats.org/officeDocument/2006/relationships/hyperlink" Target="https://info.ornl.gov/sites/publications/files/Pub26762.pdf" TargetMode="External"/><Relationship Id="rId55" Type="http://schemas.openxmlformats.org/officeDocument/2006/relationships/hyperlink" Target="https://webbook.nist.gov/cgi/cbook.cgi?ID=C7429905&amp;Mask=2" TargetMode="External"/><Relationship Id="rId56" Type="http://schemas.openxmlformats.org/officeDocument/2006/relationships/hyperlink" Target="https://webbook.nist.gov/cgi/cbook.cgi?ID=C7439896&amp;Mask=2" TargetMode="External"/><Relationship Id="rId54" Type="http://schemas.openxmlformats.org/officeDocument/2006/relationships/hyperlink" Target="https://webbook.nist.gov/cgi/cbook.cgi?ID=C7440508&amp;Mask=2" TargetMode="External"/><Relationship Id="rId60" Type="http://schemas.openxmlformats.org/officeDocument/2006/relationships/hyperlink" Target="https://www.comsol.com/blogs/modeling-natural-and-forced-convection-in-comsol-multiphysics/" TargetMode="External"/><Relationship Id="rId59" Type="http://schemas.openxmlformats.org/officeDocument/2006/relationships/hyperlink" Target="https://www.flukeprocessinstruments.com/en-us/service-and-support/knowledge-center/infrared-technology/emissivity-metals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doi.org/10.1049/iet-epa.2020.0119" TargetMode="External"/><Relationship Id="rId58" Type="http://schemas.openxmlformats.org/officeDocument/2006/relationships/hyperlink" Target="https://doi.org/10.1049/joe.2018.9282" TargetMode="External"/><Relationship Id="rId18" Type="http://schemas.openxmlformats.org/officeDocument/2006/relationships/hyperlink" Target="https://github.com/alan9900/Thermal-coupling-analysis-under-drive-control-integration/pull/3" TargetMode="External"/><Relationship Id="rId53" Type="http://schemas.openxmlformats.org/officeDocument/2006/relationships/hyperlink" Target="https://info.ornl.gov/sites/publications/files/Pub26762.pdf" TargetMode="External"/><Relationship Id="rId55" Type="http://schemas.openxmlformats.org/officeDocument/2006/relationships/hyperlink" Target="https://webbook.nist.gov/cgi/cbook.cgi?ID=C7429905&amp;Mask=2" TargetMode="External"/><Relationship Id="rId56" Type="http://schemas.openxmlformats.org/officeDocument/2006/relationships/hyperlink" Target="https://webbook.nist.gov/cgi/cbook.cgi?ID=C7439896&amp;Mask=2" TargetMode="External"/><Relationship Id="rId54" Type="http://schemas.openxmlformats.org/officeDocument/2006/relationships/hyperlink" Target="https://webbook.nist.gov/cgi/cbook.cgi?ID=C7440508&amp;Mask=2" TargetMode="External"/><Relationship Id="rId60" Type="http://schemas.openxmlformats.org/officeDocument/2006/relationships/hyperlink" Target="https://www.comsol.com/blogs/modeling-natural-and-forced-convection-in-comsol-multiphysics/" TargetMode="External"/><Relationship Id="rId59" Type="http://schemas.openxmlformats.org/officeDocument/2006/relationships/hyperlink" Target="https://www.flukeprocessinstruments.com/en-us/service-and-support/knowledge-center/infrared-technology/emissivity-me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V0.4 单侧多热源瞬态热耦合模型：M2</dc:title>
  <dc:creator>研究模型与可复算审查</dc:creator>
  <cp:keywords/>
  <dcterms:created xsi:type="dcterms:W3CDTF">2026-10-20T03:40:29Z</dcterms:created>
  <dcterms:modified xsi:type="dcterms:W3CDTF">2026-10-20T03:40:29Z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S3 概念LPTN预测 · 概念范围验收通过 · 未经样机温度标定</vt:lpwstr>
  </property>
</Properties>
</file>