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M3 </w:t>
      </w:r>
      <w:r>
        <w:rPr>
          <w:rFonts w:hint="eastAsia"/>
        </w:rPr>
        <w:t xml:space="preserve">两级斜齿圆柱齿轮概念模型修订说明</w:t>
      </w:r>
    </w:p>
    <w:p>
      <w:pPr>
        <w:pStyle w:val="Date"/>
      </w:pPr>
      <w:r>
        <w:t xml:space="preserve">2026-10-20</w:t>
      </w:r>
    </w:p>
    <w:bookmarkStart w:id="22" w:name="结论与修改边界"/>
    <w:p>
      <w:pPr>
        <w:pStyle w:val="Heading1"/>
      </w:pPr>
      <w:r>
        <w:t xml:space="preserve">1. </w:t>
      </w:r>
      <w:r>
        <w:rPr>
          <w:rFonts w:hint="eastAsia"/>
        </w:rPr>
        <w:t xml:space="preserve">结论与修改边界</w:t>
      </w:r>
    </w:p>
    <w:p>
      <w:pPr>
        <w:pStyle w:val="FirstParagraph"/>
      </w:pPr>
      <w:r>
        <w:rPr>
          <w:rFonts w:hint="eastAsia"/>
        </w:rPr>
        <w:t xml:space="preserve">本轮已实际生成两级斜齿完整CAD和独立热分析候选CAD，固定原三轴空间坐标、100/120mm中心距、20/60齿、总速比9.0和50mm输出轴。Case0/A/B/C、轴承、壳体、电机、内移制动盘、卡钳及隔热导流结构保留。原直齿模型和既有M0/M1/M2归档均未覆盖。</w:t>
      </w:r>
    </w:p>
    <w:p>
      <w:pPr>
        <w:pStyle w:val="BodyText"/>
      </w:pPr>
      <w:r>
        <w:rPr>
          <w:rFonts w:hint="eastAsia"/>
        </w:rPr>
        <w:t xml:space="preserve">状态为</w:t>
      </w:r>
      <w:r>
        <w:t xml:space="preserve"> </w:t>
      </w:r>
      <w:r>
        <w:rPr>
          <w:b/>
          <w:bCs/>
        </w:rPr>
        <w:t xml:space="preserve">PASS_CONCEPT_GEOMETRY / </w:t>
      </w:r>
      <w:r>
        <w:rPr>
          <w:rFonts w:hint="eastAsia"/>
          <w:b/>
          <w:bCs/>
        </w:rPr>
        <w:t xml:space="preserve">M3整体PARTIAL</w:t>
      </w:r>
      <w:r>
        <w:rPr>
          <w:rFonts w:hint="eastAsia"/>
        </w:rPr>
        <w:t xml:space="preserve">：几何构建与本轮数值审查通过，不代表制造定型、轴承轴向承载通过或实际效率/温度标定。继续在stage/M3-geometry和PR</w:t>
      </w:r>
      <w:r>
        <w:t xml:space="preserve"> </w:t>
      </w:r>
      <w:r>
        <w:rPr>
          <w:rFonts w:hint="eastAsia"/>
        </w:rPr>
        <w:t xml:space="preserve">#4送审，不合并、不创建M3正式Tag、不进入M4。ANSYS与Fluent均NOT</w:t>
      </w:r>
      <w:r>
        <w:t xml:space="preserve"> EXECUTED。</w:t>
      </w:r>
    </w:p>
    <w:p>
      <w:pPr>
        <w:pStyle w:val="BodyText"/>
      </w:pPr>
      <w:r>
        <w:rPr>
          <w:rFonts w:hint="eastAsia"/>
        </w:rPr>
        <w:t xml:space="preserve">原参考电机来源仍是Toyota/ORNL</w:t>
      </w:r>
      <w:r>
        <w:t xml:space="preserve"> </w:t>
      </w:r>
      <w:r>
        <w:rPr>
          <w:rFonts w:hint="eastAsia"/>
        </w:rPr>
        <w:t xml:space="preserve">MG2；本两级减速器是S3概念设计，不能称为Prius量产传动机构。KHK公开技术资料支持端面/法向模数体系的区分及平行轴外啮合采用相反旋向，不是本总成的产品尺寸来源。</w:t>
      </w:r>
      <w:hyperlink r:id="rId18">
        <w:r>
          <w:rPr>
            <w:rStyle w:val="Hyperlink"/>
            <w:rFonts w:hint="eastAsia"/>
          </w:rPr>
          <w:t xml:space="preserve">KHK技术参考</w:t>
        </w:r>
      </w:hyperlink>
      <w:r>
        <w:rPr>
          <w:rFonts w:hint="eastAsia"/>
        </w:rPr>
        <w:t xml:space="preserve">，本地原始PDF及SHA256见data/raw/m3_helical。未直接套用KHK目录承载能力或效率结论。</w:t>
      </w:r>
    </w:p>
    <w:p>
      <w:pPr>
        <w:pStyle w:val="CaptionedFigure"/>
      </w:pPr>
      <w:r>
        <w:drawing>
          <wp:inline>
            <wp:extent cx="6045200" cy="3526366"/>
            <wp:effectExtent b="0" l="0" r="0" t="0"/>
            <wp:docPr descr="同基础总成，壳体透明；实际B-rep离散图，S3概念几何。" title="" id="20" name="Picture"/>
            <a:graphic>
              <a:graphicData uri="http://schemas.openxmlformats.org/drawingml/2006/picture">
                <pic:pic>
                  <pic:nvPicPr>
                    <pic:cNvPr descr="../results/m3_helical/assembly_helica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52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同基础总成，壳体透明；实际B-rep离散图，S3概念几何。</w:t>
      </w:r>
    </w:p>
    <w:bookmarkEnd w:id="22"/>
    <w:bookmarkStart w:id="23" w:name="固定中心距的参数推导"/>
    <w:p>
      <w:pPr>
        <w:pStyle w:val="Heading1"/>
      </w:pPr>
      <w:r>
        <w:t xml:space="preserve">2. </w:t>
      </w:r>
      <w:r>
        <w:rPr>
          <w:rFonts w:hint="eastAsia"/>
        </w:rPr>
        <w:t xml:space="preserve">固定中心距的参数推导</w:t>
      </w:r>
    </w:p>
    <w:p>
      <w:pPr>
        <w:pStyle w:val="FirstParagraph"/>
      </w:pPr>
      <w:r>
        <w:rPr>
          <w:rFonts w:hint="eastAsia"/>
        </w:rPr>
        <w:t xml:space="preserve">将原模数解释为端面模数，固定端面节圆与原端面20°压力角：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cos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rPr>
              <m:sty m:val="p"/>
            </m:rPr>
            <m:t>tan</m:t>
          </m:r>
          <m:sSub>
            <m:e>
              <m:r>
                <m:t>α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项目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一级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二级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齿数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单级速比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20/60 / 3.0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20/60 / 3.0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端面模数</w:t>
            </w:r>
            <w:r>
              <w:rPr>
                <w:sz w:val="18"/>
              </w:rPr>
              <w:t xml:space="preserve"> mm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3.0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法向模数</w:t>
            </w:r>
            <w:r>
              <w:rPr>
                <w:sz w:val="18"/>
              </w:rPr>
              <w:t xml:space="preserve"> mm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2.34923155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2.81907786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中心距</w:t>
            </w:r>
            <w:r>
              <w:rPr>
                <w:sz w:val="18"/>
              </w:rPr>
              <w:t xml:space="preserve"> mm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100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120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螺旋角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旋向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20° / </w:t>
            </w:r>
            <w:r>
              <w:rPr>
                <w:rFonts w:hint="eastAsia"/>
                <w:sz w:val="18"/>
              </w:rPr>
              <w:t xml:space="preserve">小RH、大LH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20° / </w:t>
            </w:r>
            <w:r>
              <w:rPr>
                <w:rFonts w:hint="eastAsia"/>
                <w:sz w:val="18"/>
              </w:rPr>
              <w:t xml:space="preserve">小RH、大LH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轴向范围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齿宽</w:t>
            </w:r>
            <w:r>
              <w:rPr>
                <w:sz w:val="18"/>
              </w:rPr>
              <w:t xml:space="preserve"> mm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33–58 / 25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95–127 / 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端面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法向压力角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20° / 18.881721°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20° / 18.881721°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小齿轮实际扭转角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20.853958°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22.244222°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大齿轮实际扭转角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-6.951319°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-7.414741°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/>
            </w:pPr>
            <w:r>
              <w:rPr>
                <w:rFonts w:hint="eastAsia"/>
                <w:sz w:val="18"/>
              </w:rPr>
              <w:t xml:space="preserve">轴向重合度候选</w:t>
            </w:r>
          </w:p>
        </w:tc>
        <w:tc>
          <w:tcPr/>
          <w:p>
            <w:pPr>
              <w:pStyle w:val="Compact"/>
              <w:keepNext w:val="0"/>
              <w:spacing w:after="60"/>
            </w:pPr>
            <w:r>
              <w:rPr>
                <w:sz w:val="18"/>
              </w:rPr>
              <w:t xml:space="preserve">1.1586</w:t>
            </w:r>
          </w:p>
        </w:tc>
        <w:tc>
          <w:tcPr/>
          <w:p>
            <w:pPr>
              <w:pStyle w:val="Compact"/>
              <w:keepNext w:val="0"/>
              <w:spacing w:after="60"/>
            </w:pPr>
            <w:r>
              <w:rPr>
                <w:sz w:val="18"/>
              </w:rPr>
              <w:t xml:space="preserve">1.2358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级法向模数均为非标准候选值。沿用原端面全齿高：齿顶高=mt、齿根高=1.25mt；因此法向齿高系数相应为1/cosβ和1.25/cosβ，而不是声称采用标准法向全齿高刀具。无变位，无根部圆角与修形设计；这些选择只定义概念几何。若今后要求标准法向模数，需要重新协商齿数、中心距或变位，不属于本轮。</w:t>
      </w:r>
    </w:p>
    <w:p>
      <w:pPr>
        <w:pStyle w:val="BodyText"/>
      </w:pPr>
      <w:r>
        <w:rPr>
          <w:rFonts w:hint="eastAsia"/>
        </w:rPr>
        <w:t xml:space="preserve">一级节圆直径50/150mm，齿顶直径55/155mm；二级节圆60/180mm，齿顶66/186mm，均保留。0.15mm为原代码的单齿端面齿厚减薄参数，不是实测总啮合侧隙。</w:t>
      </w:r>
    </w:p>
    <w:p>
      <w:pPr>
        <w:pStyle w:val="BodyText"/>
      </w:pPr>
      <w:r>
        <w:rPr>
          <w:rFonts w:hint="eastAsia"/>
        </w:rPr>
        <w:t xml:space="preserve">固定坐标（所有轴沿+x，单位mm）：输入(y,z)=(120,100)，中间=(120,0)，输出=(0,0)。中间轴一级大齿轮33–58mm、二级一体小齿轮95–127mm，端面间37mm；有效重叠齿宽分别25/32mm，未移动轴肩、轴承或挡圈。</w:t>
      </w:r>
    </w:p>
    <w:bookmarkEnd w:id="23"/>
    <w:bookmarkStart w:id="30" w:name="螺旋实体及啮合实现"/>
    <w:p>
      <w:pPr>
        <w:pStyle w:val="Heading1"/>
      </w:pPr>
      <w:r>
        <w:t xml:space="preserve">3. </w:t>
      </w:r>
      <w:r>
        <w:rPr>
          <w:rFonts w:hint="eastAsia"/>
        </w:rPr>
        <w:t xml:space="preserve">螺旋实体及啮合实现</w:t>
      </w:r>
    </w:p>
    <w:p>
      <w:pPr>
        <w:pStyle w:val="FirstParagraph"/>
      </w:pPr>
      <w:r>
        <w:rPr>
          <w:rFonts w:hint="eastAsia"/>
        </w:rPr>
        <w:t xml:space="preserve">以齿宽中面保持原齿轮相位，避免直接扭转前端导致原相位失配：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+</m:t>
          </m:r>
          <m:r>
            <m:t>h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β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m</m:t>
              </m:r>
              <m:r>
                <m:t>i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  <m:r>
            <m:t> </m:t>
          </m:r>
          <m:r>
            <m:rPr>
              <m:sty m:val="p"/>
            </m:rPr>
            <m:t>(</m:t>
          </m:r>
          <m:r>
            <m:t>R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−</m:t>
          </m:r>
          <m:r>
            <m:t>1</m:t>
          </m:r>
          <m:r>
            <m:t> </m:t>
          </m:r>
          <m:r>
            <m:rPr>
              <m:sty m:val="p"/>
            </m:rPr>
            <m:t>(</m:t>
          </m:r>
          <m:r>
            <m:t>L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同一齿轮副中两轮的齿数加权扭转量互相抵消，保持沿齿宽的啮合定位；旋转检查使用大齿轮角位移=-小齿轮角位移/3。两级小齿轮均RH、大齿轮均LH，明确相对于同一+x轴定义。</w:t>
      </w:r>
    </w:p>
    <w:p>
      <w:pPr>
        <w:pStyle w:val="BodyText"/>
      </w:pPr>
      <w:r>
        <w:rPr>
          <w:rFonts w:hint="eastAsia"/>
        </w:rPr>
        <w:t xml:space="preserve">复用原端面渐开线轮廓，每侧6段近似，使用OpenCascade螺旋扫掠构造真正螺旋侧面，再切出圆柱轴孔及原键槽。小齿轮仍与输入/中间轴一体融合。不是直齿实体改名；也不是精确解析渐开线齿面、根部滚切包络或制造级CAD。</w:t>
      </w:r>
    </w:p>
    <w:p>
      <w:pPr>
        <w:pStyle w:val="BodyText"/>
      </w:pPr>
      <w:r>
        <w:rPr>
          <w:rFonts w:hint="eastAsia"/>
        </w:rPr>
        <w:t xml:space="preserve">从生成后的真实B-rep长边采样101点，展开角度独立反算法向轴线的节圆螺旋角，四轮均为±20°；端面齿顶顶点计数分别40/120，对应20/60齿。实际小齿轮跨宽扭转为20.853958°/22.244222°，大齿轮为−6.951319°/−7.414741°。此扭转角与螺旋角不是同一量。</w:t>
      </w:r>
    </w:p>
    <w:p>
      <w:pPr>
        <w:pStyle w:val="CaptionedFigure"/>
      </w:pPr>
      <w:r>
        <w:drawing>
          <wp:inline>
            <wp:extent cx="6045200" cy="3627119"/>
            <wp:effectExtent b="0" l="0" r="0" t="0"/>
            <wp:docPr descr="一级斜齿副：真实螺旋实体，概念齿形。" title="" id="25" name="Picture"/>
            <a:graphic>
              <a:graphicData uri="http://schemas.openxmlformats.org/drawingml/2006/picture">
                <pic:pic>
                  <pic:nvPicPr>
                    <pic:cNvPr descr="../results/m3_helical/stage1_helical_detai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一级斜齿副：真实螺旋实体，概念齿形。</w:t>
      </w:r>
    </w:p>
    <w:p>
      <w:pPr>
        <w:pStyle w:val="CaptionedFigure"/>
      </w:pPr>
      <w:r>
        <w:drawing>
          <wp:inline>
            <wp:extent cx="6045200" cy="3627119"/>
            <wp:effectExtent b="0" l="0" r="0" t="0"/>
            <wp:docPr descr="二级斜齿副：真实螺旋实体，概念齿形。" title="" id="28" name="Picture"/>
            <a:graphic>
              <a:graphicData uri="http://schemas.openxmlformats.org/drawingml/2006/picture">
                <pic:pic>
                  <pic:nvPicPr>
                    <pic:cNvPr descr="../results/m3_helical/stage2_helical_detai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二级斜齿副：真实螺旋实体，概念齿形。</w:t>
      </w:r>
    </w:p>
    <w:bookmarkEnd w:id="30"/>
    <w:bookmarkStart w:id="37" w:name="体积质量热容与热分析接口"/>
    <w:p>
      <w:pPr>
        <w:pStyle w:val="Heading1"/>
      </w:pPr>
      <w:r>
        <w:t xml:space="preserve">4. </w:t>
      </w:r>
      <w:r>
        <w:rPr>
          <w:rFonts w:hint="eastAsia"/>
        </w:rPr>
        <w:t xml:space="preserve">体积、质量、热容与热分析接口</w:t>
      </w:r>
    </w:p>
    <w:p>
      <w:pPr>
        <w:pStyle w:val="FirstParagraph"/>
      </w:pPr>
      <w:r>
        <w:rPr>
          <w:rFonts w:hint="eastAsia"/>
        </w:rPr>
        <w:t xml:space="preserve">材料沿用原S3钢候选密度7800kg/m³、比热460J/(kg·K)，没有新增材料标定：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ρ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ρ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t>V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齿轮热区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原质量</w:t>
            </w:r>
            <w:r>
              <w:rPr>
                <w:sz w:val="18"/>
              </w:rPr>
              <w:t xml:space="preserve"> kg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斜齿质量</w:t>
            </w:r>
            <w:r>
              <w:rPr>
                <w:sz w:val="18"/>
              </w:rPr>
              <w:t xml:space="preserve"> kg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原/新热容</w:t>
            </w:r>
            <w:r>
              <w:rPr>
                <w:sz w:val="18"/>
              </w:rPr>
              <w:t xml:space="preserve"> J/K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一级小齿轮（含轴芯）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0.370059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0.370059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170.226940 / 170.226938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二级小齿轮（含轴芯）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0.683087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0.683087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314.220184 / 314.220177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一级大齿轮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3.010859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3.010857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1384.995221 / 1384.994276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/>
            </w:pPr>
            <w:r>
              <w:rPr>
                <w:rFonts w:hint="eastAsia"/>
                <w:sz w:val="18"/>
              </w:rPr>
              <w:t xml:space="preserve">二级大齿轮</w:t>
            </w:r>
          </w:p>
        </w:tc>
        <w:tc>
          <w:tcPr/>
          <w:p>
            <w:pPr>
              <w:pStyle w:val="Compact"/>
              <w:keepNext w:val="0"/>
              <w:spacing w:after="60"/>
            </w:pPr>
            <w:r>
              <w:rPr>
                <w:sz w:val="18"/>
              </w:rPr>
              <w:t xml:space="preserve">5.499475</w:t>
            </w:r>
          </w:p>
        </w:tc>
        <w:tc>
          <w:tcPr/>
          <w:p>
            <w:pPr>
              <w:pStyle w:val="Compact"/>
              <w:keepNext w:val="0"/>
              <w:spacing w:after="60"/>
            </w:pPr>
            <w:r>
              <w:rPr>
                <w:sz w:val="18"/>
              </w:rPr>
              <w:t xml:space="preserve">5.499470</w:t>
            </w:r>
          </w:p>
        </w:tc>
        <w:tc>
          <w:tcPr/>
          <w:p>
            <w:pPr>
              <w:pStyle w:val="Compact"/>
              <w:keepNext w:val="0"/>
              <w:spacing w:after="60"/>
            </w:pPr>
            <w:r>
              <w:rPr>
                <w:sz w:val="18"/>
              </w:rPr>
              <w:t xml:space="preserve">2529.758570 / 2529.756313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完整零件及体积明细见volume_mass_capacity.csv，齿轮热区明细见gear_region_mass_capacity.csv。小齿轮行包含对应轴向片段的轴芯；整根轴的热容单独记录，不能再把小齿轮片段热容叠加到整轴。</w:t>
      </w:r>
    </w:p>
    <w:p>
      <w:pPr>
        <w:pStyle w:val="BodyText"/>
      </w:pPr>
      <w:r>
        <w:rPr>
          <w:rFonts w:hint="eastAsia"/>
        </w:rPr>
        <w:t xml:space="preserve">理想同截面螺旋扫掠保体积。本轮齿轮质量差异很小，主要来自扫掠B-spline/布尔积分数值误差；不是凭齿轮类型宣称质量降低。油库存随齿形重新裁剪，体积约变化−0.00551%，是必要占位修订，不表示已解出真实油面或动态搅油。</w:t>
      </w:r>
    </w:p>
    <w:p>
      <w:pPr>
        <w:pStyle w:val="BodyText"/>
      </w:pPr>
      <w:r>
        <w:rPr>
          <w:rFonts w:hint="eastAsia"/>
        </w:rPr>
        <w:t xml:space="preserve">热分析版保持与完整CAD相同基础结构：两只大齿轮用等体积平滑实体，保留键槽、孔、油库存避让及小齿轮扫掠间隙；一体斜齿小齿轮仍保留，以保持轴的导热连续性和热容。没有模拟螺旋齿面局部接触温度，也没有给齿面与平滑轮间虚构实接触面积。轴孔/键等安装接触保持，动态啮合导热系数仍null；后续应以等效接触或显式热源分配研究。</w:t>
      </w:r>
    </w:p>
    <w:p>
      <w:pPr>
        <w:pStyle w:val="BodyText"/>
      </w:pPr>
      <w:r>
        <w:rPr>
          <w:rFonts w:hint="eastAsia"/>
        </w:rPr>
        <w:t xml:space="preserve">所有方案逐体完整/热版热容相对误差最大1.8e-10。轴承仍是包络区，表中几何质量不是安装轴承真实质量；原installed_mass/C未知限制保留。</w:t>
      </w:r>
    </w:p>
    <w:p>
      <w:pPr>
        <w:pStyle w:val="BodyText"/>
      </w:pPr>
      <w:r>
        <w:rPr>
          <w:rFonts w:hint="eastAsia"/>
        </w:rPr>
        <w:t xml:space="preserve">独立映射configs/M3_helical_to_M4_mapping.json继承原热源合同，仅更新斜齿热区体积与归一化分配；不覆盖M2或原M3映射。M1减速器总损耗沿用原参数化模型，斜齿实际效率、空载/搅油/轴向承载增加的损耗未重新标定。总损耗仅作校验，不能与分项重复加载；逆变器不进入绕组，转子其他损耗不等于全部永磁体损耗。未重新运行M1/M2温度场。</w:t>
      </w:r>
    </w:p>
    <w:p>
      <w:pPr>
        <w:pStyle w:val="CaptionedFigure"/>
      </w:pPr>
      <w:r>
        <w:drawing>
          <wp:inline>
            <wp:extent cx="6045200" cy="2769190"/>
            <wp:effectExtent b="0" l="0" r="0" t="0"/>
            <wp:docPr descr="原直齿与新斜齿真实实体对照。" title="" id="32" name="Picture"/>
            <a:graphic>
              <a:graphicData uri="http://schemas.openxmlformats.org/drawingml/2006/picture">
                <pic:pic>
                  <pic:nvPicPr>
                    <pic:cNvPr descr="../results/m3_helical/spur_helical_comparis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76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原直齿与新斜齿真实实体对照。</w:t>
      </w:r>
    </w:p>
    <w:p>
      <w:pPr>
        <w:pStyle w:val="CaptionedFigure"/>
      </w:pPr>
      <w:r>
        <w:drawing>
          <wp:inline>
            <wp:extent cx="6045200" cy="2769190"/>
            <wp:effectExtent b="0" l="0" r="0" t="0"/>
            <wp:docPr descr="完整齿轮与热分析等体积候选；不是局部齿面温度模型。" title="" id="35" name="Picture"/>
            <a:graphic>
              <a:graphicData uri="http://schemas.openxmlformats.org/drawingml/2006/picture">
                <pic:pic>
                  <pic:nvPicPr>
                    <pic:cNvPr descr="../results/m3_helical/thermal_equivalen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769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完整齿轮与热分析等体积候选；不是局部齿面温度模型。</w:t>
      </w:r>
    </w:p>
    <w:bookmarkEnd w:id="37"/>
    <w:bookmarkStart w:id="38" w:name="轴向力量级及原有阻塞项"/>
    <w:p>
      <w:pPr>
        <w:pStyle w:val="Heading1"/>
      </w:pPr>
      <w:r>
        <w:t xml:space="preserve">5. </w:t>
      </w:r>
      <w:r>
        <w:rPr>
          <w:rFonts w:hint="eastAsia"/>
        </w:rPr>
        <w:t xml:space="preserve">轴向力量级及原有阻塞项</w:t>
      </w:r>
    </w:p>
    <w:p>
      <w:pPr>
        <w:pStyle w:val="FirstParagraph"/>
      </w:pPr>
      <w:r>
        <w:rPr>
          <w:rFonts w:hint="eastAsia"/>
        </w:rPr>
        <w:t xml:space="preserve">只作斜齿新增载荷数量级检查：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tan</m:t>
          </m:r>
          <m:r>
            <m:t>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取软件输入限扭130N·m，二级理想输入390N·m（此载荷上限估计不计传动损失）：一级切向5200N、轴向1892.645N；二级切向13000N、轴向4731.613N。+x施加输入转矩时，按实际螺旋几何的力正交关系，输入轴网格力+x、中间轴两处均−x、输出轴+x；中间轴合计约6624.258N，转矩反向则符号反转。两级采用上述旋向不保证中间轴推力抵消。</w:t>
      </w:r>
    </w:p>
    <w:p>
      <w:pPr>
        <w:pStyle w:val="BodyText"/>
      </w:pPr>
      <w:r>
        <w:rPr>
          <w:rFonts w:hint="eastAsia"/>
          <w:b/>
          <w:bCs/>
        </w:rPr>
        <w:t xml:space="preserve">轴承轴向能力、浮动端/定位端和挡圈承载仍BLOCKED</w:t>
      </w:r>
      <w:r>
        <w:rPr>
          <w:rFonts w:hint="eastAsia"/>
        </w:rPr>
        <w:t xml:space="preserve">，不能因几何无干涉判为通过。本轮按授权不开展轴承寿命、复杂定位、预紧、制造或热膨胀优化。此前连接套热态保持、罩支点膨胀、支架/壳体变形、接触热阻、绝缘与冷却边界等限制继续存在。</w:t>
      </w:r>
    </w:p>
    <w:bookmarkEnd w:id="38"/>
    <w:bookmarkStart w:id="39" w:name="实际执行检查及验收清单"/>
    <w:p>
      <w:pPr>
        <w:pStyle w:val="Heading1"/>
      </w:pPr>
      <w:r>
        <w:t xml:space="preserve">6. </w:t>
      </w:r>
      <w:r>
        <w:rPr>
          <w:rFonts w:hint="eastAsia"/>
        </w:rPr>
        <w:t xml:space="preserve">实际执行检查及验收清单</w:t>
      </w:r>
    </w:p>
    <w:p>
      <w:pPr>
        <w:pStyle w:val="FirstParagraph"/>
      </w:pPr>
      <w:r>
        <w:rPr>
          <w:rFonts w:hint="eastAsia"/>
        </w:rPr>
        <w:t xml:space="preserve">实际生成8份装配STEP及10份修订部件STEP，共18份/145.6MB；3006对精确布尔检查均无&gt;0.001mm³正体积干涉。8份装配回读有效且实体数量一致，最大相对体积误差6.25e-13。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验收项目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结果及证据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20/60齿、每级3、总9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PASS；gear_parameters及actual_helix_checks.csv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固定模数/中心距/原轴心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PASS；法向模数转换及unchanged_component_positions.csv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真实±20°齿向、相反旋向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PASS；独立B-rep边采样，不仅检查配置字段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轴向位置及齿宽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PASS；33–58、95–127mm；中间37mm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完整/热版、四方案相同基础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PASS；8装配及所有共用体体积断言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STEP回读有效、数量/体积一致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PASS；checks.json及step_manifest.json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名义冷态零件干涉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PASS；全对AABB后精确布尔，不忽略齿轮或壳体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旋转啮合检查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PASS；每级7相位，共14对，未出现正体积穿透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修改前后质量/热容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PASS；两份CSV，不把几何候选称为实测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热分析等效体热容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PASS；逐体、逐方案检查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源项归一与原始null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PASS；独立映射，未知实参保持null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原直齿及归档版本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未覆盖；Git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diff检查通过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60"/>
            </w:pPr>
            <w:r>
              <w:rPr>
                <w:rFonts w:hint="eastAsia"/>
                <w:sz w:val="18"/>
              </w:rPr>
              <w:t xml:space="preserve">轴向承载/制造与真实效率</w:t>
            </w:r>
          </w:p>
        </w:tc>
        <w:tc>
          <w:tcPr/>
          <w:p>
            <w:pPr>
              <w:pStyle w:val="Compact"/>
              <w:keepNext/>
              <w:spacing w:after="60"/>
            </w:pPr>
            <w:r>
              <w:rPr>
                <w:sz w:val="18"/>
              </w:rPr>
              <w:t xml:space="preserve">BLOCKED / </w:t>
            </w:r>
            <w:r>
              <w:rPr>
                <w:rFonts w:hint="eastAsia"/>
                <w:sz w:val="18"/>
              </w:rPr>
              <w:t xml:space="preserve">未标定，不在本轮扩展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 w:val="0"/>
              <w:spacing w:after="60"/>
            </w:pPr>
            <w:r>
              <w:rPr>
                <w:sz w:val="18"/>
              </w:rPr>
              <w:t xml:space="preserve">ANSYS / Fluent</w:t>
            </w:r>
          </w:p>
        </w:tc>
        <w:tc>
          <w:tcPr/>
          <w:p>
            <w:pPr>
              <w:pStyle w:val="Compact"/>
              <w:keepNext w:val="0"/>
              <w:spacing w:after="60"/>
            </w:pPr>
            <w:r>
              <w:rPr>
                <w:sz w:val="18"/>
              </w:rPr>
              <w:t xml:space="preserve">NOT </w:t>
            </w:r>
            <w:r>
              <w:rPr>
                <w:rFonts w:hint="eastAsia"/>
                <w:sz w:val="18"/>
              </w:rPr>
              <w:t xml:space="preserve">EXECUTED，未进入M4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干涉检查只覆盖名义装配静态全对和所列离散运动相位；不是公差、满周连续接触、挠度或高温认证。二级齿顶全扫掠半径仍93mm，旧圆柱包络对壳体的11mm底壁净距及10mm轴向凸台间隔仍适用。齿面接触质量、寿命及传动效率未验证，不声称改善了效率或散热。</w:t>
      </w:r>
    </w:p>
    <w:p>
      <w:pPr>
        <w:pStyle w:val="BodyText"/>
      </w:pPr>
      <w:r>
        <w:rPr>
          <w:rFonts w:hint="eastAsia"/>
        </w:rPr>
        <w:t xml:space="preserve">初次并行验证在CAD尚未全部完成时触发“8装配齐备”断言，记录保留为initial_parallel_finalization_failure.txt；14对啮合及真实边检查已执行并保存，CAD完成后读取该结果重新汇总通过。没有将失败日志删除或伪称第一次整体通过。现脚本入口先检查完整CAD已就绪。</w:t>
      </w:r>
    </w:p>
    <w:bookmarkEnd w:id="39"/>
    <w:bookmarkStart w:id="40" w:name="复现与交付"/>
    <w:p>
      <w:pPr>
        <w:pStyle w:val="Heading1"/>
      </w:pPr>
      <w:r>
        <w:t xml:space="preserve">7. </w:t>
      </w:r>
      <w:r>
        <w:rPr>
          <w:rFonts w:hint="eastAsia"/>
        </w:rPr>
        <w:t xml:space="preserve">复现与交付</w:t>
      </w:r>
    </w:p>
    <w:p>
      <w:pPr>
        <w:pStyle w:val="FirstParagraph"/>
      </w:pPr>
      <w:r>
        <w:rPr>
          <w:rFonts w:hint="eastAsia"/>
        </w:rPr>
        <w:t xml:space="preserve">源码scripts/m3_helical与configs/m3_helical.yaml；CadQuery2.8.0/OpenCascade7.9.3.1/Python3.13.12实际执行。CAD启动提交225c1a217c1983fa3b654bf26c6d1365906382e7，后续增加独立测试、接口检查和报告；最终源码与STEP字节哈希以delivery_manifest.json为准。分支PR：https://github.com/alan9900/Thermal-coupling-analysis-under-drive-control-integration/pull/4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按README顺序运行run_helical.py、update_interface.py、verify_helical.py、plot_helical.py、write_report.py。Word由Markdown通过Pandoc生成，实际Word导出PDF并检查OMML与版面。完整STEP及热版路径在cad/m3_helical/README.md，CSV/图/日志位于results/m3_helical；不删除旧模型。</w:t>
      </w:r>
    </w:p>
    <w:bookmarkEnd w:id="40"/>
    <w:sectPr w:rsidR="00FC693F" w:rsidRPr="0006063C" w:rsidSect="00034616">
      <w:footerReference r:id="rId9" w:type="default"/>
      <w:pgSz w:h="16838" w:w="11906"/>
      <w:pgMar w:bottom="1077" w:footer="720" w:gutter="0" w:header="720" w:left="1191" w:right="1191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V0.4 · M3 概念参数化几何   |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</w:pPr>
    <w:rPr>
      <w:rFonts w:ascii="Calibri" w:eastAsia="宋体" w:hAnsi="Calibri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280"/>
      <w:outlineLvl w:val="0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="黑体" w:eastAsiaTheme="majorEastAsia" w:hAnsi="Calibri" w:hAnsiTheme="majorHAnsi"/>
      <w:b/>
      <w:bCs/>
      <w:color w:val="1E3A5F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="黑体" w:eastAsiaTheme="majorEastAsia" w:hAnsi="Calibri" w:hAnsiTheme="majorHAnsi"/>
      <w:b/>
      <w:bCs/>
      <w:color w:val="1E3A5F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300" w:line="240" w:lineRule="auto"/>
      <w:contextualSpacing/>
    </w:pPr>
    <w:rPr>
      <w:rFonts w:ascii="Calibri" w:asciiTheme="majorHAnsi" w:cstheme="majorBidi" w:eastAsia="黑体" w:eastAsiaTheme="majorEastAsia" w:hAnsi="Calibri" w:hAnsiTheme="majorHAnsi"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="Calibri" w:asciiTheme="majorHAnsi" w:cstheme="majorBidi" w:eastAsia="黑体" w:eastAsiaTheme="majorEastAsia" w:hAnsi="Calibri" w:hAnsiTheme="majorHAnsi"/>
      <w:i/>
      <w:iCs/>
      <w:color w:val="1E3A5F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Calibri" w:eastAsia="宋体" w:hAnsi="Calibri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00" w:line="276" w:lineRule="auto"/>
    </w:pPr>
    <w:rPr>
      <w:rFonts w:ascii="Calibri" w:eastAsia="宋体" w:hAnsi="Calibri"/>
      <w:b/>
      <w:bCs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19" Type="http://schemas.openxmlformats.org/officeDocument/2006/relationships/image" Target="media/rId19.png"/><Relationship Id="rId31" Type="http://schemas.openxmlformats.org/officeDocument/2006/relationships/image" Target="media/rId31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4" Type="http://schemas.openxmlformats.org/officeDocument/2006/relationships/image" Target="media/rId34.png"/><Relationship Id="rId18" Type="http://schemas.openxmlformats.org/officeDocument/2006/relationships/hyperlink" Target="https://khkgears.net/pdf/helical-tech.pdf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khkgears.net/pdf/helical-tec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两级斜齿圆柱齿轮概念模型修订说明</dc:title>
  <dc:creator/>
  <cp:keywords/>
  <dcterms:created xsi:type="dcterms:W3CDTF">2026-10-20T09:51:54Z</dcterms:created>
  <dcterms:modified xsi:type="dcterms:W3CDTF">2026-10-20T09:51:54Z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</Properties>
</file>