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V0.4 </w:t>
      </w:r>
      <w:r>
        <w:rPr>
          <w:rFonts w:hint="eastAsia"/>
        </w:rPr>
        <w:t xml:space="preserve">后驱双电机</w:t>
      </w:r>
      <w:r>
        <w:t xml:space="preserve"> M1 </w:t>
      </w:r>
      <w:r>
        <w:rPr>
          <w:rFonts w:hint="eastAsia"/>
        </w:rPr>
        <w:t xml:space="preserve">多热源模型</w:t>
      </w:r>
    </w:p>
    <w:p>
      <w:pPr>
        <w:pStyle w:val="Subtitle"/>
      </w:pPr>
      <w:r>
        <w:rPr>
          <w:rFonts w:hint="eastAsia"/>
        </w:rPr>
        <w:t xml:space="preserve">概念数值关卡通过待审</w:t>
      </w:r>
      <w:r>
        <w:t xml:space="preserve"> · </w:t>
      </w:r>
      <w:r>
        <w:rPr>
          <w:rFonts w:hint="eastAsia"/>
        </w:rPr>
        <w:t xml:space="preserve">真实标定仍为</w:t>
      </w:r>
      <w:r>
        <w:t xml:space="preserve"> PARTIAL · </w:t>
      </w:r>
      <w:r>
        <w:rPr>
          <w:rFonts w:hint="eastAsia"/>
        </w:rPr>
        <w:t xml:space="preserve">严格与工程模式分离</w:t>
      </w:r>
    </w:p>
    <w:p>
      <w:pPr>
        <w:pStyle w:val="Author"/>
      </w:pPr>
      <w:r>
        <w:rPr>
          <w:rFonts w:hint="eastAsia"/>
        </w:rPr>
        <w:t xml:space="preserve">研究模型与可复算审查</w:t>
      </w:r>
    </w:p>
    <w:p>
      <w:pPr>
        <w:pStyle w:val="Date"/>
      </w:pPr>
      <w:r>
        <w:t xml:space="preserve">2026-10-19</w:t>
      </w:r>
    </w:p>
    <w:bookmarkStart w:id="19" w:name="交付结论与授权范围"/>
    <w:p>
      <w:pPr>
        <w:pStyle w:val="Heading1"/>
      </w:pPr>
      <w:r>
        <w:t xml:space="preserve">1. </w:t>
      </w:r>
      <w:r>
        <w:rPr>
          <w:rFonts w:hint="eastAsia"/>
        </w:rPr>
        <w:t xml:space="preserve">交付结论与授权范围</w:t>
      </w:r>
    </w:p>
    <w:p>
      <w:pPr>
        <w:pStyle w:val="FirstParagraph"/>
      </w:pPr>
      <w:r>
        <w:rPr>
          <w:rFonts w:hint="eastAsia"/>
        </w:rPr>
        <w:t xml:space="preserve">本轮按用户“简单验收M0后开始M1”的授权完成M0关卡复核、PR</w:t>
      </w:r>
      <w:r>
        <w:t xml:space="preserve"> </w:t>
      </w:r>
      <w:r>
        <w:rPr>
          <w:rFonts w:hint="eastAsia"/>
        </w:rPr>
        <w:t xml:space="preserve">#1合并及附注Tag归档，并从该main基线开展M1。M0正式Tag为</w:t>
      </w:r>
      <w:r>
        <w:t xml:space="preserve"> </w:t>
      </w:r>
      <w:r>
        <w:rPr>
          <w:rStyle w:val="VerbatimChar"/>
        </w:rPr>
        <w:t xml:space="preserve">M0-v1.0</w:t>
      </w:r>
      <w:r>
        <w:rPr>
          <w:rFonts w:hint="eastAsia"/>
        </w:rPr>
        <w:t xml:space="preserve">，固定指向</w:t>
      </w:r>
      <w:r>
        <w:t xml:space="preserve"> </w:t>
      </w:r>
      <w:r>
        <w:rPr>
          <w:rStyle w:val="VerbatimChar"/>
        </w:rPr>
        <w:t xml:space="preserve">b13f265b1ff0add1f9e8b166d2c1bfa4ac8a8d16</w:t>
      </w:r>
      <w:r>
        <w:rPr>
          <w:rFonts w:hint="eastAsia"/>
        </w:rPr>
        <w:t xml:space="preserve">；远端Tag对象为</w:t>
      </w:r>
      <w:r>
        <w:t xml:space="preserve"> </w:t>
      </w:r>
      <w:r>
        <w:rPr>
          <w:rStyle w:val="VerbatimChar"/>
        </w:rPr>
        <w:t xml:space="preserve">d50d3896b71480bc3793a82d274f862afac1f8ec</w:t>
      </w:r>
      <w:r>
        <w:rPr>
          <w:rFonts w:hint="eastAsia"/>
        </w:rPr>
        <w:t xml:space="preserve">，已实际推送并核对。</w:t>
      </w:r>
    </w:p>
    <w:p>
      <w:pPr>
        <w:pStyle w:val="BodyText"/>
      </w:pPr>
      <w:r>
        <w:rPr>
          <w:rFonts w:hint="eastAsia"/>
        </w:rPr>
        <w:t xml:space="preserve">M1现已实现并实际运行：整车纵向动力学、动态轴荷、前轴与两侧后轴制动力分配、独立左右轮速、电机／逆变器联合损耗图接口、方向分开的减速器损耗、盘片接触摩擦功和整车能量账本。本轮进一步完成独立工程分项接口及16参数不确定性分析：MATLAB</w:t>
      </w:r>
      <w:r>
        <w:t xml:space="preserve"> </w:t>
      </w:r>
      <w:r>
        <w:rPr>
          <w:rFonts w:hint="eastAsia"/>
        </w:rPr>
        <w:t xml:space="preserve">R2025a原有18组及新增11组测试通过，23组整车轨迹、46条单侧分项接口和322次敏感性运行通过，另以Python独立读取CSV复核。</w:t>
      </w:r>
    </w:p>
    <w:p>
      <w:pPr>
        <w:pStyle w:val="BodyText"/>
      </w:pPr>
      <w:r>
        <w:rPr>
          <w:rFonts w:hint="eastAsia"/>
        </w:rPr>
        <w:t xml:space="preserve">真实标定状态保持</w:t>
      </w:r>
      <w:r>
        <w:t xml:space="preserve"> </w:t>
      </w:r>
      <w:r>
        <w:rPr>
          <w:b/>
          <w:bCs/>
        </w:rPr>
        <w:t xml:space="preserve">PARTIAL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概念数值热源关卡通过、待研究者审查</w:t>
      </w:r>
      <w:r>
        <w:rPr>
          <w:rFonts w:hint="eastAsia"/>
        </w:rPr>
        <w:t xml:space="preserve">。数值通过不代表实际内部损耗、减速器图、盘片热分配或BMS边界已验证。原始绕组字段保持NaN，基线真实参数中的null不变；独立工程目录提供明确标记的铜/铁/转子其他/逆变器及减速器分项候选和条件上下界。没有建立温度求解、热网络、CAD、ANSYS、Fluent或优化模型，M2尚未授权。</w:t>
      </w:r>
    </w:p>
    <w:p>
      <w:pPr>
        <w:pStyle w:val="BodyText"/>
      </w:pPr>
      <w:r>
        <w:rPr>
          <w:rFonts w:hint="eastAsia"/>
        </w:rPr>
        <w:t xml:space="preserve">M1开发分支为</w:t>
      </w:r>
      <w:r>
        <w:t xml:space="preserve"> </w:t>
      </w:r>
      <w:r>
        <w:rPr>
          <w:rStyle w:val="VerbatimChar"/>
        </w:rPr>
        <w:t xml:space="preserve">stage/M1-heat-sources</w:t>
      </w:r>
      <w:r>
        <w:rPr>
          <w:rFonts w:hint="eastAsia"/>
        </w:rPr>
        <w:t xml:space="preserve">，候选版本名为</w:t>
      </w:r>
      <w:r>
        <w:t xml:space="preserve"> </w:t>
      </w:r>
      <w:r>
        <w:rPr>
          <w:rStyle w:val="VerbatimChar"/>
        </w:rPr>
        <w:t xml:space="preserve">M1-v1.0</w:t>
      </w:r>
      <w:r>
        <w:rPr>
          <w:rFonts w:hint="eastAsia"/>
        </w:rPr>
        <w:t xml:space="preserve">，不是已创建的正式Tag。本轮数值代码提交为</w:t>
      </w:r>
      <w:r>
        <w:t xml:space="preserve"> </w:t>
      </w:r>
      <w:r>
        <w:rPr>
          <w:rStyle w:val="VerbatimChar"/>
        </w:rPr>
        <w:t xml:space="preserve">2b336e62485e0183f79428dd6009ec7aa32a1ab3</w:t>
      </w:r>
      <w:r>
        <w:rPr>
          <w:rFonts w:hint="eastAsia"/>
        </w:rPr>
        <w:t xml:space="preserve">，MATLAB源码哈希与输入快照见</w:t>
      </w:r>
      <w:r>
        <w:t xml:space="preserve"> </w:t>
      </w:r>
      <w:r>
        <w:rPr>
          <w:rStyle w:val="VerbatimChar"/>
        </w:rPr>
        <w:t xml:space="preserve">results/m1/independent_checks.json</w:t>
      </w:r>
      <w:r>
        <w:t xml:space="preserve"> </w:t>
      </w:r>
      <w:r>
        <w:rPr>
          <w:rFonts w:hint="eastAsia"/>
        </w:rPr>
        <w:t xml:space="preserve">及</w:t>
      </w:r>
      <w:r>
        <w:t xml:space="preserve"> </w:t>
      </w:r>
      <w:r>
        <w:rPr>
          <w:rStyle w:val="VerbatimChar"/>
        </w:rPr>
        <w:t xml:space="preserve">inputs.json</w:t>
      </w:r>
      <w:r>
        <w:rPr>
          <w:rFonts w:hint="eastAsia"/>
        </w:rPr>
        <w:t xml:space="preserve">；结果证据SHA登记在</w:t>
      </w:r>
      <w:r>
        <w:t xml:space="preserve"> </w:t>
      </w:r>
      <w:r>
        <w:rPr>
          <w:rStyle w:val="VerbatimChar"/>
        </w:rPr>
        <w:t xml:space="preserve">docs/STAGE_VERSIONS.md</w:t>
      </w:r>
      <w:r>
        <w:rPr>
          <w:rFonts w:hint="eastAsia"/>
        </w:rPr>
        <w:t xml:space="preserve">。继续草稿送审：</w:t>
      </w:r>
      <w:hyperlink r:id="rId18">
        <w:r>
          <w:rPr>
            <w:rStyle w:val="Hyperlink"/>
          </w:rPr>
          <w:t xml:space="preserve">PR #2</w:t>
        </w:r>
      </w:hyperlink>
      <w:r>
        <w:rPr>
          <w:rFonts w:hint="eastAsia"/>
        </w:rPr>
        <w:t xml:space="preserve">。合并、创建正式Tag及进入M2均须用户另行批准。</w:t>
      </w:r>
    </w:p>
    <w:bookmarkEnd w:id="19"/>
    <w:bookmarkStart w:id="20" w:name="输入来源与模型边界"/>
    <w:p>
      <w:pPr>
        <w:pStyle w:val="Heading1"/>
      </w:pPr>
      <w:r>
        <w:t xml:space="preserve">2. </w:t>
      </w:r>
      <w:r>
        <w:rPr>
          <w:rFonts w:hint="eastAsia"/>
        </w:rPr>
        <w:t xml:space="preserve">输入、来源与模型边界</w:t>
      </w:r>
    </w:p>
    <w:p>
      <w:pPr>
        <w:pStyle w:val="FirstParagraph"/>
      </w:pPr>
      <w:r>
        <w:rPr>
          <w:rFonts w:hint="eastAsia"/>
        </w:rPr>
        <w:t xml:space="preserve">研究对象保持V0.4：1800</w:t>
      </w:r>
      <w:r>
        <w:t xml:space="preserve"> </w:t>
      </w:r>
      <w:r>
        <w:rPr>
          <w:rFonts w:hint="eastAsia"/>
        </w:rPr>
        <w:t xml:space="preserve">kg后驱概念车，后轴左右各一台参考MG2电机、一台9:1减速器和一个减速器输出端内移盘，无差速器；前轴保留摩擦制动。详细热源接口按单侧输出，整车能量同时统计前轴及左右两侧。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>
            <w:shd w:fill="EAF0F7"/>
          </w:tcPr>
          <w:p>
            <w:pPr>
              <w:pStyle w:val="Compact"/>
              <w:spacing w:after="60" w:line="252" w:lineRule="auto"/>
            </w:pPr>
            <w:r>
              <w:rPr>
                <w:rFonts w:hint="eastAsia"/>
                <w:b/>
                <w:sz w:val="19"/>
              </w:rPr>
              <w:t xml:space="preserve">输入</w:t>
            </w:r>
          </w:p>
        </w:tc>
        <w:tc>
          <w:tcPr>
            <w:shd w:fill="EAF0F7"/>
          </w:tcPr>
          <w:p>
            <w:pPr>
              <w:pStyle w:val="Compact"/>
              <w:spacing w:after="60" w:line="252" w:lineRule="auto"/>
            </w:pPr>
            <w:r>
              <w:rPr>
                <w:rFonts w:hint="eastAsia"/>
                <w:b/>
                <w:sz w:val="19"/>
              </w:rPr>
              <w:t xml:space="preserve">来源或状态</w:t>
            </w:r>
          </w:p>
        </w:tc>
        <w:tc>
          <w:tcPr>
            <w:shd w:fill="EAF0F7"/>
          </w:tcPr>
          <w:p>
            <w:pPr>
              <w:pStyle w:val="Compact"/>
              <w:spacing w:after="60" w:line="252" w:lineRule="auto"/>
            </w:pPr>
            <w:r>
              <w:rPr>
                <w:rFonts w:hint="eastAsia"/>
                <w:b/>
                <w:sz w:val="19"/>
              </w:rPr>
              <w:t xml:space="preserve">使用方法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车型参数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Style w:val="VerbatimChar"/>
                <w:sz w:val="19"/>
              </w:rPr>
              <w:t xml:space="preserve">configs/baseline_vehicle.yaml</w:t>
            </w:r>
            <w:r>
              <w:rPr>
                <w:rFonts w:hint="eastAsia"/>
                <w:sz w:val="19"/>
              </w:rPr>
              <w:t xml:space="preserve">，原M0基线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质量1800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kg、轴距2.765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m、有效半径0.33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m、后静载0.55、重心高0.55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m；真实参照与假设仍按M0区分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联合EMOT图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EPA官方包，650V、0–13000rpm，14×39表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无外推双线性损耗插值，正负转矩包络及峰值功率限制同时生效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电机／逆变器驱动效率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包内ORNL稀疏工作表，137个配对驱动点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只在测量点凸包内估计联合热损失分配，不外推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再生效率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EPA驱动损耗镜像估计区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逐点读取联合损耗，不称为MG2实测再生图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减速器效率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驱动0.96、反拖0.96，S3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两个方向分别使用；真实方向损耗图仍未知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盘片热分配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盘0.90、片0.10，S3演示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同时导出0.85–0.95盘份额的示例范围；不是测得置信区间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再生控制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130N·m／侧，5km/h以下禁用、5–10km/h线性恢复，S3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软件筛查假设，不当作硬件再生铭牌值或量产控制律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电池状态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整车0／30／60kW充电上限、假设SOC及温度乘数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约束左右合计直流回收功率，实际SOC／温度曲线仍null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停用电驱损耗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零，显式省略项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未计未通电拖曳、待机和附件耗电；与已通电零转矩图上损耗区分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原功率模型假设在</w:t>
      </w:r>
      <w:r>
        <w:t xml:space="preserve"> </w:t>
      </w:r>
      <w:r>
        <w:rPr>
          <w:rStyle w:val="VerbatimChar"/>
        </w:rPr>
        <w:t xml:space="preserve">configs/m1_heat_sources.yaml</w:t>
      </w:r>
      <w:r>
        <w:rPr>
          <w:rFonts w:hint="eastAsia"/>
        </w:rPr>
        <w:t xml:space="preserve">，新增分项参数在</w:t>
      </w:r>
      <w:r>
        <w:t xml:space="preserve"> </w:t>
      </w:r>
      <w:r>
        <w:rPr>
          <w:rStyle w:val="VerbatimChar"/>
        </w:rPr>
        <w:t xml:space="preserve">configs/m1_source_partition.yaml</w:t>
      </w:r>
      <w:r>
        <w:rPr>
          <w:rFonts w:hint="eastAsia"/>
        </w:rPr>
        <w:t xml:space="preserve">，均不覆盖M0。输入快照、来源及文本SHA-256见</w:t>
      </w:r>
      <w:r>
        <w:t xml:space="preserve"> </w:t>
      </w:r>
      <w:r>
        <w:rPr>
          <w:rStyle w:val="VerbatimChar"/>
        </w:rPr>
        <w:t xml:space="preserve">results/m1/inputs.json</w:t>
      </w:r>
      <w:r>
        <w:rPr>
          <w:rFonts w:hint="eastAsia"/>
        </w:rPr>
        <w:t xml:space="preserve">。曲线为参考数据与S3假设下的估算，不是本概念总成试验结果。</w:t>
      </w:r>
    </w:p>
    <w:bookmarkEnd w:id="20"/>
    <w:bookmarkStart w:id="21" w:name="动力学与单侧功率接口"/>
    <w:p>
      <w:pPr>
        <w:pStyle w:val="Heading1"/>
      </w:pPr>
      <w:r>
        <w:t xml:space="preserve">3. </w:t>
      </w:r>
      <w:r>
        <w:rPr>
          <w:rFonts w:hint="eastAsia"/>
        </w:rPr>
        <w:t xml:space="preserve">动力学与单侧功率接口</w:t>
      </w:r>
    </w:p>
    <w:p>
      <w:pPr>
        <w:pStyle w:val="FirstParagraph"/>
      </w:pPr>
      <w:r>
        <w:rPr>
          <w:rFonts w:hint="eastAsia"/>
        </w:rPr>
        <w:t xml:space="preserve">令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为带符号纵向加速度，驱动加速为正、制动减速为负，</w:t>
      </w:r>
      <m:oMath>
        <m:r>
          <m:t>v</m:t>
        </m:r>
      </m:oMath>
      <w:r>
        <w:t xml:space="preserve"> </w:t>
      </w:r>
      <w:r>
        <w:rPr>
          <w:rFonts w:hint="eastAsia"/>
        </w:rPr>
        <w:t xml:space="preserve">为车体参考速度，</w:t>
      </w:r>
      <m:oMath>
        <m:r>
          <m:t>h</m:t>
        </m:r>
      </m:oMath>
      <w:r>
        <w:t xml:space="preserve"> </w:t>
      </w:r>
      <w:r>
        <w:rPr>
          <w:rFonts w:hint="eastAsia"/>
        </w:rPr>
        <w:t xml:space="preserve">为重心高，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为轴距。平路动态轴荷为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g</m:t>
          </m:r>
          <m:sSub>
            <m:e>
              <m:r>
                <m:t>f</m:t>
              </m:r>
            </m:e>
            <m:sub>
              <m:r>
                <m:t>r</m:t>
              </m:r>
              <m:r>
                <m:t>0</m:t>
              </m:r>
            </m:sub>
          </m:sSub>
          <m:r>
            <m:rPr>
              <m:sty m:val="p"/>
            </m:rPr>
            <m:t>+</m:t>
          </m:r>
          <m:r>
            <m:t>m</m:t>
          </m:r>
          <m:r>
            <m:t>a</m:t>
          </m:r>
          <m:f>
            <m:fPr>
              <m:type m:val="bar"/>
            </m:fPr>
            <m:num>
              <m:r>
                <m:t>h</m:t>
              </m:r>
            </m:num>
            <m:den>
              <m:r>
                <m:t>L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N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t>g</m:t>
          </m:r>
          <m:r>
            <m:rPr>
              <m:sty m:val="p"/>
            </m:rPr>
            <m:t>−</m:t>
          </m:r>
          <m:sSub>
            <m:e>
              <m:r>
                <m:t>N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故制动时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z</m:t>
        </m:r>
        <m:r>
          <m:t>g</m:t>
        </m:r>
      </m:oMath>
      <w:r>
        <w:rPr>
          <w:rFonts w:hint="eastAsia"/>
        </w:rPr>
        <w:t xml:space="preserve">，后轴比例恢复为M0的</w:t>
      </w:r>
      <w:r>
        <w:t xml:space="preserve"> </w:t>
      </w:r>
      <m:oMath>
        <m:sSub>
          <m:e>
            <m:r>
              <m:t>f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r</m:t>
            </m:r>
            <m:r>
              <m:t>0</m:t>
            </m:r>
          </m:sub>
        </m:sSub>
        <m:r>
          <m:rPr>
            <m:sty m:val="p"/>
          </m:rPr>
          <m:t>−</m:t>
        </m:r>
        <m:r>
          <m:t>z</m:t>
        </m:r>
        <m:r>
          <m:t>h</m:t>
        </m:r>
        <m:r>
          <m:rPr>
            <m:sty m:val="p"/>
          </m:rPr>
          <m:t>/</m:t>
        </m:r>
        <m:r>
          <m:t>L</m:t>
        </m:r>
      </m:oMath>
      <w:r>
        <w:rPr>
          <w:rFonts w:hint="eastAsia"/>
        </w:rPr>
        <w:t xml:space="preserve">。坡度接口另计</w:t>
      </w:r>
      <w:r>
        <w:t xml:space="preserve"> </w:t>
      </w:r>
      <m:oMath>
        <m:r>
          <m:t>m</m:t>
        </m:r>
        <m:r>
          <m:t>g</m:t>
        </m:r>
        <m:r>
          <m:rPr>
            <m:sty m:val="p"/>
          </m:rPr>
          <m:t>sin</m:t>
        </m:r>
        <m:r>
          <m:t>θ</m:t>
        </m:r>
      </m:oMath>
      <w:r>
        <w:t xml:space="preserve"> </w:t>
      </w:r>
      <w:r>
        <w:rPr>
          <w:rFonts w:hint="eastAsia"/>
        </w:rPr>
        <w:t xml:space="preserve">的坡度力及其静态载荷转移；当前主算例仍为平路。空气阻力作用高度引起的额外俯仰未识别，负轴荷状态明确拒绝。</w:t>
      </w:r>
    </w:p>
    <w:p>
      <w:pPr>
        <w:pStyle w:val="BodyText"/>
      </w:pPr>
      <w:r>
        <w:rPr>
          <w:rFonts w:hint="eastAsia"/>
        </w:rPr>
        <w:t xml:space="preserve">总轮胎纵向需求为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q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F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+</m:t>
          </m:r>
          <m:sSub>
            <m:e>
              <m:r>
                <m:t>F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+</m:t>
          </m:r>
          <m:r>
            <m:t>m</m:t>
          </m:r>
          <m:r>
            <m:t>g</m:t>
          </m:r>
          <m:r>
            <m:rPr>
              <m:sty m:val="p"/>
            </m:rPr>
            <m:t>sin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当前转动惯量系数仍为1，忽略车轮、轴、齿轮及转子的额外转动动能。制动时按动态轴荷比例分配前后轴，再按设定份额分至后轴左右，各轮受自身附着上限约束。驱动仅由后轴电机提供。需求超过附着、电机或供电能力时，导出未满足的力及功率，不能仍声称轨迹可实现。主23组场景均可跟随；不满足的专门测试用于检查失败标记。</w:t>
      </w:r>
    </w:p>
    <w:p>
      <w:pPr>
        <w:pStyle w:val="BodyText"/>
      </w:pPr>
      <w:r>
        <w:rPr>
          <w:rFonts w:hint="eastAsia"/>
        </w:rPr>
        <w:t xml:space="preserve">每侧减速器输出盘与自己的车轮同速，电机为自己的轮速乘9：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ω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r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ω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i</m:t>
          </m:r>
          <m:sSub>
            <m:e>
              <m:r>
                <m:t>ω</m:t>
              </m:r>
            </m:e>
            <m:sub>
              <m:r>
                <m:t>w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L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程序不使用左右平均电机转速替代各侧速度。实际转矩同时受软件牵引限值130N·m、EPA正负限扭线、60kW峰值及数值图边界约束；207N·m硬件参照不直接替换EPA包络。</w:t>
      </w:r>
    </w:p>
    <w:bookmarkEnd w:id="21"/>
    <w:bookmarkStart w:id="26" w:name="多热源与电池功率约束"/>
    <w:p>
      <w:pPr>
        <w:pStyle w:val="Heading1"/>
      </w:pPr>
      <w:r>
        <w:t xml:space="preserve">4. </w:t>
      </w:r>
      <w:r>
        <w:rPr>
          <w:rFonts w:hint="eastAsia"/>
        </w:rPr>
        <w:t xml:space="preserve">多热源与电池功率约束</w:t>
      </w:r>
    </w:p>
    <w:bookmarkStart w:id="22" w:name="emot联合损耗及热量拆分"/>
    <w:p>
      <w:pPr>
        <w:pStyle w:val="Heading2"/>
      </w:pPr>
      <w:r>
        <w:t xml:space="preserve">4.1 </w:t>
      </w:r>
      <w:r>
        <w:rPr>
          <w:rFonts w:hint="eastAsia"/>
        </w:rPr>
        <w:t xml:space="preserve">EMOT联合损耗及热量拆分</w:t>
      </w:r>
    </w:p>
    <w:p>
      <w:pPr>
        <w:pStyle w:val="FirstParagraph"/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rPr>
          <w:rFonts w:hint="eastAsia"/>
        </w:rPr>
        <w:t xml:space="preserve">为从电池输入电驱，</w:t>
      </w:r>
      <m:oMath>
        <m:sSub>
          <m:e>
            <m:r>
              <m:t>P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sSub>
          <m:e>
            <m:r>
              <m:t>ω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为电机轴向轮端输出的机械功率，则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模型对该非负损耗表插值，随后恢复带符号直流功率。负转矩不自动等于净充电；只有净直流回收的工作点才被本筛查控制器选用，否则回退摩擦制动。13000–13500rpm虽低于硬件最高速度声明，也不外推地图；400V、负转速或包络外工作点均明确拒绝。</w:t>
      </w:r>
    </w:p>
    <w:p>
      <w:pPr>
        <w:pStyle w:val="BodyText"/>
      </w:pPr>
      <w:r>
        <w:rPr>
          <w:rFonts w:hint="eastAsia"/>
        </w:rPr>
        <w:t xml:space="preserve">在稀疏驱动效率数据覆盖范围内，以机械输出功率为基准的原电机与逆变器损耗比例为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η</m:t>
                  </m:r>
                </m:e>
                <m:sub>
                  <m:r>
                    <m:t>m</m:t>
                  </m:r>
                </m:sub>
              </m:sSub>
            </m:den>
          </m:f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η</m:t>
                  </m:r>
                </m:e>
                <m:sub>
                  <m:r>
                    <m:t>m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α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ℓ</m:t>
                  </m:r>
                </m:e>
                <m:sub>
                  <m:r>
                    <m:t>m</m:t>
                  </m:r>
                </m:sub>
              </m:sSub>
            </m:num>
            <m:den>
              <m:sSub>
                <m:e>
                  <m:r>
                    <m:t>ℓ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对归一化转速、转矩坐标线性三角插值该比例，再将EPA联合损耗分为</w:t>
      </w:r>
      <w:r>
        <w:t xml:space="preserve"> </w:t>
      </w:r>
      <m:oMath>
        <m:sSub>
          <m:e>
            <m:r>
              <m:t>α</m:t>
            </m:r>
          </m:e>
          <m:sub>
            <m:r>
              <m:t>m</m:t>
            </m:r>
          </m:sub>
        </m:sSub>
        <m:sSub>
          <m:e>
            <m:r>
              <m:t>Q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α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  <m:sSub>
          <m:e>
            <m:r>
              <m:t>Q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T</m:t>
            </m:r>
          </m:sub>
        </m:sSub>
      </m:oMath>
      <w:r>
        <w:rPr>
          <w:rFonts w:hint="eastAsia"/>
        </w:rPr>
        <w:t xml:space="preserve">。这属于“按原驱动损耗比估计的热分配”，不是新测量得到的纯电机图。它保持联合损耗总量，不把原效率图与拟合表之间差异重复加入能量账本。</w:t>
      </w:r>
    </w:p>
    <w:p>
      <w:pPr>
        <w:pStyle w:val="BodyText"/>
      </w:pPr>
      <w:r>
        <w:rPr>
          <w:rFonts w:hint="eastAsia"/>
        </w:rPr>
        <w:t xml:space="preserve">原参考数据层在凸包外及再生点不拆分电机／逆变器，输出</w:t>
      </w:r>
      <w:r>
        <w:t xml:space="preserve"> </w:t>
      </w:r>
      <w:r>
        <w:rPr>
          <w:rStyle w:val="VerbatimChar"/>
        </w:rPr>
        <w:t xml:space="preserve">unallocated_emot_heat_W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winding_heat_W</w:t>
      </w:r>
      <w:r>
        <w:rPr>
          <w:rFonts w:hint="eastAsia"/>
        </w:rPr>
        <w:t xml:space="preserve">全部为NaN，不能把EMOT热损失加到绕组。本轮独立工程拆分见第9节，不回填真实字段。</w:t>
      </w:r>
    </w:p>
    <w:bookmarkEnd w:id="22"/>
    <w:bookmarkStart w:id="23" w:name="减速器驱动与反拖"/>
    <w:p>
      <w:pPr>
        <w:pStyle w:val="Heading2"/>
      </w:pPr>
      <w:r>
        <w:t xml:space="preserve">4.2 </w:t>
      </w:r>
      <w:r>
        <w:rPr>
          <w:rFonts w:hint="eastAsia"/>
        </w:rPr>
        <w:t xml:space="preserve">减速器驱动与反拖</w:t>
      </w:r>
    </w:p>
    <w:p>
      <w:pPr>
        <w:pStyle w:val="FirstParagraph"/>
      </w:pPr>
      <w:r>
        <w:rPr>
          <w:rFonts w:hint="eastAsia"/>
        </w:rPr>
        <w:t xml:space="preserve">以电机经减速器向车轮传递的带符号功率</w:t>
      </w:r>
      <w:r>
        <w:t xml:space="preserve"> </w:t>
      </w:r>
      <m:oMath>
        <m:sSub>
          <m:e>
            <m:r>
              <m:t>P</m:t>
            </m:r>
          </m:e>
          <m:sub>
            <m:r>
              <m:t>w</m:t>
            </m:r>
          </m:sub>
        </m:sSub>
      </m:oMath>
      <w:r>
        <w:t xml:space="preserve"> </w:t>
      </w:r>
      <w:r>
        <w:rPr>
          <w:rFonts w:hint="eastAsia"/>
        </w:rPr>
        <w:t xml:space="preserve">为端口，采用两个方向效率：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d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b</m:t>
                        </m:r>
                      </m:sub>
                    </m:s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  <m:r>
            <m:t>  </m:t>
          </m:r>
          <m:sSub>
            <m:e>
              <m:r>
                <m:t>Q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因此再生时轮端力与电机负转矩满足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t>m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|</m:t>
        </m:r>
        <m:r>
          <m:t>i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sSub>
          <m:e>
            <m:r>
              <m:t>η</m:t>
            </m:r>
          </m:e>
          <m:sub>
            <m:r>
              <m:t>b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。测试另外使用不同的驱动／反拖效率，防止因为当前两者恰为0.96而隐藏方向错误。常数效率不能代替齿轮、轴承、密封和搅油损耗图；未传功时模型给出零齿轮热，表示未计空载拖曳和搅油，并非真实减速器无发热。</w:t>
      </w:r>
    </w:p>
    <w:bookmarkEnd w:id="23"/>
    <w:bookmarkStart w:id="24" w:name="电池共享功率与低速退出"/>
    <w:p>
      <w:pPr>
        <w:pStyle w:val="Heading2"/>
      </w:pPr>
      <w:r>
        <w:t xml:space="preserve">4.3 </w:t>
      </w:r>
      <w:r>
        <w:rPr>
          <w:rFonts w:hint="eastAsia"/>
        </w:rPr>
        <w:t xml:space="preserve">电池共享功率与低速退出</w:t>
      </w:r>
    </w:p>
    <w:p>
      <w:pPr>
        <w:pStyle w:val="FirstParagraph"/>
      </w:pPr>
      <w:r>
        <w:rPr>
          <w:rFonts w:hint="eastAsia"/>
        </w:rPr>
        <w:t xml:space="preserve">每侧首先求轮端需求、轮胎附着、电机负转矩包络、再生软件限扭和机械功率允许的转矩，再考虑低速衰减。随后对左右负转矩共同缩放，以损耗图计算直流回收功率，35次二分求解满足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≤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充电上限是整车总值。单侧失去再生时，另一侧可使用剩余电池预算，但不得超过自己的制动需求及电机限制。高SOC或温度限充示例使有效上限为零，摩擦制动承接；SOC</w:t>
      </w:r>
      <w:r>
        <w:t xml:space="preserve"> </w:t>
      </w:r>
      <w:r>
        <w:rPr>
          <w:rFonts w:hint="eastAsia"/>
        </w:rPr>
        <w:t xml:space="preserve">0.90门限及温度乘数只是显式场景假设，没有声称取得真实BMS标定。</w:t>
      </w:r>
    </w:p>
    <w:bookmarkEnd w:id="24"/>
    <w:bookmarkStart w:id="25" w:name="制动盘片接触功与假设热分配"/>
    <w:p>
      <w:pPr>
        <w:pStyle w:val="Heading2"/>
      </w:pPr>
      <w:r>
        <w:t xml:space="preserve">4.4 </w:t>
      </w:r>
      <w:r>
        <w:rPr>
          <w:rFonts w:hint="eastAsia"/>
        </w:rPr>
        <w:t xml:space="preserve">制动盘片接触功与假设热分配</w:t>
      </w:r>
    </w:p>
    <w:p>
      <w:pPr>
        <w:pStyle w:val="FirstParagraph"/>
      </w:pPr>
      <w:r>
        <w:rPr>
          <w:rFonts w:hint="eastAsia"/>
        </w:rPr>
        <w:t xml:space="preserve">每侧摩擦器承担本侧后轴制动需求扣除已实现再生的余量，接触功率为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sSub>
            <m:e>
              <m:r>
                <m:t>ω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β</m:t>
          </m:r>
          <m:sSub>
            <m:e>
              <m: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β</m:t>
          </m:r>
          <m:r>
            <m:rPr>
              <m:sty m:val="p"/>
            </m:rPr>
            <m:t>)</m:t>
          </m:r>
          <m:sSub>
            <m:e>
              <m: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本轮示例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0.90</m:t>
        </m:r>
      </m:oMath>
      <w:r>
        <w:rPr>
          <w:rFonts w:hint="eastAsia"/>
        </w:rPr>
        <w:t xml:space="preserve">，另导出0.85–0.95份额范围。接触摩擦功、分给盘的热和实际存入盘的热是不同量。未取得几何和热边界，故不生成空间热流密度或温度场，也未计算盘到电机的辐射／导热侵入。</w:t>
      </w:r>
    </w:p>
    <w:bookmarkEnd w:id="25"/>
    <w:bookmarkEnd w:id="26"/>
    <w:bookmarkStart w:id="27" w:name="整车能量守恒与左右非对称"/>
    <w:p>
      <w:pPr>
        <w:pStyle w:val="Heading1"/>
      </w:pPr>
      <w:r>
        <w:t xml:space="preserve">5. </w:t>
      </w:r>
      <w:r>
        <w:rPr>
          <w:rFonts w:hint="eastAsia"/>
        </w:rPr>
        <w:t xml:space="preserve">整车能量守恒与左右非对称</w:t>
      </w:r>
    </w:p>
    <w:p>
      <w:pPr>
        <w:pStyle w:val="FirstParagraph"/>
      </w:pPr>
      <w:r>
        <w:rPr>
          <w:rFonts w:hint="eastAsia"/>
        </w:rPr>
        <w:t xml:space="preserve">每时刻检查带符号功率账本：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̇"/>
                </m:accPr>
                <m:e>
                  <m:r>
                    <m:t>E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x</m:t>
              </m:r>
            </m:sub>
          </m:sSub>
          <m:r>
            <m:rPr>
              <m:sty m:val="p"/>
            </m:rPr>
            <m:t>+</m:t>
          </m:r>
          <m:sSub>
            <m:e>
              <m:r>
                <m:t>P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已实现轨迹的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约为数值零；不满足需求时，该诊断端口解释规定轨迹与实际力之间的差，不把未实现制动当作损耗消失。</w:t>
      </w:r>
    </w:p>
    <w:p>
      <w:pPr>
        <w:pStyle w:val="BodyText"/>
      </w:pPr>
      <w:r>
        <w:rPr>
          <w:rFonts w:hint="eastAsia"/>
        </w:rPr>
        <w:t xml:space="preserve">左右轮速相同且对称时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。强加不同左右轮速和制动力的接口测试使用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R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rPr>
          <w:rFonts w:hint="eastAsia"/>
        </w:rPr>
        <w:t xml:space="preserve">为各侧带符号轮胎力。该外部交换端口防止把不对称轮端功误算入纵向平动动能。它不是完整横摆动力学、轮胎侧偏或转向模型，不能用此测试声称车辆转弯稳定性已验证。</w:t>
      </w:r>
    </w:p>
    <w:bookmarkEnd w:id="27"/>
    <w:bookmarkStart w:id="37" w:name="实际运行结果"/>
    <w:p>
      <w:pPr>
        <w:pStyle w:val="Heading1"/>
      </w:pPr>
      <w:r>
        <w:t xml:space="preserve">6. </w:t>
      </w:r>
      <w:r>
        <w:rPr>
          <w:rFonts w:hint="eastAsia"/>
        </w:rPr>
        <w:t xml:space="preserve">实际运行结果</w:t>
      </w:r>
    </w:p>
    <w:p>
      <w:pPr>
        <w:pStyle w:val="FirstParagraph"/>
      </w:pPr>
      <w:r>
        <w:rPr>
          <w:rFonts w:hint="eastAsia"/>
        </w:rPr>
        <w:t xml:space="preserve">主矩阵为100→0km/h，0.3／0.6／0.8g，整车直流回收上限0／30／60kW，无路阻及含路阻共18组；另有单侧再生故障、高SOC、温度禁充、独立轮速接口及0→80km/h短驱动共5组。默认时间间隔不超过0.02s，低速再生在5–10km/h线性衰减。</w:t>
      </w:r>
    </w:p>
    <w:bookmarkStart w:id="28" w:name="含路阻的单侧后盘结果"/>
    <w:p>
      <w:pPr>
        <w:pStyle w:val="Heading2"/>
      </w:pPr>
      <w:r>
        <w:t xml:space="preserve">6.1 </w:t>
      </w:r>
      <w:r>
        <w:rPr>
          <w:rFonts w:hint="eastAsia"/>
        </w:rPr>
        <w:t xml:space="preserve">含路阻的单侧后盘结果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  <w:cantSplit/>
        </w:trPr>
        <w:tc>
          <w:tcPr>
            <w:shd w:fill="EAF0F7"/>
          </w:tcPr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rFonts w:hint="eastAsia"/>
                <w:b/>
                <w:sz w:val="19"/>
              </w:rPr>
              <w:t xml:space="preserve">减速度</w:t>
            </w:r>
          </w:p>
        </w:tc>
        <w:tc>
          <w:tcPr>
            <w:shd w:fill="EAF0F7"/>
          </w:tcPr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rFonts w:hint="eastAsia"/>
                <w:b/>
                <w:sz w:val="19"/>
              </w:rPr>
              <w:t xml:space="preserve">整车充电上限</w:t>
            </w:r>
          </w:p>
        </w:tc>
        <w:tc>
          <w:tcPr>
            <w:shd w:fill="EAF0F7"/>
          </w:tcPr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rFonts w:hint="eastAsia"/>
                <w:b/>
                <w:sz w:val="19"/>
              </w:rPr>
              <w:t xml:space="preserve">初始单盘转矩</w:t>
            </w:r>
          </w:p>
        </w:tc>
        <w:tc>
          <w:tcPr>
            <w:shd w:fill="EAF0F7"/>
          </w:tcPr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rFonts w:hint="eastAsia"/>
                <w:b/>
                <w:sz w:val="19"/>
              </w:rPr>
              <w:t xml:space="preserve">初始单盘功率</w:t>
            </w:r>
          </w:p>
        </w:tc>
        <w:tc>
          <w:tcPr>
            <w:shd w:fill="EAF0F7"/>
          </w:tcPr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rFonts w:hint="eastAsia"/>
                <w:b/>
                <w:sz w:val="19"/>
              </w:rPr>
              <w:t xml:space="preserve">单盘接触摩擦功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0.3g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0kW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387.69N·m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32.63kW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158.73kJ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0.3g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30kW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187.05N·m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15.74kW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39.30kJ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0.3g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60kW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rFonts w:hint="eastAsia"/>
                <w:sz w:val="19"/>
              </w:rPr>
              <w:t xml:space="preserve">约0N·m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rFonts w:hint="eastAsia"/>
                <w:sz w:val="19"/>
              </w:rPr>
              <w:t xml:space="preserve">约0kW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0.97kJ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0.6g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0kW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716.93N·m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60.35kW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144.47kJ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0.6g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30kW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516.29N·m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43.46kW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75.87kJ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0.6g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60kW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323.07N·m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27.19kW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30.99kJ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0.8g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0kW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878.46N·m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73.94kW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132.27kJ</w:t>
            </w:r>
          </w:p>
        </w:tc>
      </w:tr>
      <w:tr>
        <w:trPr>
          <w:cantSplit/>
        </w:trPr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0.8g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30kW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677.82N·m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57.06kW</w:t>
            </w:r>
          </w:p>
        </w:tc>
        <w:tc>
          <w:tcPr/>
          <w:p>
            <w:pPr>
              <w:pStyle w:val="Compact"/>
              <w:keepNext/>
              <w:spacing w:after="60" w:line="252" w:lineRule="auto"/>
              <w:jc w:val="right"/>
            </w:pPr>
            <w:r>
              <w:rPr>
                <w:sz w:val="19"/>
              </w:rPr>
              <w:t xml:space="preserve">79.27kJ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0.8g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60kW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484.61N·m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40.79kW</w:t>
            </w:r>
          </w:p>
        </w:tc>
        <w:tc>
          <w:tcPr/>
          <w:p>
            <w:pPr>
              <w:pStyle w:val="Compact"/>
              <w:spacing w:after="60" w:line="252" w:lineRule="auto"/>
              <w:jc w:val="right"/>
            </w:pPr>
            <w:r>
              <w:rPr>
                <w:sz w:val="19"/>
              </w:rPr>
              <w:t xml:space="preserve">41.41kJ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例如0.6g／30kW时，假设分给单盘的热约68.28kJ，示例盘份额0.85–0.95对应64.49–72.07kJ；这不是实测盘储热。低速再生衰减后，单盘峰值转矩约737.78N·m，高于初始516.29N·m；不能按初始有再生转矩选型。</w:t>
      </w:r>
    </w:p>
    <w:p>
      <w:pPr>
        <w:pStyle w:val="BodyText"/>
      </w:pPr>
      <w:r>
        <w:rPr>
          <w:rFonts w:hint="eastAsia"/>
        </w:rPr>
        <w:t xml:space="preserve">在0.3g／60kW场景，初始后轴需求可由再生承担，初始摩擦约零，但低速退出使整段摩擦功仍约0.97kJ。摩擦功率的初始值也不总是峰值。</w:t>
      </w:r>
    </w:p>
    <w:bookmarkEnd w:id="28"/>
    <w:bookmarkStart w:id="29" w:name="无路阻回归及与m0的差异"/>
    <w:p>
      <w:pPr>
        <w:pStyle w:val="Heading2"/>
      </w:pPr>
      <w:r>
        <w:t xml:space="preserve">6.2 </w:t>
      </w:r>
      <w:r>
        <w:rPr>
          <w:rFonts w:hint="eastAsia"/>
        </w:rPr>
        <w:t xml:space="preserve">无路阻回归及与M0的差异</w:t>
      </w:r>
    </w:p>
    <w:p>
      <w:pPr>
        <w:pStyle w:val="FirstParagraph"/>
      </w:pPr>
      <w:r>
        <w:rPr>
          <w:rFonts w:hint="eastAsia"/>
        </w:rPr>
        <w:t xml:space="preserve">0.6g、无路阻、零再生重新得到单盘752.839N·m、初始63.370kW及接触摩擦功149.5316kJ，与M0解析基线一致。</w:t>
      </w:r>
    </w:p>
    <w:p>
      <w:pPr>
        <w:pStyle w:val="BodyText"/>
      </w:pPr>
      <w:r>
        <w:rPr>
          <w:rFonts w:hint="eastAsia"/>
        </w:rPr>
        <w:t xml:space="preserve">有再生时不应要求M1逐字复制M0固定0.90再生效率的估算。M1改为EPA负转矩联合损耗图加直流功率预算，并新增5–10km/h低速渐退。例如无路阻0.6g／30kW，单盘功由M0约79.20kJ变为M1约80.69kJ；60kW档由约30.93kJ变为约35.03kJ。这反映模型及控制假设变化，未证明真实电机优于或劣于M0假定效率。</w:t>
      </w:r>
    </w:p>
    <w:bookmarkEnd w:id="29"/>
    <w:bookmarkStart w:id="36" w:name="故障与短驱动"/>
    <w:p>
      <w:pPr>
        <w:pStyle w:val="Heading2"/>
      </w:pPr>
      <w:r>
        <w:t xml:space="preserve">6.3 </w:t>
      </w:r>
      <w:r>
        <w:rPr>
          <w:rFonts w:hint="eastAsia"/>
        </w:rPr>
        <w:t xml:space="preserve">故障与短驱动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>
            <w:shd w:fill="EAF0F7"/>
          </w:tcPr>
          <w:p>
            <w:pPr>
              <w:pStyle w:val="Compact"/>
              <w:spacing w:after="60" w:line="252" w:lineRule="auto"/>
            </w:pPr>
            <w:r>
              <w:rPr>
                <w:rFonts w:hint="eastAsia"/>
                <w:b/>
                <w:sz w:val="19"/>
              </w:rPr>
              <w:t xml:space="preserve">场景</w:t>
            </w:r>
          </w:p>
        </w:tc>
        <w:tc>
          <w:tcPr>
            <w:shd w:fill="EAF0F7"/>
          </w:tcPr>
          <w:p>
            <w:pPr>
              <w:pStyle w:val="Compact"/>
              <w:spacing w:after="60" w:line="252" w:lineRule="auto"/>
            </w:pPr>
            <w:r>
              <w:rPr>
                <w:rFonts w:hint="eastAsia"/>
                <w:b/>
                <w:sz w:val="19"/>
              </w:rPr>
              <w:t xml:space="preserve">单侧／整车关键结果</w:t>
            </w:r>
          </w:p>
        </w:tc>
        <w:tc>
          <w:tcPr>
            <w:shd w:fill="EAF0F7"/>
          </w:tcPr>
          <w:p>
            <w:pPr>
              <w:pStyle w:val="Compact"/>
              <w:spacing w:after="60" w:line="252" w:lineRule="auto"/>
            </w:pPr>
            <w:r>
              <w:rPr>
                <w:rFonts w:hint="eastAsia"/>
                <w:b/>
                <w:sz w:val="19"/>
              </w:rPr>
              <w:t xml:space="preserve">解释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左侧再生不可用，0.6g／30kW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左盘144.47kJ，右盘30.99kJ，电池回收100.50kJ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左盘回退全摩擦，右侧使用共享预算；前轴仍计入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高SOC或温度禁充，0.6g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两侧各144.47kJ，电池回收0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有效充电上限为零，不能强制保持原再生比例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强加不同左右轮速与分配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左盘52.26kJ，右盘104.90kJ，交换端口−5.78kJ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仅功率接口测试，不能省略带符号交换项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0→80km/h，0.15g，15.10s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电池净输出559.70kJ，动能增量444.44kJ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另含路阻51.31kJ、齿轮20.66kJ、EMOT43.28kJ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短驱动示例中约91.28%的驱动采样落在稀疏ORNL损耗比例可插值范围内，其余点的联合热量保持未拆分。15.10秒小于原报告18秒参考峰值测试时间，并不证明本新总成的连续或短时温度能力。</w:t>
      </w:r>
    </w:p>
    <w:p>
      <w:pPr>
        <w:pStyle w:val="CaptionedFigure"/>
      </w:pPr>
      <w:r>
        <w:drawing>
          <wp:inline>
            <wp:extent cx="5759999" cy="3972857"/>
            <wp:effectExtent b="0" l="0" r="0" t="0"/>
            <wp:docPr descr="图1：参考损耗图及工程假设下的源项功率和单盘能量；再生区域为EPA镜像估计。" title="" id="31" name="Picture"/>
            <a:graphic>
              <a:graphicData uri="http://schemas.openxmlformats.org/drawingml/2006/picture">
                <pic:pic>
                  <pic:nvPicPr>
                    <pic:cNvPr descr="../results/m1/source_power_curve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39728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图1：参考损耗图及工程假设下的源项功率和单盘能量；再生区域为EPA镜像估计。</w:t>
      </w:r>
    </w:p>
    <w:p>
      <w:pPr>
        <w:pStyle w:val="CaptionedFigure"/>
      </w:pPr>
      <w:r>
        <w:drawing>
          <wp:inline>
            <wp:extent cx="5759999" cy="2417898"/>
            <wp:effectExtent b="0" l="0" r="0" t="0"/>
            <wp:docPr descr="图2：整车能量账本及独立左右速度接口测试。" title="" id="34" name="Picture"/>
            <a:graphic>
              <a:graphicData uri="http://schemas.openxmlformats.org/drawingml/2006/picture">
                <pic:pic>
                  <pic:nvPicPr>
                    <pic:cNvPr descr="../results/m1/energy_and_independent_side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999" cy="24178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图2：整车能量账本及独立左右速度接口测试。</w:t>
      </w:r>
    </w:p>
    <w:bookmarkEnd w:id="36"/>
    <w:bookmarkEnd w:id="37"/>
    <w:bookmarkStart w:id="38" w:name="原功率层测试与真实性"/>
    <w:p>
      <w:pPr>
        <w:pStyle w:val="Heading1"/>
      </w:pPr>
      <w:r>
        <w:t xml:space="preserve">7. </w:t>
      </w:r>
      <w:r>
        <w:rPr>
          <w:rFonts w:hint="eastAsia"/>
        </w:rPr>
        <w:t xml:space="preserve">原功率层测试与真实性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  <w:cantSplit/>
        </w:trPr>
        <w:tc>
          <w:tcPr>
            <w:shd w:fill="EAF0F7"/>
          </w:tcPr>
          <w:p>
            <w:pPr>
              <w:pStyle w:val="Compact"/>
              <w:spacing w:after="60" w:line="252" w:lineRule="auto"/>
            </w:pPr>
            <w:r>
              <w:rPr>
                <w:rFonts w:hint="eastAsia"/>
                <w:b/>
                <w:sz w:val="19"/>
              </w:rPr>
              <w:t xml:space="preserve">检查</w:t>
            </w:r>
          </w:p>
        </w:tc>
        <w:tc>
          <w:tcPr>
            <w:shd w:fill="EAF0F7"/>
          </w:tcPr>
          <w:p>
            <w:pPr>
              <w:pStyle w:val="Compact"/>
              <w:spacing w:after="60" w:line="252" w:lineRule="auto"/>
            </w:pPr>
            <w:r>
              <w:rPr>
                <w:rFonts w:hint="eastAsia"/>
                <w:b/>
                <w:sz w:val="19"/>
              </w:rPr>
              <w:t xml:space="preserve">实际结果与阈值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sz w:val="19"/>
              </w:rPr>
              <w:t xml:space="preserve">MATLAB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R2025a，25.1.0.2943329，实际执行18组测试、23组轨迹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解析回归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零再生100→0单盘功、前轴及两侧总能量与独立解析值一致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方向及单侧标定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盘轮1:1、电机9:1；驱动与反拖分别核查；30kW按整车合计DC侧限制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工况可行性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主23组可实现；额外测试验证附着／放电能力不足时必须报告需求未实现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边界与严格模式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拒绝转速／转矩／电压外推、负车速；拒绝把镜像再生当实测；严格真实热源模式因缺资料明确拒绝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热源未知值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全部轨迹绕组源均为NaN；稀疏凸包外和再生模式不伪造部件损耗分配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功率及积分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点功率容差0.001W、实际最大约9.09e-11W；相对能量阈值1e-6、MATLAB最大约7.20e-16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步长细化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0.02→0.01s，名义单盘摩擦功相对变化约3.71e-5，即0.00371%，低于0.1%预设阈值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Python独立复核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读取23份CSV，另行积分端口能量，最大相对残差约6.81e-15，并检查力、转速、功率约束及热量分配总和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ALPHA／REVS原对象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sz w:val="19"/>
              </w:rPr>
              <w:t xml:space="preserve">NOT </w:t>
            </w:r>
            <w:r>
              <w:rPr>
                <w:rFonts w:hint="eastAsia"/>
                <w:sz w:val="19"/>
              </w:rPr>
              <w:t xml:space="preserve">EXECUTED；使用已经审计的数字表，不依赖未提供的专有类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实体实验、M2、ANSYS、Fluent、优化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sz w:val="19"/>
              </w:rPr>
              <w:t xml:space="preserve">NOT </w:t>
            </w:r>
            <w:r>
              <w:rPr>
                <w:rFonts w:hint="eastAsia"/>
                <w:sz w:val="19"/>
              </w:rPr>
              <w:t xml:space="preserve">EXECUTED；不在本轮范围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初次运行出现了MATLAB对行向量查询的网格格式性能提示，已改为列向量查询后恢复原形状，并重新运行测试与工况。它未改变地图或物理模型；最终日志以重新运行结果为准。</w:t>
      </w:r>
    </w:p>
    <w:p>
      <w:pPr>
        <w:pStyle w:val="BodyText"/>
      </w:pPr>
      <w:r>
        <w:rPr>
          <w:rFonts w:hint="eastAsia"/>
        </w:rPr>
        <w:t xml:space="preserve">复现命令见</w:t>
      </w:r>
      <w:r>
        <w:t xml:space="preserve"> </w:t>
      </w:r>
      <w:r>
        <w:rPr>
          <w:rStyle w:val="VerbatimChar"/>
        </w:rPr>
        <w:t xml:space="preserve">scripts/m1/README.md</w:t>
      </w:r>
      <w:r>
        <w:rPr>
          <w:rFonts w:hint="eastAsia"/>
        </w:rPr>
        <w:t xml:space="preserve">。主要证据：</w:t>
      </w:r>
      <w:r>
        <w:rPr>
          <w:rStyle w:val="VerbatimChar"/>
        </w:rPr>
        <w:t xml:space="preserve">case_summary.csv</w:t>
      </w:r>
      <w:r>
        <w:t xml:space="preserve">、</w:t>
      </w:r>
      <w:r>
        <w:rPr>
          <w:rStyle w:val="VerbatimChar"/>
        </w:rPr>
        <w:t xml:space="preserve">traces/*.csv</w:t>
      </w:r>
      <w:r>
        <w:t xml:space="preserve">、</w:t>
      </w:r>
      <w:r>
        <w:rPr>
          <w:rStyle w:val="VerbatimChar"/>
        </w:rPr>
        <w:t xml:space="preserve">m1_results.mat</w:t>
      </w:r>
      <w:r>
        <w:t xml:space="preserve">、</w:t>
      </w:r>
      <w:r>
        <w:rPr>
          <w:rStyle w:val="VerbatimChar"/>
        </w:rPr>
        <w:t xml:space="preserve">tests.json</w:t>
      </w:r>
      <w:r>
        <w:t xml:space="preserve">、</w:t>
      </w:r>
      <w:r>
        <w:rPr>
          <w:rStyle w:val="VerbatimChar"/>
        </w:rPr>
        <w:t xml:space="preserve">validation.json</w:t>
      </w:r>
      <w:r>
        <w:t xml:space="preserve">、</w:t>
      </w:r>
      <w:r>
        <w:rPr>
          <w:rStyle w:val="VerbatimChar"/>
        </w:rPr>
        <w:t xml:space="preserve">source_readiness.json</w:t>
      </w:r>
      <w:r>
        <w:t xml:space="preserve">、</w:t>
      </w:r>
      <w:r>
        <w:rPr>
          <w:rStyle w:val="VerbatimChar"/>
        </w:rPr>
        <w:t xml:space="preserve">independent_checks.json</w:t>
      </w:r>
      <w:r>
        <w:rPr>
          <w:rFonts w:hint="eastAsia"/>
        </w:rPr>
        <w:t xml:space="preserve">和MATLAB运行日志。所有结果为参考地图及工程假设的数值计算，不是温度实验验证。</w:t>
      </w:r>
    </w:p>
    <w:bookmarkEnd w:id="38"/>
    <w:bookmarkStart w:id="39" w:name="未完成的真实输入与m1送审状态"/>
    <w:p>
      <w:pPr>
        <w:pStyle w:val="Heading1"/>
      </w:pPr>
      <w:r>
        <w:t xml:space="preserve">8. </w:t>
      </w:r>
      <w:r>
        <w:rPr>
          <w:rFonts w:hint="eastAsia"/>
        </w:rPr>
        <w:t xml:space="preserve">未完成的真实输入与M1送审状态</w:t>
      </w:r>
    </w:p>
    <w:p>
      <w:pPr>
        <w:pStyle w:val="FirstParagraph"/>
      </w:pPr>
      <w:r>
        <w:rPr>
          <w:rFonts w:hint="eastAsia"/>
        </w:rPr>
        <w:t xml:space="preserve">以下缺口使M1保持PARTIAL，而不能作为已验证部件热场的完整输入：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电机铜／铁／转子／机械损耗及温度依赖、真实再生下电机与逆变器损耗拆分；目前没有绕组发热图。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实际电压、电池SOC／温度充电曲线、再生和牵引电流限制、原电机连续功率及控制器标定。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两级减速器结构、方向损耗图、轴承／密封／搅油分项及油温依赖。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实际盘片热分配、摩擦温变、几何、质量、材料与允许温度，及内移安装强度和支承。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冷却流路、流量、入口温度、接触热阻、热物性和热预载；这些属于未来热模型的输入准备，未在本轮补造。</w:t>
      </w:r>
    </w:p>
    <w:p>
      <w:pPr>
        <w:pStyle w:val="FirstParagraph"/>
      </w:pPr>
      <w:r>
        <w:rPr>
          <w:rFonts w:hint="eastAsia"/>
        </w:rPr>
        <w:t xml:space="preserve">此前已完成可运行的M1功率／热源框架。上述缺口仍限制真实部件温度验证，但用户本轮允许使用可追溯的工程替代方案；后文给出参数化模型与概念数值关卡。PR只申请审查，不自行合并、打Tag或启动M2。</w:t>
      </w:r>
    </w:p>
    <w:bookmarkEnd w:id="39"/>
    <w:bookmarkStart w:id="42" w:name="参考与文件定位"/>
    <w:p>
      <w:pPr>
        <w:pStyle w:val="Heading1"/>
      </w:pPr>
      <w:r>
        <w:rPr>
          <w:rFonts w:hint="eastAsia"/>
        </w:rPr>
        <w:t xml:space="preserve">参考与文件定位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原始数据及SHA：</w:t>
      </w:r>
      <w:r>
        <w:rPr>
          <w:rStyle w:val="VerbatimChar"/>
        </w:rPr>
        <w:t xml:space="preserve">data/raw/m0/manifest.json</w:t>
      </w:r>
      <w:r>
        <w:rPr>
          <w:rFonts w:hint="eastAsia"/>
        </w:rPr>
        <w:t xml:space="preserve">，EPA包内3a生成说明、3c独立驱动效率表和7号</w:t>
      </w:r>
      <w:r>
        <w:rPr>
          <w:rStyle w:val="VerbatimChar"/>
        </w:rPr>
        <w:t xml:space="preserve">.m</w:t>
      </w:r>
      <w:r>
        <w:rPr>
          <w:rFonts w:hint="eastAsia"/>
        </w:rPr>
        <w:t xml:space="preserve">数字定义。</w:t>
      </w:r>
    </w:p>
    <w:p>
      <w:pPr>
        <w:pStyle w:val="Compact"/>
        <w:numPr>
          <w:ilvl w:val="0"/>
          <w:numId w:val="1002"/>
        </w:numPr>
      </w:pPr>
      <w:hyperlink r:id="rId40">
        <w:r>
          <w:rPr>
            <w:rStyle w:val="Hyperlink"/>
          </w:rPr>
          <w:t xml:space="preserve">US EPA </w:t>
        </w:r>
        <w:r>
          <w:rPr>
            <w:rStyle w:val="Hyperlink"/>
            <w:rFonts w:hint="eastAsia"/>
          </w:rPr>
          <w:t xml:space="preserve">官方eMotor地图目录</w:t>
        </w:r>
      </w:hyperlink>
      <w:r>
        <w:rPr>
          <w:rFonts w:hint="eastAsia"/>
        </w:rPr>
        <w:t xml:space="preserve">；MG2包版本2023-04-06。</w:t>
      </w:r>
    </w:p>
    <w:p>
      <w:pPr>
        <w:pStyle w:val="Compact"/>
        <w:numPr>
          <w:ilvl w:val="0"/>
          <w:numId w:val="1002"/>
        </w:numPr>
      </w:pPr>
      <w:hyperlink r:id="rId41">
        <w:r>
          <w:rPr>
            <w:rStyle w:val="Hyperlink"/>
            <w:rFonts w:hint="eastAsia"/>
          </w:rPr>
          <w:t xml:space="preserve">ORNL/TM-2010/253，2011-03</w:t>
        </w:r>
      </w:hyperlink>
      <w:r>
        <w:rPr>
          <w:rFonts w:hint="eastAsia"/>
        </w:rPr>
        <w:t xml:space="preserve">，原M0已保存并审计；不把原冷却及18秒能力直接移植为本车连续能力。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docs/REAR_DRIVE_V04_SOURCED_BASELINE.md</w:t>
      </w:r>
      <w:r>
        <w:t xml:space="preserve">、</w:t>
      </w:r>
      <w:r>
        <w:rPr>
          <w:rStyle w:val="VerbatimChar"/>
        </w:rPr>
        <w:t xml:space="preserve">docs/CODEX_EXECUTION.md</w:t>
      </w:r>
      <w:r>
        <w:rPr>
          <w:rFonts w:hint="eastAsia"/>
        </w:rPr>
        <w:t xml:space="preserve">及</w:t>
      </w:r>
      <w:r>
        <w:rPr>
          <w:rStyle w:val="VerbatimChar"/>
        </w:rPr>
        <w:t xml:space="preserve">docs/GIT_VERSIONING_POLICY.md</w:t>
      </w:r>
      <w:r>
        <w:t xml:space="preserve">。</w:t>
      </w:r>
    </w:p>
    <w:bookmarkEnd w:id="42"/>
    <w:bookmarkStart w:id="45" w:name="公开资料补充与参数化模型"/>
    <w:p>
      <w:pPr>
        <w:pStyle w:val="Heading1"/>
      </w:pPr>
      <w:r>
        <w:t xml:space="preserve">9. </w:t>
      </w:r>
      <w:r>
        <w:rPr>
          <w:rFonts w:hint="eastAsia"/>
        </w:rPr>
        <w:t xml:space="preserve">公开资料补充与参数化模型</w:t>
      </w:r>
    </w:p>
    <w:p>
      <w:pPr>
        <w:pStyle w:val="FirstParagraph"/>
      </w:pPr>
      <w:r>
        <w:rPr>
          <w:rFonts w:hint="eastAsia"/>
        </w:rPr>
        <w:t xml:space="preserve">完整资料审查见</w:t>
      </w:r>
      <w:r>
        <w:t xml:space="preserve"> </w:t>
      </w:r>
      <w:r>
        <w:rPr>
          <w:rStyle w:val="VerbatimChar"/>
        </w:rPr>
        <w:t xml:space="preserve">docs/M1_SOURCE_REVIEW.md</w:t>
      </w:r>
      <w:r>
        <w:rPr>
          <w:rFonts w:hint="eastAsia"/>
        </w:rPr>
        <w:t xml:space="preserve">；下载记录、UTC时间及哈希见</w:t>
      </w:r>
      <w:r>
        <w:t xml:space="preserve"> </w:t>
      </w:r>
      <w:r>
        <w:rPr>
          <w:rStyle w:val="VerbatimChar"/>
        </w:rPr>
        <w:t xml:space="preserve">data/raw/m1/manifest.json</w:t>
      </w:r>
      <w:r>
        <w:rPr>
          <w:rFonts w:hint="eastAsia"/>
        </w:rPr>
        <w:t xml:space="preserve">。本轮复用M0</w:t>
      </w:r>
      <w:r>
        <w:t xml:space="preserve"> </w:t>
      </w:r>
      <w:r>
        <w:rPr>
          <w:rFonts w:hint="eastAsia"/>
        </w:rPr>
        <w:t xml:space="preserve">ORNL原件，新增NBS铜线手册、Corley等2019齿轮箱公开论文与CrossRef</w:t>
      </w:r>
      <w:r>
        <w:t xml:space="preserve"> </w:t>
      </w:r>
      <w:r>
        <w:rPr>
          <w:rFonts w:hint="eastAsia"/>
        </w:rPr>
        <w:t xml:space="preserve">DOI核对。SKF、MathWorks及Infineon官方方法页经在线核查；Infineon页面Python下载被HTTP拒绝，浏览工具可读，未伪造本地原文。本轮是针对缺口的方法检索，未穷尽所有文献，未声称其他标定绝不可能获得。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>
            <w:shd w:fill="EAF0F7"/>
          </w:tcPr>
          <w:p>
            <w:pPr>
              <w:pStyle w:val="Compact"/>
              <w:spacing w:after="60" w:line="252" w:lineRule="auto"/>
            </w:pPr>
            <w:r>
              <w:rPr>
                <w:rFonts w:hint="eastAsia"/>
                <w:b/>
                <w:sz w:val="19"/>
              </w:rPr>
              <w:t xml:space="preserve">可追溯资料</w:t>
            </w:r>
          </w:p>
        </w:tc>
        <w:tc>
          <w:tcPr>
            <w:shd w:fill="EAF0F7"/>
          </w:tcPr>
          <w:p>
            <w:pPr>
              <w:pStyle w:val="Compact"/>
              <w:spacing w:after="60" w:line="252" w:lineRule="auto"/>
            </w:pPr>
            <w:r>
              <w:rPr>
                <w:rFonts w:hint="eastAsia"/>
                <w:b/>
                <w:sz w:val="19"/>
              </w:rPr>
              <w:t xml:space="preserve">实际支持内容</w:t>
            </w:r>
          </w:p>
        </w:tc>
        <w:tc>
          <w:tcPr>
            <w:shd w:fill="EAF0F7"/>
          </w:tcPr>
          <w:p>
            <w:pPr>
              <w:pStyle w:val="Compact"/>
              <w:spacing w:after="60" w:line="252" w:lineRule="auto"/>
            </w:pPr>
            <w:r>
              <w:rPr>
                <w:rFonts w:hint="eastAsia"/>
                <w:b/>
                <w:sz w:val="19"/>
              </w:rPr>
              <w:t xml:space="preserve">适用限制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sz w:val="19"/>
              </w:rPr>
              <w:t xml:space="preserve">ORNL </w:t>
            </w:r>
            <w:r>
              <w:rPr>
                <w:rFonts w:hint="eastAsia"/>
                <w:sz w:val="19"/>
              </w:rPr>
              <w:t xml:space="preserve">Pub26762，表2.7，印刷46页/PDF55页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每相0.077Ω@21°C，定义为平均相间电阻/2；已目视核对2010Prius列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S1真实标量，但没有对应电流轨迹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ORNL印刷58、62–63页及EPA工作簿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同一转矩有多种d/q电流；650V/5kHz测试、效率分离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EPA两张效率表未提供电流或内部损耗测量列；不能唯一辨识铜/铁/转子损耗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sz w:val="19"/>
              </w:rPr>
              <w:t xml:space="preserve">NBS Handbook100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铜的温变关系，20°C系数0.00393/K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通用铜，不是MG2实际运行温度、AC电阻或材料认证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sz w:val="19"/>
              </w:rPr>
              <w:t xml:space="preserve">MathWorks </w:t>
            </w:r>
            <w:r>
              <w:rPr>
                <w:rFonts w:hint="eastAsia"/>
                <w:sz w:val="19"/>
              </w:rPr>
              <w:t xml:space="preserve">PMSM方法页、Infineon</w:t>
            </w:r>
            <w:r>
              <w:rPr>
                <w:sz w:val="19"/>
              </w:rPr>
              <w:t xml:space="preserve"> </w:t>
            </w:r>
            <w:r>
              <w:rPr>
                <w:rFonts w:hint="eastAsia"/>
                <w:sz w:val="19"/>
              </w:rPr>
              <w:t xml:space="preserve">IGBT方法页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铜/铁损与电流/频率关系；导通及开关损耗计算所需输入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未运行高版本Simscape块；没有移植其他器件的数值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Corley等2019，DOI10.1049/joe.2018.9282；SKF摩擦方法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齿面、轴承、搅油与密封分项，功率比例及摩擦转矩功率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不移植风机减速器几何/系数；不是完整ISO/TR14179实现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MathWorks盘片示例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热逸散率分配形式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不将示例材料当成本项目实际盘片材料</w:t>
            </w:r>
          </w:p>
        </w:tc>
      </w:tr>
    </w:tbl>
    <w:bookmarkStart w:id="43" w:name="电机固定联合预算内的物理形状分配"/>
    <w:p>
      <w:pPr>
        <w:pStyle w:val="Heading2"/>
      </w:pPr>
      <w:r>
        <w:t xml:space="preserve">9.1 </w:t>
      </w:r>
      <w:r>
        <w:rPr>
          <w:rFonts w:hint="eastAsia"/>
        </w:rPr>
        <w:t xml:space="preserve">电机：固定联合预算内的物理形状分配</w:t>
      </w:r>
    </w:p>
    <w:p>
      <w:pPr>
        <w:pStyle w:val="FirstParagraph"/>
      </w:pPr>
      <w:r>
        <w:rPr>
          <w:rFonts w:hint="eastAsia"/>
        </w:rPr>
        <w:t xml:space="preserve">令</w:t>
      </w:r>
      <m:oMath>
        <m:r>
          <m:t>x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6000</m:t>
        </m:r>
      </m:oMath>
      <w:r>
        <w:t xml:space="preserve">、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|</m:t>
        </m:r>
        <m:r>
          <m:t>τ</m:t>
        </m:r>
        <m:r>
          <m:rPr>
            <m:sty m:val="p"/>
          </m:rPr>
          <m:t>|</m:t>
        </m:r>
        <m:r>
          <m:rPr>
            <m:sty m:val="p"/>
          </m:rPr>
          <m:t>/</m:t>
        </m:r>
        <m:r>
          <m:t>100</m:t>
        </m:r>
      </m:oMath>
      <w:r>
        <w:rPr>
          <w:rFonts w:hint="eastAsia"/>
        </w:rPr>
        <w:t xml:space="preserve">，转速单位rpm，转矩单位Nm。独立配置</w:t>
      </w:r>
      <w:r>
        <w:t xml:space="preserve"> </w:t>
      </w:r>
      <w:r>
        <w:rPr>
          <w:rStyle w:val="VerbatimChar"/>
        </w:rPr>
        <w:t xml:space="preserve">configs/m1_source_partition.yaml</w:t>
      </w:r>
      <w:r>
        <w:t xml:space="preserve"> </w:t>
      </w:r>
      <w:r>
        <w:rPr>
          <w:rFonts w:hint="eastAsia"/>
        </w:rPr>
        <w:t xml:space="preserve">的相电流RMS代理为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τ</m:t>
              </m:r>
              <m:r>
                <m:rPr>
                  <m:sty m:val="p"/>
                </m:rPr>
                <m:t>|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t>T</m:t>
                  </m:r>
                </m:sub>
              </m:sSub>
            </m:den>
          </m:f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f</m:t>
                  </m:r>
                  <m:r>
                    <m:t>w</m:t>
                  </m:r>
                </m:sub>
              </m:sSub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max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4500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0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k</m:t>
            </m:r>
          </m:e>
          <m:sub>
            <m:r>
              <m:t>T</m:t>
            </m:r>
          </m:sub>
        </m:sSub>
      </m:oMath>
      <w:r>
        <w:rPr>
          <w:rFonts w:hint="eastAsia"/>
        </w:rPr>
        <w:t xml:space="preserve">为S3等效系数，不是IPMSM在全工况的真实常数；4500rpm是S3弱磁形状起点。将21°C实测电阻与20°C通用铜温度系数统一：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0.077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r>
                <m:t>0.00393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)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r>
                <m:t>0.00393</m:t>
              </m:r>
              <m:r>
                <m:rPr>
                  <m:sty m:val="p"/>
                </m:rPr>
                <m:t>(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20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T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rPr>
          <w:rFonts w:hint="eastAsia"/>
        </w:rPr>
        <w:t xml:space="preserve">为给定参数，未求解温度反馈。铜、定子铁心与转子/其他合并项采用非负权重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C</m:t>
              </m:r>
              <m:r>
                <m:t>u</m:t>
              </m:r>
            </m:sub>
          </m:sSub>
          <m:r>
            <m:rPr>
              <m:sty m:val="p"/>
            </m:rPr>
            <m:t>=</m:t>
          </m:r>
          <m:r>
            <m:t>3</m:t>
          </m:r>
          <m:r>
            <m:t>R</m:t>
          </m:r>
          <m:r>
            <m:rPr>
              <m:sty m:val="p"/>
            </m:rPr>
            <m:t>(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)</m:t>
          </m:r>
          <m:sSubSup>
            <m:e>
              <m:r>
                <m:t>I</m:t>
              </m:r>
            </m:e>
            <m:sub>
              <m:r>
                <m:rPr>
                  <m:sty m:val="p"/>
                </m:rPr>
                <m:t>*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  <m:r>
                <m:t>c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F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e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R</m:t>
              </m:r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r</m:t>
              </m:r>
            </m:sub>
          </m:sSub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>
            <m:e>
              <m:r>
                <m:t>k</m:t>
              </m:r>
            </m:e>
            <m:sub>
              <m:r>
                <m:t>s</m:t>
              </m:r>
            </m:sub>
          </m:sSub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铁损一/二次项借鉴固定极对数、假定磁密下的频率依赖；缺磁链与谐波数据，未计算真实局部铁损。转子/其他项还含杂散与未分离机械损耗，不能称为磁钢独立涡流热源。</w:t>
      </w:r>
    </w:p>
    <w:p>
      <w:pPr>
        <w:pStyle w:val="BodyText"/>
      </w:pPr>
      <w:r>
        <w:rPr>
          <w:rFonts w:hint="eastAsia"/>
        </w:rPr>
        <w:t xml:space="preserve">驱动凸包内保留ORNL分离比向EPA总损耗传递的方法，并对逆变器比乘数扫描；凸包外及再生采用显式S3回退比例。逆变器热量为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i</m:t>
            </m:r>
          </m:sub>
        </m:sSub>
        <m:sSub>
          <m:e>
            <m:r>
              <m:t>Q</m:t>
            </m:r>
          </m:e>
          <m:sub>
            <m:r>
              <m:t>E</m:t>
            </m:r>
            <m:r>
              <m:t>M</m:t>
            </m:r>
            <m:r>
              <m:t>O</m:t>
            </m:r>
            <m:r>
              <m:t>T</m:t>
            </m:r>
          </m:sub>
        </m:sSub>
      </m:oMath>
      <w:r>
        <w:rPr>
          <w:rFonts w:hint="eastAsia"/>
        </w:rPr>
        <w:t xml:space="preserve">，剩余电机预算为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f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b>
            <m:e>
              <m:r>
                <m:t>Q</m:t>
              </m:r>
            </m:e>
            <m:sub>
              <m:r>
                <m:t>E</m:t>
              </m:r>
              <m:r>
                <m:t>M</m:t>
              </m:r>
              <m:r>
                <m:t>O</m:t>
              </m:r>
              <m:r>
                <m:t>T</m:t>
              </m:r>
            </m:sub>
          </m:sSub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</m:num>
            <m:den>
              <m:sSub>
                <m:e>
                  <m:r>
                    <m:t>w</m:t>
                  </m:r>
                </m:e>
                <m:sub>
                  <m:r>
                    <m:t>C</m:t>
                  </m:r>
                  <m:r>
                    <m:t>u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F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R</m:t>
                  </m:r>
                  <m:r>
                    <m:t>o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C</m:t>
          </m:r>
          <m:r>
            <m:t>u</m:t>
          </m:r>
          <m:r>
            <m:rPr>
              <m:sty m:val="p"/>
            </m:rPr>
            <m:t>,</m:t>
          </m:r>
          <m:r>
            <m:t>F</m:t>
          </m:r>
          <m:r>
            <m:t>e</m:t>
          </m:r>
          <m:r>
            <m:rPr>
              <m:sty m:val="p"/>
            </m:rPr>
            <m:t>,</m:t>
          </m:r>
          <m:r>
            <m:t>R</m:t>
          </m:r>
          <m:r>
            <m:t>o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由此</w:t>
      </w:r>
      <m:oMath>
        <m:sSub>
          <m:e>
            <m:r>
              <m:t>Q</m:t>
            </m:r>
          </m:e>
          <m:sub>
            <m:r>
              <m:t>C</m:t>
            </m:r>
            <m:r>
              <m:t>u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F</m:t>
            </m:r>
            <m:r>
              <m:t>e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R</m:t>
            </m:r>
            <m:r>
              <m:t>o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Q</m:t>
            </m:r>
          </m:e>
          <m:sub>
            <m:r>
              <m:t>E</m:t>
            </m:r>
            <m:r>
              <m:t>M</m:t>
            </m:r>
            <m:r>
              <m:t>O</m:t>
            </m:r>
            <m:r>
              <m:t>T</m:t>
            </m:r>
          </m:sub>
        </m:sSub>
      </m:oMath>
      <w:r>
        <w:rPr>
          <w:rFonts w:hint="eastAsia"/>
        </w:rPr>
        <w:t xml:space="preserve">，没有在联合图之上追加一份损耗。原始</w:t>
      </w:r>
      <m:oMath>
        <m:r>
          <m:t>3</m:t>
        </m:r>
        <m:r>
          <m:t>R</m:t>
        </m:r>
        <m:sSubSup>
          <m:e>
            <m:r>
              <m:t>I</m:t>
            </m:r>
          </m:e>
          <m:sub>
            <m:r>
              <m:rPr>
                <m:sty m:val="p"/>
              </m:rPr>
              <m:t>*</m:t>
            </m:r>
          </m:sub>
          <m:sup>
            <m:r>
              <m:t>2</m:t>
            </m:r>
          </m:sup>
        </m:sSubSup>
      </m:oMath>
      <w:r>
        <w:rPr>
          <w:rFonts w:hint="eastAsia"/>
        </w:rPr>
        <w:t xml:space="preserve">只是权重，归一化后铜热量不再是经真实电流验证的绝对铜耗。接口保留原始权重、代理电流及归一化因子。零预算时全部候选热量为零、归一化因子为NaN。</w:t>
      </w:r>
    </w:p>
    <w:bookmarkEnd w:id="43"/>
    <w:bookmarkStart w:id="44" w:name="减速器及盘片"/>
    <w:p>
      <w:pPr>
        <w:pStyle w:val="Heading2"/>
      </w:pPr>
      <w:r>
        <w:t xml:space="preserve">9.2 </w:t>
      </w:r>
      <w:r>
        <w:rPr>
          <w:rFonts w:hint="eastAsia"/>
        </w:rPr>
        <w:t xml:space="preserve">减速器及盘片</w:t>
      </w:r>
    </w:p>
    <w:p>
      <w:pPr>
        <w:pStyle w:val="FirstParagraph"/>
      </w:pPr>
      <w:r>
        <w:rPr>
          <w:rFonts w:hint="eastAsia"/>
        </w:rPr>
        <w:t xml:space="preserve">保留原方向效率损耗</w:t>
      </w:r>
      <m:oMath>
        <m:sSub>
          <m:e>
            <m:r>
              <m:t>Q</m:t>
            </m:r>
          </m:e>
          <m:sub>
            <m:r>
              <m:t>g</m:t>
            </m:r>
          </m:sub>
        </m:sSub>
      </m:oMath>
      <w:r>
        <w:rPr>
          <w:rFonts w:hint="eastAsia"/>
        </w:rPr>
        <w:t xml:space="preserve">。以电机轴角速度</w:t>
      </w:r>
      <m:oMath>
        <m:sSub>
          <m:e>
            <m:r>
              <m:t>ω</m:t>
            </m:r>
          </m:e>
          <m:sub>
            <m:r>
              <m:t>m</m:t>
            </m:r>
          </m:sub>
        </m:sSub>
      </m:oMath>
      <w:r>
        <w:rPr>
          <w:rFonts w:hint="eastAsia"/>
        </w:rPr>
        <w:t xml:space="preserve">及轮端传动功率</w:t>
      </w:r>
      <m:oMath>
        <m:sSub>
          <m:e>
            <m:r>
              <m:t>P</m:t>
            </m:r>
          </m:e>
          <m:sub>
            <m:r>
              <m:t>w</m:t>
            </m:r>
          </m:sub>
        </m:sSub>
      </m:oMath>
      <w:r>
        <w:rPr>
          <w:rFonts w:hint="eastAsia"/>
        </w:rPr>
        <w:t xml:space="preserve">建立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m</m:t>
              </m:r>
              <m:r>
                <m:t>e</m:t>
              </m:r>
              <m:r>
                <m:t>s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|</m:t>
          </m:r>
          <m:sSub>
            <m:e>
              <m:r>
                <m:t>P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w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τ</m:t>
              </m:r>
            </m:e>
            <m:sub>
              <m:r>
                <m:t>b</m:t>
              </m:r>
            </m:sub>
          </m:sSub>
          <m:sSub>
            <m:e>
              <m:r>
                <m:t>ω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|</m:t>
          </m:r>
          <m:sSub>
            <m:e>
              <m:r>
                <m:t>P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w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o</m:t>
              </m:r>
            </m:sub>
          </m:sSub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r>
                <m:t>s</m:t>
              </m:r>
            </m:sub>
          </m:sSub>
          <m:sSub>
            <m:e>
              <m:r>
                <m:t>ω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g</m:t>
              </m:r>
            </m:sub>
          </m:sSub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载荷比例及摩擦转矩功率有公开方法支持；速度三次是固定阻力系数近似下的探索性形状，</w:t>
      </w:r>
      <w:r>
        <w:rPr>
          <w:rFonts w:hint="eastAsia"/>
          <w:b/>
          <w:bCs/>
        </w:rPr>
        <w:t xml:space="preserve">不是复现Corley文中的搅油关联式</w:t>
      </w:r>
      <w:r>
        <w:rPr>
          <w:rFonts w:hint="eastAsia"/>
        </w:rPr>
        <w:t xml:space="preserve">。系数全部S3，折算到电机轴。原模型零传功时</w:t>
      </w:r>
      <m:oMath>
        <m:sSub>
          <m:e>
            <m:r>
              <m:t>Q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，仍遗漏真实空载搅油/拖曳，不能把权重再当额外热量叠加。</w:t>
      </w:r>
    </w:p>
    <w:p>
      <w:pPr>
        <w:pStyle w:val="BodyText"/>
      </w:pPr>
      <w:r>
        <w:rPr>
          <w:rFonts w:hint="eastAsia"/>
        </w:rPr>
        <w:t xml:space="preserve">盘片沿用</w:t>
      </w:r>
      <m:oMath>
        <m:sSub>
          <m:e>
            <m:r>
              <m:t>Q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β</m:t>
        </m:r>
        <m:sSub>
          <m:e>
            <m:r>
              <m:t>P</m:t>
            </m:r>
          </m:e>
          <m:sub>
            <m:r>
              <m:t>f</m:t>
            </m:r>
          </m:sub>
        </m:sSub>
      </m:oMath>
      <w:r>
        <w:t xml:space="preserve">、</w:t>
      </w:r>
      <m:oMath>
        <m:sSub>
          <m:e>
            <m:r>
              <m:t>Q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β</m:t>
        </m:r>
        <m:r>
          <m:rPr>
            <m:sty m:val="p"/>
          </m:rPr>
          <m:t>)</m:t>
        </m:r>
        <m:sSub>
          <m:e>
            <m:r>
              <m:t>P</m:t>
            </m:r>
          </m:e>
          <m:sub>
            <m:r>
              <m:t>f</m:t>
            </m:r>
          </m:sub>
        </m:sSub>
      </m:oMath>
      <w:r>
        <w:rPr>
          <w:rFonts w:hint="eastAsia"/>
        </w:rPr>
        <w:t xml:space="preserve">。热逸散率</w:t>
      </w:r>
      <m:oMath>
        <m:r>
          <m:t>e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k</m:t>
            </m:r>
            <m:r>
              <m:t>ρ</m:t>
            </m:r>
            <m:sSub>
              <m:e>
                <m:r>
                  <m:t>c</m:t>
                </m:r>
              </m:e>
              <m:sub>
                <m:r>
                  <m:t>p</m:t>
                </m:r>
              </m:sub>
            </m:sSub>
          </m:e>
        </m:rad>
      </m:oMath>
      <w:r>
        <w:t xml:space="preserve">、</w:t>
      </w:r>
      <m:oMath>
        <m:r>
          <m:t>β</m:t>
        </m: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d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d</m:t>
            </m:r>
          </m:sub>
        </m:sSub>
        <m:r>
          <m:rPr>
            <m:sty m:val="p"/>
          </m:rPr>
          <m:t>+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rPr>
          <w:rFonts w:hint="eastAsia"/>
        </w:rPr>
        <w:t xml:space="preserve">支持分配方法，但材料、运动接触与热阻未知，</w:t>
      </w:r>
      <m:oMath>
        <m:r>
          <m:t>β</m:t>
        </m:r>
        <m:r>
          <m:rPr>
            <m:sty m:val="p"/>
          </m:rPr>
          <m:t>=</m:t>
        </m:r>
        <m:r>
          <m:t>0.90</m:t>
        </m:r>
      </m:oMath>
      <w:r>
        <w:rPr>
          <w:rFonts w:hint="eastAsia"/>
        </w:rPr>
        <w:t xml:space="preserve">和0.85–0.95扫描仍是S3。</w:t>
      </w:r>
    </w:p>
    <w:bookmarkEnd w:id="44"/>
    <w:bookmarkEnd w:id="45"/>
    <w:bookmarkStart w:id="58" w:name="不确定性与实际敏感性结果"/>
    <w:p>
      <w:pPr>
        <w:pStyle w:val="Heading1"/>
      </w:pPr>
      <w:r>
        <w:t xml:space="preserve">10. </w:t>
      </w:r>
      <w:r>
        <w:rPr>
          <w:rFonts w:hint="eastAsia"/>
        </w:rPr>
        <w:t xml:space="preserve">不确定性与实际敏感性结果</w:t>
      </w:r>
    </w:p>
    <w:p>
      <w:pPr>
        <w:pStyle w:val="FirstParagraph"/>
      </w:pPr>
      <w:r>
        <w:rPr>
          <w:rFonts w:hint="eastAsia"/>
        </w:rPr>
        <w:t xml:space="preserve">16项参数均以“下界/候选/上界”保存；</w:t>
      </w:r>
      <w:r>
        <w:rPr>
          <w:rFonts w:hint="eastAsia"/>
          <w:b/>
          <w:bCs/>
        </w:rPr>
        <w:t xml:space="preserve">所有区间数值均为S3探索性选择，不是文献给出的MG2标定区间或概率分布</w:t>
      </w:r>
      <w:r>
        <w:rPr>
          <w:rFonts w:hint="eastAsia"/>
        </w:rPr>
        <w:t xml:space="preserve">。例如转矩常数代理0.50/0.70/0.90Nm/Arms、温度40/100/140°C、回退逆变器比0.05/0.15/0.35、盘比0.85/0.90/0.95。完整值、量纲和选择依据见配置及资料审查。真实资料支持规律或电阻标量，不会使整体预测自动升级为S1。</w:t>
      </w:r>
    </w:p>
    <w:bookmarkStart w:id="46" w:name="条件上下界"/>
    <w:p>
      <w:pPr>
        <w:pStyle w:val="Heading2"/>
      </w:pPr>
      <w:r>
        <w:t xml:space="preserve">10.1 </w:t>
      </w:r>
      <w:r>
        <w:rPr>
          <w:rFonts w:hint="eastAsia"/>
        </w:rPr>
        <w:t xml:space="preserve">条件上下界</w:t>
      </w:r>
    </w:p>
    <w:p>
      <w:pPr>
        <w:pStyle w:val="FirstParagraph"/>
      </w:pPr>
      <w:r>
        <w:rPr>
          <w:rFonts w:hint="eastAsia"/>
        </w:rPr>
        <w:t xml:space="preserve">正权重单调分式构造逐时包络，例如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C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E</m:t>
              </m:r>
              <m:r>
                <m:t>M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f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i</m:t>
              </m:r>
            </m:sub>
          </m:sSub>
          <m:r>
            <m:rPr>
              <m:sty m:val="p"/>
            </m:rPr>
            <m:t>)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t>o</m:t>
                  </m:r>
                </m:sub>
              </m:sSub>
            </m:num>
            <m:den>
              <m:sSub>
                <m:e>
                  <m:r>
                    <m:t>w</m:t>
                  </m:r>
                </m:e>
                <m:sub>
                  <m:r>
                    <m:t>C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t>o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F</m:t>
                  </m:r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R</m:t>
                  </m:r>
                  <m:r>
                    <m:t>o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i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C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Q</m:t>
              </m:r>
            </m:e>
            <m:sub>
              <m:r>
                <m:t>E</m:t>
              </m:r>
              <m:r>
                <m:t>M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f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t>o</m:t>
              </m:r>
            </m:sub>
          </m:sSub>
          <m:r>
            <m:rPr>
              <m:sty m:val="p"/>
            </m:rPr>
            <m:t>)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w</m:t>
                  </m:r>
                </m:e>
                <m:sub>
                  <m:r>
                    <m:t>C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F</m:t>
                  </m:r>
                  <m:r>
                    <m:t>e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t>o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w</m:t>
                  </m:r>
                </m:e>
                <m:sub>
                  <m:r>
                    <m:t>R</m:t>
                  </m:r>
                  <m:r>
                    <m:t>o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t>o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其余分项同理，零预算显式处理。这是</w:t>
      </w:r>
      <w:r>
        <w:rPr>
          <w:rFonts w:hint="eastAsia"/>
          <w:b/>
          <w:bCs/>
        </w:rPr>
        <w:t xml:space="preserve">给定参数盒、联合与传动总损耗固定的条件包络</w:t>
      </w:r>
      <w:r>
        <w:rPr>
          <w:rFonts w:hint="eastAsia"/>
        </w:rPr>
        <w:t xml:space="preserve">，不是统计置信区间。各分项极值通常对应不同参数组合，不能把全部上界拼成守恒时序；未来温度敏感性应使用同一组参数重算所有分项。本次未覆盖联合地图总损耗和0.96效率自身的真实误差。</w:t>
      </w:r>
    </w:p>
    <w:bookmarkEnd w:id="46"/>
    <w:bookmarkStart w:id="50" w:name="名义分配与区间单侧kj"/>
    <w:p>
      <w:pPr>
        <w:pStyle w:val="Heading2"/>
      </w:pPr>
      <w:r>
        <w:t xml:space="preserve">10.2 </w:t>
      </w:r>
      <w:r>
        <w:rPr>
          <w:rFonts w:hint="eastAsia"/>
        </w:rPr>
        <w:t xml:space="preserve">名义分配与区间（单侧，kJ）</w:t>
      </w:r>
    </w:p>
    <w:p>
      <w:pPr>
        <w:pStyle w:val="FirstParagraph"/>
      </w:pPr>
      <w:r>
        <w:rPr>
          <w:rFonts w:hint="eastAsia"/>
        </w:rPr>
        <w:t xml:space="preserve">代表制动为100→0km/h、0.6g、含路阻、整车30kW限充；短驱动为0→80km/h、0.15g。括号为各分项独立包络积分，不是同时可达的总上/下界。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  <w:cantSplit/>
        </w:trPr>
        <w:tc>
          <w:tcPr>
            <w:shd w:fill="EAF0F7"/>
          </w:tcPr>
          <w:p>
            <w:pPr>
              <w:pStyle w:val="Compact"/>
              <w:spacing w:after="60" w:line="252" w:lineRule="auto"/>
            </w:pPr>
            <w:r>
              <w:rPr>
                <w:rFonts w:hint="eastAsia"/>
                <w:b/>
                <w:sz w:val="19"/>
              </w:rPr>
              <w:t xml:space="preserve">分项</w:t>
            </w:r>
          </w:p>
        </w:tc>
        <w:tc>
          <w:tcPr>
            <w:shd w:fill="EAF0F7"/>
          </w:tcPr>
          <w:p>
            <w:pPr>
              <w:pStyle w:val="Compact"/>
              <w:spacing w:after="60" w:line="252" w:lineRule="auto"/>
            </w:pPr>
            <w:r>
              <w:rPr>
                <w:rFonts w:hint="eastAsia"/>
                <w:b/>
                <w:sz w:val="19"/>
              </w:rPr>
              <w:t xml:space="preserve">制动名义（下–上）</w:t>
            </w:r>
          </w:p>
        </w:tc>
        <w:tc>
          <w:tcPr>
            <w:shd w:fill="EAF0F7"/>
          </w:tcPr>
          <w:p>
            <w:pPr>
              <w:pStyle w:val="Compact"/>
              <w:spacing w:after="60" w:line="252" w:lineRule="auto"/>
            </w:pPr>
            <w:r>
              <w:rPr>
                <w:rFonts w:hint="eastAsia"/>
                <w:b/>
                <w:sz w:val="19"/>
              </w:rPr>
              <w:t xml:space="preserve">短驱动名义（下–上）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铜耗候选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4.549（2.518–6.035）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12.693（8.470–15.291）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定子铁损候选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0.885（0.131–2.316）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0.943（0.140–3.652）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转子/其他合并候选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0.183（0.017–0.982）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0.204（0.023–1.266）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独立逆变器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0.991（0.330–2.313）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7.802（6.146–9.596）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齿面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2.079（1.164–2.600）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8.212（4.887–9.877）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轴承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0.468（0.098–1.274）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1.687（0.360–4.600）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油液/密封等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0.196（0.026–0.782）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0.430（0.054–2.090）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盘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68.282（64.488–72.075）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sz w:val="19"/>
              </w:rPr>
              <w:t xml:space="preserve">0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片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7.587（3.793–11.380）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sz w:val="19"/>
              </w:rPr>
              <w:t xml:space="preserve">0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名义电机预算归一化因子在46条时序的非零预算样本中为0.264–5.333，约0.147%样本超出预设0.25–4诊断范围。此范围只作提示，不是物理验收标准；偏差说明权重未标定，应将模型称为守恒工程分配，不能用闭合证明绝对损耗分离准确。</w:t>
      </w:r>
    </w:p>
    <w:p>
      <w:pPr>
        <w:pStyle w:val="CaptionedFigure"/>
      </w:pPr>
      <w:r>
        <w:drawing>
          <wp:inline>
            <wp:extent cx="6045200" cy="4051536"/>
            <wp:effectExtent b="0" l="0" r="0" t="0"/>
            <wp:docPr descr="S3工程假设预测：单侧分项功率，黑虚线为EPA参考联合预算，再生为镜像估计。" title="" id="48" name="Picture"/>
            <a:graphic>
              <a:graphicData uri="http://schemas.openxmlformats.org/drawingml/2006/picture">
                <pic:pic>
                  <pic:nvPicPr>
                    <pic:cNvPr descr="../results/m1/engineering/component_source_power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4051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S3工程假设预测：单侧分项功率，黑虚线为EPA参考联合预算，再生为镜像估计。</w:t>
      </w:r>
    </w:p>
    <w:bookmarkEnd w:id="50"/>
    <w:bookmarkStart w:id="57" w:name="单因素与联合参数分析"/>
    <w:p>
      <w:pPr>
        <w:pStyle w:val="Heading2"/>
      </w:pPr>
      <w:r>
        <w:t xml:space="preserve">10.3 </w:t>
      </w:r>
      <w:r>
        <w:rPr>
          <w:rFonts w:hint="eastAsia"/>
        </w:rPr>
        <w:t xml:space="preserve">单因素与联合参数分析</w:t>
      </w:r>
    </w:p>
    <w:p>
      <w:pPr>
        <w:pStyle w:val="FirstParagraph"/>
      </w:pPr>
      <w:r>
        <w:rPr>
          <w:rFonts w:hint="eastAsia"/>
        </w:rPr>
        <w:t xml:space="preserve">每个代表工况含名义1组、16参数×2端点、固定种子20261019的联合参数盒样本128组，共161组；两工况合计322次实际运行，均通过逐时闭合与区间检查。抽样只是确定性覆盖策略，不赋予概率解释，也不声称采样覆盖全部极值。</w:t>
      </w:r>
    </w:p>
    <w:p>
      <w:pPr>
        <w:pStyle w:val="BodyText"/>
      </w:pPr>
      <w:r>
        <w:rPr>
          <w:rFonts w:hint="eastAsia"/>
        </w:rPr>
        <w:t xml:space="preserve">制动铜耗分配最敏感于回退逆变器比，相对名义变化约+0.535/−1.070kJ；其次是转矩常数代理（+0.393/−0.360kJ）。短驱动以驱动逆变器比倍率最敏感（约±1.407kJ），其次为转矩常数代理（+0.530/−0.629kJ）。这支持优先补测再生损耗分离与真实电流，不是实验识别真实电机敏感度。</w:t>
      </w:r>
    </w:p>
    <w:p>
      <w:pPr>
        <w:pStyle w:val="BodyText"/>
      </w:pPr>
      <w:r>
        <w:rPr>
          <w:rFonts w:hint="eastAsia"/>
        </w:rPr>
        <w:t xml:space="preserve">盘比0.85到0.95使代表制动盘输入变化7.587kJ，总盘片接触功75.868kJ不变。所有参数变化只重分配现有预算，未改变总传动效率。</w:t>
      </w:r>
    </w:p>
    <w:p>
      <w:pPr>
        <w:pStyle w:val="CaptionedFigure"/>
      </w:pPr>
      <w:r>
        <w:drawing>
          <wp:inline>
            <wp:extent cx="6045200" cy="3925256"/>
            <wp:effectExtent b="0" l="0" r="0" t="0"/>
            <wp:docPr descr="S3工程假设预测：条件包络与联合参数敏感性，各分项极值不可同时相加。" title="" id="52" name="Picture"/>
            <a:graphic>
              <a:graphicData uri="http://schemas.openxmlformats.org/drawingml/2006/picture">
                <pic:pic>
                  <pic:nvPicPr>
                    <pic:cNvPr descr="../results/m1/engineering/uncertainty_sensitivity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39252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S3工程假设预测：条件包络与联合参数敏感性，各分项极值不可同时相加。</w:t>
      </w:r>
    </w:p>
    <w:p>
      <w:pPr>
        <w:pStyle w:val="CaptionedFigure"/>
      </w:pPr>
      <w:r>
        <w:drawing>
          <wp:inline>
            <wp:extent cx="6045200" cy="3720123"/>
            <wp:effectExtent b="0" l="0" r="0" t="0"/>
            <wp:docPr descr="S3工程假设预测：单因素端点对单侧能量的影响，其余参数保持候选值。" title="" id="55" name="Picture"/>
            <a:graphic>
              <a:graphicData uri="http://schemas.openxmlformats.org/drawingml/2006/picture">
                <pic:pic>
                  <pic:nvPicPr>
                    <pic:cNvPr descr="../results/m1/engineering/oat_sensitivity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5200" cy="3720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S3工程假设预测：单因素端点对单侧能量的影响，其余参数保持候选值。</w:t>
      </w:r>
    </w:p>
    <w:bookmarkEnd w:id="57"/>
    <w:bookmarkEnd w:id="58"/>
    <w:bookmarkStart w:id="59" w:name="未来m2输入合同与模式"/>
    <w:p>
      <w:pPr>
        <w:pStyle w:val="Heading1"/>
      </w:pPr>
      <w:r>
        <w:t xml:space="preserve">11. </w:t>
      </w:r>
      <w:r>
        <w:rPr>
          <w:rFonts w:hint="eastAsia"/>
        </w:rPr>
        <w:t xml:space="preserve">未来M2输入合同与模式</w:t>
      </w:r>
    </w:p>
    <w:p>
      <w:pPr>
        <w:pStyle w:val="FirstParagraph"/>
      </w:pPr>
      <w:r>
        <w:rPr>
          <w:rFonts w:hint="eastAsia"/>
        </w:rPr>
        <w:t xml:space="preserve">规范为</w:t>
      </w:r>
      <w:r>
        <w:t xml:space="preserve"> </w:t>
      </w:r>
      <w:r>
        <w:rPr>
          <w:rStyle w:val="VerbatimChar"/>
        </w:rPr>
        <w:t xml:space="preserve">docs/M1_HEAT_SOURCE_INTERFACE.md</w:t>
      </w:r>
      <w:r>
        <w:rPr>
          <w:rFonts w:hint="eastAsia"/>
        </w:rPr>
        <w:t xml:space="preserve">，版本</w:t>
      </w:r>
      <w:r>
        <w:t xml:space="preserve"> </w:t>
      </w:r>
      <w:r>
        <w:rPr>
          <w:rStyle w:val="VerbatimChar"/>
        </w:rPr>
        <w:t xml:space="preserve">m1-source-interface-1.0</w:t>
      </w:r>
      <w:r>
        <w:rPr>
          <w:rFonts w:hint="eastAsia"/>
        </w:rPr>
        <w:t xml:space="preserve">。每个工况输出左右独立CSV+JSON，共46对，位于</w:t>
      </w:r>
      <w:r>
        <w:t xml:space="preserve"> </w:t>
      </w:r>
      <w:r>
        <w:rPr>
          <w:rStyle w:val="VerbatimChar"/>
        </w:rPr>
        <w:t xml:space="preserve">results/m1/engineering/interface/</w:t>
      </w:r>
      <w:r>
        <w:rPr>
          <w:rFonts w:hint="eastAsia"/>
        </w:rPr>
        <w:t xml:space="preserve">。CSV含时间、车速、自侧转速/转矩、9类候选热功率及上下界、原始绕组NaN、归一化诊断、来源代码与守恒残差。JSON记录模式/案例/单侧/场景、实际参数、原始轨迹、来源登记、输入哈希和代码SHA。</w:t>
      </w:r>
    </w:p>
    <w:p>
      <w:pPr>
        <w:pStyle w:val="BodyText"/>
      </w:pPr>
      <w:r>
        <w:rPr>
          <w:rFonts w:hint="eastAsia"/>
        </w:rPr>
        <w:t xml:space="preserve">严格模式立即抛出</w:t>
      </w:r>
      <w:r>
        <w:t xml:space="preserve"> </w:t>
      </w:r>
      <w:r>
        <w:rPr>
          <w:rStyle w:val="VerbatimChar"/>
        </w:rPr>
        <w:t xml:space="preserve">m1:StrictEvidenceGap</w:t>
      </w:r>
      <w:r>
        <w:rPr>
          <w:rFonts w:hint="eastAsia"/>
        </w:rPr>
        <w:t xml:space="preserve">，没有真实内部数据时不会输出工程值。工程模式要求全部参数区间完整有序；缺失/null、错误侧别、越界及不可实现轨迹均拒绝。原始真实数据不被估计覆盖。</w:t>
      </w:r>
    </w:p>
    <w:p>
      <w:pPr>
        <w:pStyle w:val="BodyText"/>
      </w:pPr>
      <w:r>
        <w:rPr>
          <w:rFonts w:hint="eastAsia"/>
        </w:rPr>
        <w:t xml:space="preserve">未来网络只加载分项：联合EMOT、减速器总损耗和盘片接触功仅作核算，</w:t>
      </w:r>
      <w:r>
        <w:rPr>
          <w:rFonts w:hint="eastAsia"/>
          <w:b/>
          <w:bCs/>
        </w:rPr>
        <w:t xml:space="preserve">不能再加载一次</w:t>
      </w:r>
      <w:r>
        <w:rPr>
          <w:rFonts w:hint="eastAsia"/>
        </w:rPr>
        <w:t xml:space="preserve">。逆变器默认为外部热边界；转子/其他需合并节点或进一步拆分，不默认全部加磁钢。盘/片是单个后盘两面合计，不再乘2。前轴保留于整车账本，不进入该单侧热域。</w:t>
      </w:r>
    </w:p>
    <w:p>
      <w:pPr>
        <w:pStyle w:val="BodyText"/>
      </w:pPr>
      <w:r>
        <w:rPr>
          <w:rFonts w:hint="eastAsia"/>
        </w:rPr>
        <w:t xml:space="preserve">重采样应采用分段线性功率并核对积分，不用可能产生负热源的无约束高阶插值。凸包拆分/回退切换可产生工程分配跳变，不是实测热源突变。温度反馈未执行；不能改变温度电阻后保留旧总预算却另加一份铜耗。</w:t>
      </w:r>
    </w:p>
    <w:bookmarkEnd w:id="59"/>
    <w:bookmarkStart w:id="60" w:name="本轮测试与验收判断"/>
    <w:p>
      <w:pPr>
        <w:pStyle w:val="Heading1"/>
      </w:pPr>
      <w:r>
        <w:t xml:space="preserve">12. </w:t>
      </w:r>
      <w:r>
        <w:rPr>
          <w:rFonts w:hint="eastAsia"/>
        </w:rPr>
        <w:t xml:space="preserve">本轮测试与验收判断</w:t>
      </w:r>
    </w:p>
    <w:p>
      <w:pPr>
        <w:pStyle w:val="FirstParagraph"/>
      </w:pPr>
      <w:r>
        <w:t xml:space="preserve">MATLAB </w:t>
      </w:r>
      <w:r>
        <w:rPr>
          <w:rFonts w:hint="eastAsia"/>
        </w:rPr>
        <w:t xml:space="preserve">R2025a（25.1.0.2943329）重新运行原有18组测试和23组整车工况，通过；新增11组检查通过。覆盖46条单侧瞬时/积分闭合、严格拒绝、真实NaN保持、独立3RI²及归一化、减速器方向分项、盘比精确斜率、低速退出、高SOC/温度禁充、单侧故障/独立轮速及缺失/null/无序/越界参数和时间轴报错。322次敏感性时序全部通过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  <w:cantSplit/>
        </w:trPr>
        <w:tc>
          <w:tcPr>
            <w:shd w:fill="EAF0F7"/>
          </w:tcPr>
          <w:p>
            <w:pPr>
              <w:pStyle w:val="Compact"/>
              <w:spacing w:after="60" w:line="252" w:lineRule="auto"/>
            </w:pPr>
            <w:r>
              <w:rPr>
                <w:rFonts w:hint="eastAsia"/>
                <w:b/>
                <w:sz w:val="19"/>
              </w:rPr>
              <w:t xml:space="preserve">实际核验</w:t>
            </w:r>
          </w:p>
        </w:tc>
        <w:tc>
          <w:tcPr>
            <w:shd w:fill="EAF0F7"/>
          </w:tcPr>
          <w:p>
            <w:pPr>
              <w:pStyle w:val="Compact"/>
              <w:spacing w:after="60" w:line="252" w:lineRule="auto"/>
            </w:pPr>
            <w:r>
              <w:rPr>
                <w:rFonts w:hint="eastAsia"/>
                <w:b/>
                <w:sz w:val="19"/>
              </w:rPr>
              <w:t xml:space="preserve">结果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原整车积分/功率残差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相对能量最大7.20×10⁻¹⁶；功率最大9.09×10⁻¹¹W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MATLAB新增分项残差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最大7.28×10⁻¹²W，阈值10⁻⁷W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Python独立分项CSV复核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46条PASS；最大功率残差1.02×10⁻¹⁰W、积分残差2.01×10⁻¹¹J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Python敏感性复核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322次PASS，参数在范围内，三组预算积分不变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严格模式/参数缺失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按预期报错，未伪造标定输出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原始绕组与M0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NaN/null保持，受保护配置/数据/结果/报告对固定Tag无改动</w:t>
            </w:r>
          </w:p>
        </w:tc>
      </w:tr>
      <w:tr>
        <w:trPr>
          <w:cantSplit/>
        </w:trPr>
        <w:tc>
          <w:tcPr/>
          <w:p>
            <w:pPr>
              <w:pStyle w:val="Compact"/>
              <w:spacing w:after="60" w:line="252" w:lineRule="auto"/>
            </w:pPr>
            <w:r>
              <w:rPr>
                <w:rFonts w:hint="eastAsia"/>
                <w:sz w:val="19"/>
              </w:rPr>
              <w:t xml:space="preserve">温度、实体实验、ANSYS、Fluent、优化</w:t>
            </w:r>
          </w:p>
        </w:tc>
        <w:tc>
          <w:tcPr/>
          <w:p>
            <w:pPr>
              <w:pStyle w:val="Compact"/>
              <w:spacing w:after="60" w:line="252" w:lineRule="auto"/>
            </w:pPr>
            <w:r>
              <w:rPr>
                <w:sz w:val="19"/>
              </w:rPr>
              <w:t xml:space="preserve">NOT EXECUTED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复现命令见</w:t>
      </w:r>
      <w:r>
        <w:t xml:space="preserve"> </w:t>
      </w:r>
      <w:r>
        <w:rPr>
          <w:rStyle w:val="VerbatimChar"/>
        </w:rPr>
        <w:t xml:space="preserve">scripts/m1/README.md</w:t>
      </w:r>
      <w:r>
        <w:rPr>
          <w:rFonts w:hint="eastAsia"/>
        </w:rPr>
        <w:t xml:space="preserve">。接口、能量汇总、完整参数矩阵、敏感性结果、MAT文件、PNG/SVG、实际日志及独立检查均保存。验收表为</w:t>
      </w:r>
      <w:r>
        <w:t xml:space="preserve"> </w:t>
      </w:r>
      <w:r>
        <w:rPr>
          <w:rStyle w:val="VerbatimChar"/>
        </w:rPr>
        <w:t xml:space="preserve">reports/M1_ACCEPTANCE_CHECKLIST.md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概念数值热源模型已具备提交验收的条件</w:t>
      </w:r>
      <w:r>
        <w:rPr>
          <w:rFonts w:hint="eastAsia"/>
        </w:rPr>
        <w:t xml:space="preserve">：模型守恒、无重复计热、单侧接口明确、严格与工程路径分离、参数与不确定性可追溯，实际运行证据齐备。真实标定仍为PARTIAL，不能宣称物理验证完成；是否验收由研究者决定。</w:t>
      </w:r>
    </w:p>
    <w:p>
      <w:pPr>
        <w:pStyle w:val="BodyText"/>
      </w:pPr>
      <w:r>
        <w:rPr>
          <w:rFonts w:hint="eastAsia"/>
          <w:b/>
          <w:bCs/>
        </w:rPr>
        <w:t xml:space="preserve">M2可在用户批准后开展概念瞬态热网络</w:t>
      </w:r>
      <w:r>
        <w:rPr>
          <w:rFonts w:hint="eastAsia"/>
        </w:rPr>
        <w:t xml:space="preserve">，前提是参数化未知热容、热阻、冷却与合并项节点，并在守恒场景下比较敏感性；还需考察总损耗、方向效率和遗漏空载拖曳的影响。不能据此承诺真实温度精度、热安全或连续能力。本轮M2未开始，PR未合并，M1正式Tag未创建。</w:t>
      </w:r>
    </w:p>
    <w:bookmarkEnd w:id="60"/>
    <w:bookmarkStart w:id="67" w:name="补充引用"/>
    <w:p>
      <w:pPr>
        <w:pStyle w:val="Heading1"/>
        <w:keepNext/>
      </w:pPr>
      <w:r>
        <w:t xml:space="preserve">13. </w:t>
      </w:r>
      <w:r>
        <w:rPr>
          <w:rFonts w:hint="eastAsia"/>
        </w:rPr>
        <w:t xml:space="preserve">补充引用</w:t>
      </w:r>
    </w:p>
    <w:p>
      <w:pPr>
        <w:pStyle w:val="Compact"/>
        <w:keepNext/>
        <w:numPr>
          <w:ilvl w:val="0"/>
          <w:numId w:val="1003"/>
        </w:numPr>
      </w:pPr>
      <w:r>
        <w:t xml:space="preserve">ORNL.</w:t>
      </w:r>
      <w:r>
        <w:t xml:space="preserve"> </w:t>
      </w:r>
      <w:r>
        <w:rPr>
          <w:i/>
          <w:iCs/>
        </w:rPr>
        <w:t xml:space="preserve">Evaluation of the 2010 Toyota Prius Hybrid Synergy Drive System</w:t>
      </w:r>
      <w:r>
        <w:t xml:space="preserve">. 2011-03。</w:t>
      </w:r>
      <w:hyperlink r:id="rId41">
        <w:r>
          <w:rPr>
            <w:rStyle w:val="Hyperlink"/>
            <w:rFonts w:hint="eastAsia"/>
          </w:rPr>
          <w:t xml:space="preserve">原始PDF</w:t>
        </w:r>
      </w:hyperlink>
      <w:r>
        <w:rPr>
          <w:rFonts w:hint="eastAsia"/>
        </w:rPr>
        <w:t xml:space="preserve">，本地只读复用M0原件。</w:t>
      </w:r>
    </w:p>
    <w:p>
      <w:pPr>
        <w:pStyle w:val="Compact"/>
        <w:keepNext/>
        <w:numPr>
          <w:ilvl w:val="0"/>
          <w:numId w:val="1003"/>
        </w:numPr>
      </w:pPr>
      <w:r>
        <w:t xml:space="preserve">NBS.</w:t>
      </w:r>
      <w:r>
        <w:t xml:space="preserve"> </w:t>
      </w:r>
      <w:r>
        <w:rPr>
          <w:i/>
          <w:iCs/>
        </w:rPr>
        <w:t xml:space="preserve">Copper wire tables</w:t>
      </w:r>
      <w:r>
        <w:t xml:space="preserve">. Handbook100。</w:t>
      </w:r>
      <w:hyperlink r:id="rId61">
        <w:r>
          <w:rPr>
            <w:rStyle w:val="Hyperlink"/>
            <w:rFonts w:hint="eastAsia"/>
          </w:rPr>
          <w:t xml:space="preserve">官方PDF</w:t>
        </w:r>
      </w:hyperlink>
      <w:r>
        <w:t xml:space="preserve">。</w:t>
      </w:r>
    </w:p>
    <w:p>
      <w:pPr>
        <w:pStyle w:val="Compact"/>
        <w:keepNext/>
        <w:numPr>
          <w:ilvl w:val="0"/>
          <w:numId w:val="1003"/>
        </w:numPr>
      </w:pPr>
      <w:r>
        <w:t xml:space="preserve">Corley B., Carroll J., McDonald A.</w:t>
      </w:r>
      <w:r>
        <w:t xml:space="preserve"> </w:t>
      </w:r>
      <w:r>
        <w:rPr>
          <w:i/>
          <w:iCs/>
        </w:rPr>
        <w:t xml:space="preserve">Thermal modelling of a small wind turbine gearbox for condition monitoring</w:t>
      </w:r>
      <w:r>
        <w:t xml:space="preserve">. The Journal of Engineering, 2019(18):5335–5339。</w:t>
      </w:r>
      <w:hyperlink r:id="rId62">
        <w:r>
          <w:rPr>
            <w:rStyle w:val="Hyperlink"/>
          </w:rPr>
          <w:t xml:space="preserve">DOI</w:t>
        </w:r>
      </w:hyperlink>
      <w:r>
        <w:rPr>
          <w:rFonts w:hint="eastAsia"/>
        </w:rPr>
        <w:t xml:space="preserve">，CC</w:t>
      </w:r>
      <w:r>
        <w:t xml:space="preserve"> </w:t>
      </w:r>
      <w:r>
        <w:rPr>
          <w:rFonts w:hint="eastAsia"/>
        </w:rPr>
        <w:t xml:space="preserve">BY3.0，本地保存机构原文及CrossRef元数据；仅借鉴损耗方法。</w:t>
      </w:r>
    </w:p>
    <w:p>
      <w:pPr>
        <w:pStyle w:val="Compact"/>
        <w:keepNext/>
        <w:numPr>
          <w:ilvl w:val="0"/>
          <w:numId w:val="1003"/>
        </w:numPr>
      </w:pPr>
      <w:r>
        <w:t xml:space="preserve">SKF.</w:t>
      </w:r>
      <w:r>
        <w:t xml:space="preserve"> </w:t>
      </w:r>
      <w:hyperlink r:id="rId63">
        <w:r>
          <w:rPr>
            <w:rStyle w:val="Hyperlink"/>
          </w:rPr>
          <w:t xml:space="preserve">Using a friction model as an engineering tool</w:t>
        </w:r>
      </w:hyperlink>
      <w:r>
        <w:t xml:space="preserve">. 2006-06-08。</w:t>
      </w:r>
    </w:p>
    <w:p>
      <w:pPr>
        <w:pStyle w:val="Compact"/>
        <w:keepNext/>
        <w:numPr>
          <w:ilvl w:val="0"/>
          <w:numId w:val="1003"/>
        </w:numPr>
      </w:pPr>
      <w:r>
        <w:t xml:space="preserve">MathWorks.</w:t>
      </w:r>
      <w:r>
        <w:t xml:space="preserve"> </w:t>
      </w:r>
      <w:hyperlink r:id="rId64">
        <w:r>
          <w:rPr>
            <w:rStyle w:val="Hyperlink"/>
            <w:rFonts w:hint="eastAsia"/>
          </w:rPr>
          <w:t xml:space="preserve">PMSM方法</w:t>
        </w:r>
      </w:hyperlink>
      <w:r>
        <w:rPr>
          <w:rFonts w:hint="eastAsia"/>
        </w:rPr>
        <w:t xml:space="preserve">及</w:t>
      </w:r>
      <w:hyperlink r:id="rId65">
        <w:r>
          <w:rPr>
            <w:rStyle w:val="Hyperlink"/>
            <w:rFonts w:hint="eastAsia"/>
          </w:rPr>
          <w:t xml:space="preserve">盘片示例</w:t>
        </w:r>
      </w:hyperlink>
      <w:r>
        <w:t xml:space="preserve">。</w:t>
      </w:r>
    </w:p>
    <w:p>
      <w:pPr>
        <w:pStyle w:val="Compact"/>
        <w:keepNext w:val="0"/>
        <w:numPr>
          <w:ilvl w:val="0"/>
          <w:numId w:val="1003"/>
        </w:numPr>
      </w:pPr>
      <w:r>
        <w:t xml:space="preserve">Infineon.</w:t>
      </w:r>
      <w:r>
        <w:t xml:space="preserve"> </w:t>
      </w:r>
      <w:hyperlink r:id="rId66">
        <w:r>
          <w:rPr>
            <w:rStyle w:val="Hyperlink"/>
            <w:rFonts w:hint="eastAsia"/>
          </w:rPr>
          <w:t xml:space="preserve">IGBT损耗方法</w:t>
        </w:r>
      </w:hyperlink>
      <w:r>
        <w:rPr>
          <w:rFonts w:hint="eastAsia"/>
        </w:rPr>
        <w:t xml:space="preserve">，下载限制已登记。</w:t>
      </w:r>
    </w:p>
    <w:bookmarkEnd w:id="67"/>
    <w:sectPr w:rsidR="00FC693F" w:rsidRPr="0006063C" w:rsidSect="00034616">
      <w:footerReference r:id="rId9" w:type="default"/>
      <w:pgSz w:h="16838" w:w="11906"/>
      <w:pgMar w:bottom="1077" w:footer="720" w:gutter="0" w:header="720" w:left="1191" w:right="1191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V0.4 · M1 多热源模型   |   </w:t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00" w:line="276" w:lineRule="auto"/>
    </w:pPr>
    <w:rPr>
      <w:rFonts w:ascii="Calibri" w:eastAsia="宋体" w:hAnsi="Calibri"/>
      <w:sz w:val="2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280"/>
      <w:outlineLvl w:val="0"/>
    </w:pPr>
    <w:rPr>
      <w:rFonts w:ascii="Calibri" w:asciiTheme="majorHAnsi" w:cstheme="majorBidi" w:eastAsia="黑体" w:eastAsiaTheme="majorEastAsia" w:hAnsi="Calibri" w:hAnsiTheme="majorHAnsi"/>
      <w:b/>
      <w:bCs/>
      <w:color w:val="1E3A5F"/>
      <w:sz w:val="3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" w:asciiTheme="majorHAnsi" w:cstheme="majorBidi" w:eastAsia="黑体" w:eastAsiaTheme="majorEastAsia" w:hAnsi="Calibri" w:hAnsiTheme="majorHAnsi"/>
      <w:b/>
      <w:bCs/>
      <w:color w:val="1E3A5F"/>
      <w:sz w:val="2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" w:asciiTheme="majorHAnsi" w:cstheme="majorBidi" w:eastAsia="黑体" w:eastAsiaTheme="majorEastAsia" w:hAnsi="Calibri" w:hAnsiTheme="majorHAnsi"/>
      <w:b/>
      <w:bCs/>
      <w:color w:val="1E3A5F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300" w:line="240" w:lineRule="auto"/>
      <w:contextualSpacing/>
    </w:pPr>
    <w:rPr>
      <w:rFonts w:ascii="Calibri" w:asciiTheme="majorHAnsi" w:cstheme="majorBidi" w:eastAsia="黑体" w:eastAsiaTheme="majorEastAsia" w:hAnsi="Calibri" w:hAnsiTheme="majorHAnsi"/>
      <w:color w:val="1E3A5F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</w:pPr>
    <w:rPr>
      <w:rFonts w:ascii="Calibri" w:asciiTheme="majorHAnsi" w:cstheme="majorBidi" w:eastAsia="黑体" w:eastAsiaTheme="majorEastAsia" w:hAnsi="Calibri" w:hAnsiTheme="majorHAnsi"/>
      <w:i/>
      <w:iCs/>
      <w:color w:val="1E3A5F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00" w:line="276" w:lineRule="auto"/>
    </w:pPr>
    <w:rPr>
      <w:rFonts w:ascii="Calibri" w:eastAsia="宋体" w:hAnsi="Calibri"/>
      <w:sz w:val="20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100" w:line="276" w:lineRule="auto"/>
    </w:pPr>
    <w:rPr>
      <w:rFonts w:ascii="Calibri" w:eastAsia="宋体" w:hAnsi="Calibri"/>
      <w:b/>
      <w:bCs/>
      <w:color w:themeColor="accent1" w:val="4F81BD"/>
      <w:sz w:val="20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Relationship Id="rId33" Type="http://schemas.openxmlformats.org/officeDocument/2006/relationships/image" Target="media/rId33.png"/><Relationship Id="rId47" Type="http://schemas.openxmlformats.org/officeDocument/2006/relationships/image" Target="media/rId47.png"/><Relationship Id="rId54" Type="http://schemas.openxmlformats.org/officeDocument/2006/relationships/image" Target="media/rId54.png"/><Relationship Id="rId51" Type="http://schemas.openxmlformats.org/officeDocument/2006/relationships/image" Target="media/rId51.png"/><Relationship Id="rId30" Type="http://schemas.openxmlformats.org/officeDocument/2006/relationships/image" Target="media/rId30.png"/><Relationship Id="rId66" Type="http://schemas.openxmlformats.org/officeDocument/2006/relationships/hyperlink" Target="https://community.infineon.com/t5/Knowledge-Base-Articles/Calculate-IGBT-losses-for-a-SPWM-voltage-source-converter/ta-p/381757" TargetMode="External"/><Relationship Id="rId62" Type="http://schemas.openxmlformats.org/officeDocument/2006/relationships/hyperlink" Target="https://doi.org/10.1049/joe.2018.9282" TargetMode="External"/><Relationship Id="rId63" Type="http://schemas.openxmlformats.org/officeDocument/2006/relationships/hyperlink" Target="https://evolution.skf.com/using-a-friction-model-as-an-engineering-tool-3/" TargetMode="External"/><Relationship Id="rId18" Type="http://schemas.openxmlformats.org/officeDocument/2006/relationships/hyperlink" Target="https://github.com/alan9900/Thermal-coupling-analysis-under-drive-control-integration/pull/2" TargetMode="External"/><Relationship Id="rId41" Type="http://schemas.openxmlformats.org/officeDocument/2006/relationships/hyperlink" Target="https://info.ornl.gov/sites/publications/files/Pub26762.pdf" TargetMode="External"/><Relationship Id="rId61" Type="http://schemas.openxmlformats.org/officeDocument/2006/relationships/hyperlink" Target="https://nvlpubs.nist.gov/nistpubs/Legacy/hb/nbshandbook100.pdf" TargetMode="External"/><Relationship Id="rId40" Type="http://schemas.openxmlformats.org/officeDocument/2006/relationships/hyperlink" Target="https://www.epa.gov/vehicle-and-fuel-emissions-testing/combining-data-complete-emotor-alpha-maps" TargetMode="External"/><Relationship Id="rId65" Type="http://schemas.openxmlformats.org/officeDocument/2006/relationships/hyperlink" Target="https://www.mathworks.com/help/pde/ug/thermal-and-structural-analysis-of-disc-brake.html" TargetMode="External"/><Relationship Id="rId64" Type="http://schemas.openxmlformats.org/officeDocument/2006/relationships/hyperlink" Target="https://www.mathworks.com/help/simscape-electrical/ref/femparameterizedpmsm.html" TargetMode="External"/></Relationships>
</file>

<file path=word/_rels/footnotes.xml.rels><?xml version='1.0' encoding='UTF-8' standalone='yes'?>
<Relationships xmlns="http://schemas.openxmlformats.org/package/2006/relationships"><Relationship Id="rId66" Type="http://schemas.openxmlformats.org/officeDocument/2006/relationships/hyperlink" Target="https://community.infineon.com/t5/Knowledge-Base-Articles/Calculate-IGBT-losses-for-a-SPWM-voltage-source-converter/ta-p/381757" TargetMode="External"/><Relationship Id="rId62" Type="http://schemas.openxmlformats.org/officeDocument/2006/relationships/hyperlink" Target="https://doi.org/10.1049/joe.2018.9282" TargetMode="External"/><Relationship Id="rId63" Type="http://schemas.openxmlformats.org/officeDocument/2006/relationships/hyperlink" Target="https://evolution.skf.com/using-a-friction-model-as-an-engineering-tool-3/" TargetMode="External"/><Relationship Id="rId18" Type="http://schemas.openxmlformats.org/officeDocument/2006/relationships/hyperlink" Target="https://github.com/alan9900/Thermal-coupling-analysis-under-drive-control-integration/pull/2" TargetMode="External"/><Relationship Id="rId41" Type="http://schemas.openxmlformats.org/officeDocument/2006/relationships/hyperlink" Target="https://info.ornl.gov/sites/publications/files/Pub26762.pdf" TargetMode="External"/><Relationship Id="rId61" Type="http://schemas.openxmlformats.org/officeDocument/2006/relationships/hyperlink" Target="https://nvlpubs.nist.gov/nistpubs/Legacy/hb/nbshandbook100.pdf" TargetMode="External"/><Relationship Id="rId40" Type="http://schemas.openxmlformats.org/officeDocument/2006/relationships/hyperlink" Target="https://www.epa.gov/vehicle-and-fuel-emissions-testing/combining-data-complete-emotor-alpha-maps" TargetMode="External"/><Relationship Id="rId65" Type="http://schemas.openxmlformats.org/officeDocument/2006/relationships/hyperlink" Target="https://www.mathworks.com/help/pde/ug/thermal-and-structural-analysis-of-disc-brake.html" TargetMode="External"/><Relationship Id="rId64" Type="http://schemas.openxmlformats.org/officeDocument/2006/relationships/hyperlink" Target="https://www.mathworks.com/help/simscape-electrical/ref/femparameterizedpmsm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V0.4 后驱双电机 M1 多热源模型</dc:title>
  <dc:creator>研究模型与可复算审查</dc:creator>
  <cp:keywords/>
  <dcterms:created xsi:type="dcterms:W3CDTF">2026-10-19T04:49:47Z</dcterms:created>
  <dcterms:modified xsi:type="dcterms:W3CDTF">2026-10-19T04:49:47Z</dcterms:modified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2026-10-19</vt:lpwstr>
  </property>
  <property fmtid="{D5CDD505-2E9C-101B-9397-08002B2CF9AE}" pid="3" name="subtitle">
    <vt:lpwstr>概念数值关卡通过待审 · 真实标定仍为 PARTIAL · 严格与工程模式分离</vt:lpwstr>
  </property>
</Properties>
</file>