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33C57" w14:textId="77777777" w:rsidR="00361CCB" w:rsidRPr="00361CCB" w:rsidRDefault="00361CCB" w:rsidP="00361CCB">
      <w:pPr>
        <w:rPr>
          <w:b/>
          <w:bCs/>
        </w:rPr>
      </w:pPr>
      <w:r w:rsidRPr="00361CCB">
        <w:rPr>
          <w:b/>
          <w:bCs/>
        </w:rPr>
        <w:t>Dicionário de Siglas</w:t>
      </w:r>
    </w:p>
    <w:p w14:paraId="43EE92BF" w14:textId="77777777" w:rsidR="00361CCB" w:rsidRPr="00361CCB" w:rsidRDefault="00361CCB" w:rsidP="00361CCB">
      <w:r w:rsidRPr="00361CCB">
        <w:rPr>
          <w:b/>
          <w:bCs/>
        </w:rPr>
        <w:t>IBE</w:t>
      </w:r>
      <w:r w:rsidRPr="00361CCB">
        <w:t xml:space="preserve"> — Indicador de Erosão de Buffers Mede o consumo progressivo das reservas e folgas do negócio, como caixa excedente, limites de crédito e capital de giro disponível.</w:t>
      </w:r>
    </w:p>
    <w:p w14:paraId="32808B9E" w14:textId="77777777" w:rsidR="00361CCB" w:rsidRPr="00361CCB" w:rsidRDefault="00361CCB" w:rsidP="00361CCB">
      <w:r w:rsidRPr="00361CCB">
        <w:rPr>
          <w:b/>
          <w:bCs/>
        </w:rPr>
        <w:t>IFC</w:t>
      </w:r>
      <w:r w:rsidRPr="00361CCB">
        <w:t xml:space="preserve"> — Indicador de Fragilidade de Caixa Avalia a vulnerabilidade da posição de caixa considerando nível, tendência e volatilidade — não apenas o saldo atual.</w:t>
      </w:r>
    </w:p>
    <w:p w14:paraId="08790B43" w14:textId="77777777" w:rsidR="00361CCB" w:rsidRPr="00361CCB" w:rsidRDefault="00361CCB" w:rsidP="00361CCB">
      <w:r w:rsidRPr="00361CCB">
        <w:rPr>
          <w:b/>
          <w:bCs/>
        </w:rPr>
        <w:t>IPM</w:t>
      </w:r>
      <w:r w:rsidRPr="00361CCB">
        <w:t xml:space="preserve"> — Indicador de Persistência Negativa da Margem Mede a continuidade e consistência de quedas na margem ao longo do tempo, capturando deterioração silenciosa que a receita não revela.</w:t>
      </w:r>
    </w:p>
    <w:p w14:paraId="26B1BB2B" w14:textId="77777777" w:rsidR="00361CCB" w:rsidRPr="00361CCB" w:rsidRDefault="00361CCB" w:rsidP="00361CCB">
      <w:r w:rsidRPr="00361CCB">
        <w:rPr>
          <w:b/>
          <w:bCs/>
        </w:rPr>
        <w:t>IPR</w:t>
      </w:r>
      <w:r w:rsidRPr="00361CCB">
        <w:t xml:space="preserve"> — Indicador de Persistência Negativa da Receita Mede sequências consecutivas de queda de receita, distinguindo tendência estrutural de variações pontuais.</w:t>
      </w:r>
    </w:p>
    <w:p w14:paraId="0B663272" w14:textId="77777777" w:rsidR="00361CCB" w:rsidRPr="00361CCB" w:rsidRDefault="00361CCB" w:rsidP="00361CCB">
      <w:r w:rsidRPr="00361CCB">
        <w:rPr>
          <w:b/>
          <w:bCs/>
        </w:rPr>
        <w:t>ISG</w:t>
      </w:r>
      <w:r w:rsidRPr="00361CCB">
        <w:t xml:space="preserve"> — Indicador de Saúde Geral Indicador agregado híbrido que combina os indicadores dimensionais e contextuais em um único score, com mecanismo de override para situações críticas de caixa.</w:t>
      </w:r>
    </w:p>
    <w:p w14:paraId="6AAA0060" w14:textId="77777777" w:rsidR="00361CCB" w:rsidRPr="00361CCB" w:rsidRDefault="00361CCB" w:rsidP="00361CCB">
      <w:r w:rsidRPr="00361CCB">
        <w:rPr>
          <w:b/>
          <w:bCs/>
        </w:rPr>
        <w:t>PME</w:t>
      </w:r>
      <w:r w:rsidRPr="00361CCB">
        <w:t xml:space="preserve"> — Pequena e Média Empresa Classificação de empresas por porte, público-alvo do motor de deterioração descrito nessa conversa.</w:t>
      </w:r>
    </w:p>
    <w:p w14:paraId="16DD4F39" w14:textId="77777777" w:rsidR="00361CCB" w:rsidRPr="00361CCB" w:rsidRDefault="00361CCB" w:rsidP="00361CCB">
      <w:r w:rsidRPr="00361CCB">
        <w:rPr>
          <w:b/>
          <w:bCs/>
        </w:rPr>
        <w:t>Z-Score</w:t>
      </w:r>
      <w:r w:rsidRPr="00361CCB">
        <w:t xml:space="preserve"> — Escore Z (Desvio Padronizado) Medida estatística que indica quantos desvios padrão um valor está acima ou abaixo da média histórica do próprio negócio. Usado no motor para receita e caixa em janela de 12 meses.</w:t>
      </w:r>
    </w:p>
    <w:p w14:paraId="3792E0C6" w14:textId="77777777" w:rsidR="005A1774" w:rsidRDefault="005A1774"/>
    <w:sectPr w:rsidR="005A17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CCB"/>
    <w:rsid w:val="00277AFF"/>
    <w:rsid w:val="002A2A39"/>
    <w:rsid w:val="00361CCB"/>
    <w:rsid w:val="005A1774"/>
    <w:rsid w:val="00827D1B"/>
    <w:rsid w:val="00B12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CC74D"/>
  <w15:chartTrackingRefBased/>
  <w15:docId w15:val="{D5011C0D-21BB-4AEF-9F84-900C9E84E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1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1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1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1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1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1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1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1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1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1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1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1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1C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1CC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1C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1CC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1C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1C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1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1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1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1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1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1C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1CC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1CC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1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1CC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1C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91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0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93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43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2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06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33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9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45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03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24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252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993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Alves</dc:creator>
  <cp:keywords/>
  <dc:description/>
  <cp:lastModifiedBy>Alan Alves</cp:lastModifiedBy>
  <cp:revision>1</cp:revision>
  <dcterms:created xsi:type="dcterms:W3CDTF">2026-02-24T16:57:00Z</dcterms:created>
  <dcterms:modified xsi:type="dcterms:W3CDTF">2026-02-24T16:57:00Z</dcterms:modified>
</cp:coreProperties>
</file>