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Fundamentos Conceituais de Motores de Deterioração Financeira em PMEs</w:t>
      </w:r>
    </w:p>
    <w:p>
      <w:pPr>
        <w:spacing w:before="0" w:after="600"/>
        <w:jc w:val="center"/>
      </w:pPr>
      <w:r>
        <w:rPr>
          <w:rFonts w:ascii="Arial" w:cs="Arial" w:eastAsia="Arial" w:hAnsi="Arial"/>
          <w:i/>
          <w:iCs/>
          <w:color w:val="555555"/>
          <w:sz w:val="22"/>
          <w:szCs w:val="22"/>
        </w:rPr>
        <w:t xml:space="preserve">Referencial teórico para compreensão dos indicadores IPR, IPM, IFC, IBE, Z-Score e ISG</w:t>
      </w:r>
    </w:p>
    <w:p>
      <w:pPr>
        <w:pStyle w:val="Heading1"/>
      </w:pPr>
      <w:r>
        <w:t xml:space="preserve">1. Introdução</w:t>
      </w:r>
    </w:p>
    <w:p>
      <w:pPr>
        <w:spacing w:after="200"/>
      </w:pPr>
      <w:r>
        <w:rPr>
          <w:rFonts w:ascii="Arial" w:cs="Arial" w:eastAsia="Arial" w:hAnsi="Arial"/>
          <w:sz w:val="22"/>
          <w:szCs w:val="22"/>
        </w:rPr>
        <w:t xml:space="preserve">Pequenas e médias empresas (PMEs) representam a espinha dorsal das economias em desenvolvimento, concentrando a maior parte dos empregos formais e da atividade econômica local. Paradoxalmente, são também as organizações mais vulneráveis a processos de deterioração financeira silenciosa — aquela que se instala de forma gradual, sem eventos abruptos, e que frequentemente só é percebida quando o negócio já se encontra em estado crítico.</w:t>
      </w:r>
    </w:p>
    <w:p>
      <w:pPr>
        <w:spacing w:after="200"/>
      </w:pPr>
      <w:r>
        <w:rPr>
          <w:rFonts w:ascii="Arial" w:cs="Arial" w:eastAsia="Arial" w:hAnsi="Arial"/>
          <w:sz w:val="22"/>
          <w:szCs w:val="22"/>
        </w:rPr>
        <w:t xml:space="preserve">A literatura sobre predição de falência corporativa remonta ao trabalho pioneiro de William Beaver (1966), que demonstrou pela primeira vez que indicadores financeiros individuais possuem capacidade de discriminar empresas solventes de insolventes. Dois anos depois, Edward Altman (1968) deu um salto metodológico ao combinar múltiplos indicadores em um único score agregado — o Z-Score —, utilizando análise discriminante multivariada para determinar os pesos de cada variável. Esse trabalho estabeleceu o paradigma que influencia modelos de predição até hoje.</w:t>
      </w:r>
    </w:p>
    <w:p>
      <w:pPr>
        <w:spacing w:after="200"/>
      </w:pPr>
      <w:r>
        <w:rPr>
          <w:rFonts w:ascii="Arial" w:cs="Arial" w:eastAsia="Arial" w:hAnsi="Arial"/>
          <w:sz w:val="22"/>
          <w:szCs w:val="22"/>
        </w:rPr>
        <w:t xml:space="preserve">O presente texto tem por objetivo apresentar os fundamentos conceituais que sustentam um motor de detecção de deterioração financeira para PMEs, explicando a lógica subjacente a cada tipo de indicador utilizado — indicadores de persistência, indicadores de fragilidade de caixa, indicadores de erosão de buffers, scores padronizados e indicadores agregados — e situando-os no contexto da literatura acadêmica e aplicada.</w:t>
      </w:r>
    </w:p>
    <w:p>
      <w:pPr>
        <w:pStyle w:val="Heading1"/>
      </w:pPr>
      <w:r>
        <w:t xml:space="preserve">2. O Problema da Deterioração Silenciosa em PMEs</w:t>
      </w:r>
    </w:p>
    <w:p>
      <w:pPr>
        <w:spacing w:after="200"/>
      </w:pPr>
      <w:r>
        <w:rPr>
          <w:rFonts w:ascii="Arial" w:cs="Arial" w:eastAsia="Arial" w:hAnsi="Arial"/>
          <w:sz w:val="22"/>
          <w:szCs w:val="22"/>
        </w:rPr>
        <w:t xml:space="preserve">A maioria dos modelos de predição de falência foi desenvolvida para empresas de capital aberto, com obrigação de divulgação periódica de demonstrações financeiras auditadas. PMEs operam em um ambiente radicalmente diferente: contabilidade frequentemente informal ou atrasada, ausência de controles gerenciais estruturados, mistura entre finanças pessoais e empresariais, e baixíssima capacidade analítica interna.</w:t>
      </w:r>
    </w:p>
    <w:p>
      <w:pPr>
        <w:spacing w:after="200"/>
      </w:pPr>
      <w:r>
        <w:rPr>
          <w:rFonts w:ascii="Arial" w:cs="Arial" w:eastAsia="Arial" w:hAnsi="Arial"/>
          <w:sz w:val="22"/>
          <w:szCs w:val="22"/>
        </w:rPr>
        <w:t xml:space="preserve">Essa realidade impõe duas exigências ao motor de análise: primeira, ele deve operar com dados simples e disponíveis — receita, custos e caixa são os dados mínimos viáveis em qualquer PME minimamente organizada. Segunda, ele deve ser capaz de identificar deterioração antes que ela se manifeste em eventos formais como inadimplência ou insolvência.</w:t>
      </w:r>
    </w:p>
    <w:p>
      <w:pPr>
        <w:spacing w:after="200"/>
      </w:pPr>
      <w:r>
        <w:rPr>
          <w:rFonts w:ascii="Arial" w:cs="Arial" w:eastAsia="Arial" w:hAnsi="Arial"/>
          <w:sz w:val="22"/>
          <w:szCs w:val="22"/>
        </w:rPr>
        <w:t xml:space="preserve">Pesquisas sobre sistemas de alerta precoce (Early Warning Systems — EWS) demonstram que indicadores baseados em fluxo de caixa e rentabilidade operacional têm o melhor desempenho preditivo para detectar risco financeiro antes que ele se materialize em eventos de crédito. A volatilidade do fluxo de caixa, a tendência da margem operacional e a razão entre caixa e obrigações figuram consistentemente entre os preditores mais relevantes em estudos recentes sobre PMEs.</w:t>
      </w:r>
    </w:p>
    <w:p>
      <w:pPr>
        <w:pStyle w:val="Heading1"/>
      </w:pPr>
      <w:r>
        <w:t xml:space="preserve">3. Indicadores de Persistência: IPR e IPM</w:t>
      </w:r>
    </w:p>
    <w:p>
      <w:pPr>
        <w:spacing w:after="120"/>
      </w:pPr>
      <w:r>
        <w:rPr>
          <w:rFonts w:ascii="Arial" w:cs="Arial" w:eastAsia="Arial" w:hAnsi="Arial"/>
          <w:sz w:val="22"/>
          <w:szCs w:val="22"/>
        </w:rPr>
        <w:t xml:space="preserve">Um dos principais erros de análise financeira em PMEs é tratar variações mensais isoladas como sinais definitivos. Pequenos negócios são naturalmente voláteis — sazonalidade, eventos locais, condições climáticas e variações na demanda criam flutuações que não refletem tendências estruturais.</w:t>
      </w:r>
    </w:p>
    <w:p>
      <w:pPr>
        <w:spacing w:after="200"/>
      </w:pPr>
      <w:r>
        <w:rPr>
          <w:rFonts w:ascii="Arial" w:cs="Arial" w:eastAsia="Arial" w:hAnsi="Arial"/>
          <w:sz w:val="22"/>
          <w:szCs w:val="22"/>
        </w:rPr>
        <w:t xml:space="preserve">O conceito de persistência resolve esse problema ao focar não no evento, mas no padrão. Um indicador de persistência mede quantas vezes consecutivas uma variável apresenta comportamento negativo e com que magnitude acumulada esse comportamento se expressa. A diferença é análoga à distinção entre temperatura e febre: uma temperatura isolada acima do normal pode ser irrelevante; uma temperatura acima do normal por sete dias consecutivos é um sinal clínico relevante.</w:t>
      </w:r>
    </w:p>
    <w:p>
      <w:pPr>
        <w:pStyle w:val="Heading2"/>
      </w:pPr>
      <w:r>
        <w:t xml:space="preserve">3.1 IPR — Indicador de Persistência Negativa da Receita</w:t>
      </w:r>
    </w:p>
    <w:p>
      <w:pPr>
        <w:spacing w:after="200"/>
      </w:pPr>
      <w:r>
        <w:rPr>
          <w:rFonts w:ascii="Arial" w:cs="Arial" w:eastAsia="Arial" w:hAnsi="Arial"/>
          <w:sz w:val="22"/>
          <w:szCs w:val="22"/>
        </w:rPr>
        <w:t xml:space="preserve">O IPR monitora a continuidade de quedas de receita ao longo do tempo, comparando cada período com uma referência histórica — tipicamente a mediana dos últimos 12 a 24 meses. Para cada mês em que a receita fica abaixo dessa referência, o indicador acumula evidência. A combinação entre a proporção de meses negativos no período analisado e o comprimento da sequência negativa mais recente resulta em um score normalizado entre 0 e 1, onde valores próximos de 1 indicam deterioração consistente e prolongada.</w:t>
      </w:r>
    </w:p>
    <w:p>
      <w:pPr>
        <w:spacing w:after="200"/>
      </w:pPr>
      <w:r>
        <w:rPr>
          <w:rFonts w:ascii="Arial" w:cs="Arial" w:eastAsia="Arial" w:hAnsi="Arial"/>
          <w:sz w:val="22"/>
          <w:szCs w:val="22"/>
        </w:rPr>
        <w:t xml:space="preserve">A escolha da mediana como referência, em vez da média, é deliberada: a mediana é resistente a outliers, o que importa em séries de PMEs onde um mês atipicamente bom ou ruim pode distorcer a média de forma significativa.</w:t>
      </w:r>
    </w:p>
    <w:p>
      <w:pPr>
        <w:pStyle w:val="Heading2"/>
      </w:pPr>
      <w:r>
        <w:t xml:space="preserve">3.2 IPM — Indicador de Persistência Negativa da Margem</w:t>
      </w:r>
    </w:p>
    <w:p>
      <w:pPr>
        <w:spacing w:after="200"/>
      </w:pPr>
      <w:r>
        <w:rPr>
          <w:rFonts w:ascii="Arial" w:cs="Arial" w:eastAsia="Arial" w:hAnsi="Arial"/>
          <w:sz w:val="22"/>
          <w:szCs w:val="22"/>
        </w:rPr>
        <w:t xml:space="preserve">O IPM segue a mesma lógica do IPR, mas aplicada à margem — diferença entre receita e custos. A margem é um indicador crítico porque captura fenômenos que a receita não revela: pressão de custos crescente sem repasse de preço, deterioração do mix de produtos, perda de eficiência operacional ou aumento de inadimplência.</w:t>
      </w:r>
    </w:p>
    <w:p>
      <w:pPr>
        <w:spacing w:after="200"/>
      </w:pPr>
      <w:r>
        <w:rPr>
          <w:rFonts w:ascii="Arial" w:cs="Arial" w:eastAsia="Arial" w:hAnsi="Arial"/>
          <w:sz w:val="22"/>
          <w:szCs w:val="22"/>
        </w:rPr>
        <w:t xml:space="preserve">Um negócio pode apresentar receita estável enquanto sua margem se corrói sistematicamente — o que é frequentemente o padrão inicial de deterioração em PMEs antes que a queda de receita se manifeste. O IPM é, portanto, potencialmente mais antecipador que o IPR. Além do score de persistência, o IPM incorpora uma verificação sobre a posição absoluta da margem: se a margem média recente é negativa ou muito próxima de zero, o risco operacional é qualitativo e merece tratamento distinto.</w:t>
      </w:r>
    </w:p>
    <w:p>
      <w:pPr>
        <w:pStyle w:val="Heading1"/>
      </w:pPr>
      <w:r>
        <w:t xml:space="preserve">4. Indicadores de Caixa e Buffers: IFC e IBE</w:t>
      </w:r>
    </w:p>
    <w:p>
      <w:pPr>
        <w:spacing w:after="200"/>
      </w:pPr>
      <w:r>
        <w:rPr>
          <w:rFonts w:ascii="Arial" w:cs="Arial" w:eastAsia="Arial" w:hAnsi="Arial"/>
          <w:sz w:val="22"/>
          <w:szCs w:val="22"/>
        </w:rPr>
        <w:t xml:space="preserve">Enquanto receita e margem medem a dinâmica operacional do negócio, caixa é a variável de sobrevivência. Um negócio pode operar com margem negativa por meses se tiver reservas suficientes. O inverso não é verdadeiro: sem caixa, qualquer negócio enfrenta colapso independentemente de sua rentabilidade. Essa assimetria fundamenta o tratamento especial dado ao caixa nos motores de detecção.</w:t>
      </w:r>
    </w:p>
    <w:p>
      <w:pPr>
        <w:pStyle w:val="Heading2"/>
      </w:pPr>
      <w:r>
        <w:t xml:space="preserve">4.1 IFC — Indicador de Fragilidade de Caixa</w:t>
      </w:r>
    </w:p>
    <w:p>
      <w:pPr>
        <w:spacing w:after="200"/>
      </w:pPr>
      <w:r>
        <w:rPr>
          <w:rFonts w:ascii="Arial" w:cs="Arial" w:eastAsia="Arial" w:hAnsi="Arial"/>
          <w:sz w:val="22"/>
          <w:szCs w:val="22"/>
        </w:rPr>
        <w:t xml:space="preserve">O IFC combina duas dimensões de análise do caixa. A primeira é a dimensão de tendência: assim como o IPR avalia persistência de quedas de receita, o IFC verifica quantos meses consecutivos o caixa se manteve abaixo de sua mediana histórica — detectando movimentos de drenagem gradual que um saldo isolado não revela.</w:t>
      </w:r>
    </w:p>
    <w:p>
      <w:pPr>
        <w:spacing w:after="200"/>
      </w:pPr>
      <w:r>
        <w:rPr>
          <w:rFonts w:ascii="Arial" w:cs="Arial" w:eastAsia="Arial" w:hAnsi="Arial"/>
          <w:sz w:val="22"/>
          <w:szCs w:val="22"/>
        </w:rPr>
        <w:t xml:space="preserve">A segunda dimensão é a cobertura: quantos meses de operação o caixa atual consegue sustentar, considerando o custo operacional médio. Um índice de cobertura inferior a dois ou três meses representa uma situação de vulnerabilidade imediata, pois qualquer interrupção de receita ou choque de custo não encontra reserva para absorção.</w:t>
      </w:r>
    </w:p>
    <w:p>
      <w:pPr>
        <w:spacing w:after="200"/>
      </w:pPr>
      <w:r>
        <w:rPr>
          <w:rFonts w:ascii="Arial" w:cs="Arial" w:eastAsia="Arial" w:hAnsi="Arial"/>
          <w:sz w:val="22"/>
          <w:szCs w:val="22"/>
        </w:rPr>
        <w:t xml:space="preserve">Quando a cobertura cai abaixo de um limiar crítico, o IFC ativa um mecanismo de override no score geral — garantindo que situações de liquidez extrema sejam classificadas como críticas independentemente do comportamento dos demais indicadores.</w:t>
      </w:r>
    </w:p>
    <w:p>
      <w:pPr>
        <w:pStyle w:val="Heading2"/>
      </w:pPr>
      <w:r>
        <w:t xml:space="preserve">4.2 IBE — Indicador de Erosão de Buffers</w:t>
      </w:r>
    </w:p>
    <w:p>
      <w:pPr>
        <w:spacing w:after="200"/>
      </w:pPr>
      <w:r>
        <w:rPr>
          <w:rFonts w:ascii="Arial" w:cs="Arial" w:eastAsia="Arial" w:hAnsi="Arial"/>
          <w:sz w:val="22"/>
          <w:szCs w:val="22"/>
        </w:rPr>
        <w:t xml:space="preserve">O IBE avalia não o caixa em si, mas as reservas e folgas que protegem o negócio de choques — o que a literatura de resiliência financeira chama de buffers. Esses buffers incluem reservas de emergência, linhas de crédito disponíveis, capital de giro folgado e qualquer outra forma de amortecedor financeiro.</w:t>
      </w:r>
    </w:p>
    <w:p>
      <w:pPr>
        <w:spacing w:after="200"/>
      </w:pPr>
      <w:r>
        <w:rPr>
          <w:rFonts w:ascii="Arial" w:cs="Arial" w:eastAsia="Arial" w:hAnsi="Arial"/>
          <w:sz w:val="22"/>
          <w:szCs w:val="22"/>
        </w:rPr>
        <w:t xml:space="preserve">A importância do IBE está em seu potencial preditivo: buffers se esgotam antes do caixa colapsar. Um negócio que ainda tem caixa positivo mas consumiu todas as suas reservas e esgotou seus limites de crédito está em uma posição de fragilidade que o caixa atual não reflete. O IBE mede essa distância entre o estado atual e a perda total de resiliência — sinalizando deterioração de segunda ordem antes que ela se manifeste como crise de liquidez.</w:t>
      </w:r>
    </w:p>
    <w:p>
      <w:pPr>
        <w:pStyle w:val="Heading1"/>
      </w:pPr>
      <w:r>
        <w:t xml:space="preserve">5. Scores Padronizados: O Z-Score Contextual</w:t>
      </w:r>
    </w:p>
    <w:p>
      <w:pPr>
        <w:spacing w:after="200"/>
      </w:pPr>
      <w:r>
        <w:rPr>
          <w:rFonts w:ascii="Arial" w:cs="Arial" w:eastAsia="Arial" w:hAnsi="Arial"/>
          <w:sz w:val="22"/>
          <w:szCs w:val="22"/>
        </w:rPr>
        <w:t xml:space="preserve">O Z-Score, na sua formulação estatística original, é uma medida de quantos desvios padrão uma observação está distante da média de sua distribuição. Na análise financeira clássica de Altman (1968), o Z-Score é um modelo preditivo específico com variáveis e pesos determinados empiricamente para empresas manufatureiras americanas. No contexto de um motor para PMEs, o conceito é adaptado de forma diferente: o Z-Score é utilizado como uma ferramenta de contextualização intraempresa.</w:t>
      </w:r>
    </w:p>
    <w:p>
      <w:pPr>
        <w:spacing w:after="200"/>
      </w:pPr>
      <w:r>
        <w:rPr>
          <w:rFonts w:ascii="Arial" w:cs="Arial" w:eastAsia="Arial" w:hAnsi="Arial"/>
          <w:sz w:val="22"/>
          <w:szCs w:val="22"/>
        </w:rPr>
        <w:t xml:space="preserve">Em vez de comparar o negócio com um benchmark externo, o Z-Score contextual compara o valor atual de uma variável — receita ou caixa — com a distribuição histórica daquela mesma variável naquele mesmo negócio, em uma janela de 12 meses. O resultado é um score que responde à pergunta: quão anormal é o valor atual em relação ao padrão histórico desse negócio?</w:t>
      </w:r>
    </w:p>
    <w:p>
      <w:pPr>
        <w:spacing w:after="200"/>
      </w:pPr>
      <w:r>
        <w:rPr>
          <w:rFonts w:ascii="Arial" w:cs="Arial" w:eastAsia="Arial" w:hAnsi="Arial"/>
          <w:sz w:val="22"/>
          <w:szCs w:val="22"/>
        </w:rPr>
        <w:t xml:space="preserve">Essa abordagem tem uma vantagem fundamental para PMEs: ela respeita a heterogeneidade dos negócios. Um caixa de R$ 50 mil pode ser saudável para uma padaria de bairro e crítico para uma distribuidora regional. O Z-Score contextual não julga o nível absoluto — ele identifica se aquele nível é historicamente anômalo para aquele negócio específico. Um Z-Score de receita abaixo de -2 indica que o negócio está operando em território que, para os seus próprios padrões históricos, é estatisticamente incomum.</w:t>
      </w:r>
    </w:p>
    <w:p>
      <w:pPr>
        <w:spacing w:after="200"/>
      </w:pPr>
      <w:r>
        <w:rPr>
          <w:rFonts w:ascii="Arial" w:cs="Arial" w:eastAsia="Arial" w:hAnsi="Arial"/>
          <w:sz w:val="22"/>
          <w:szCs w:val="22"/>
        </w:rPr>
        <w:t xml:space="preserve">O próprio Altman reconheceu que modelos locais — calibrados para o contexto específico de cada país, setor e tipo de empresa — têm desempenho superior ao modelo original aplicado de forma genérica. A adaptação do Z-Score para análise intraempresa segue a mesma lógica: a especificidade gera precisão.</w:t>
      </w:r>
    </w:p>
    <w:p>
      <w:pPr>
        <w:pStyle w:val="Heading1"/>
      </w:pPr>
      <w:r>
        <w:t xml:space="preserve">6. Score de Confiança da Análise</w:t>
      </w:r>
    </w:p>
    <w:p>
      <w:pPr>
        <w:spacing w:after="200"/>
      </w:pPr>
      <w:r>
        <w:rPr>
          <w:rFonts w:ascii="Arial" w:cs="Arial" w:eastAsia="Arial" w:hAnsi="Arial"/>
          <w:sz w:val="22"/>
          <w:szCs w:val="22"/>
        </w:rPr>
        <w:t xml:space="preserve">Todo modelo analítico pressupõe dados suficientes e confiáveis. Na prática das PMEs, essa premissa frequentemente não se sustenta: há meses faltando, lançamentos inconsistentes, valores zerados por problemas de registro, ou histórico insuficiente para cálculo de medianas e desvios padrão.</w:t>
      </w:r>
    </w:p>
    <w:p>
      <w:pPr>
        <w:spacing w:after="200"/>
      </w:pPr>
      <w:r>
        <w:rPr>
          <w:rFonts w:ascii="Arial" w:cs="Arial" w:eastAsia="Arial" w:hAnsi="Arial"/>
          <w:sz w:val="22"/>
          <w:szCs w:val="22"/>
        </w:rPr>
        <w:t xml:space="preserve">O Score de Confiança é um meta-indicador que avalia a qualidade e completude dos dados que alimentam o motor. Ele considera fatores como a proporção de meses com dados disponíveis, a presença de inconsistências ou valores anômalos, e a extensão do histórico. O resultado é um percentual que acompanha o ISG como um qualificador — não alterando o score final, mas sinalizando ao analista o quanto pode confiar nas conclusões.</w:t>
      </w:r>
    </w:p>
    <w:p>
      <w:pPr>
        <w:spacing w:after="200"/>
      </w:pPr>
      <w:r>
        <w:rPr>
          <w:rFonts w:ascii="Arial" w:cs="Arial" w:eastAsia="Arial" w:hAnsi="Arial"/>
          <w:sz w:val="22"/>
          <w:szCs w:val="22"/>
        </w:rPr>
        <w:t xml:space="preserve">A inclusão desse meta-indicador reflete uma maturidade de design rara em sistemas analíticos: a honestidade sobre os limites do modelo. Um sistema que entrega diagnósticos com aparência de precisão sobre dados ruins é mais perigoso do que um sistema que quantifica explicitamente sua própria incerteza.</w:t>
      </w:r>
    </w:p>
    <w:p>
      <w:pPr>
        <w:pStyle w:val="Heading1"/>
      </w:pPr>
      <w:r>
        <w:t xml:space="preserve">7. O Indicador Agregado: ISG</w:t>
      </w:r>
    </w:p>
    <w:p>
      <w:pPr>
        <w:spacing w:after="200"/>
      </w:pPr>
      <w:r>
        <w:rPr>
          <w:rFonts w:ascii="Arial" w:cs="Arial" w:eastAsia="Arial" w:hAnsi="Arial"/>
          <w:sz w:val="22"/>
          <w:szCs w:val="22"/>
        </w:rPr>
        <w:t xml:space="preserve">O Indicador de Saúde Geral (ISG) é o output final do motor — uma composição ponderada dos indicadores dimensionais e contextuais em um único score que classifica o negócio em faixas de saúde financeira. A lógica de agregação segue o paradigma estabelecido por Altman: diferentes dimensões de saúde financeira têm importâncias relativas distintas e devem ser combinadas com pesos que reflitam essa hierarquia.</w:t>
      </w:r>
    </w:p>
    <w:p>
      <w:pPr>
        <w:spacing w:after="200"/>
      </w:pPr>
      <w:r>
        <w:rPr>
          <w:rFonts w:ascii="Arial" w:cs="Arial" w:eastAsia="Arial" w:hAnsi="Arial"/>
          <w:sz w:val="22"/>
          <w:szCs w:val="22"/>
        </w:rPr>
        <w:t xml:space="preserve">No ISG, o IFC recebe o maior peso porque caixa é a variável de sobrevivência imediata — um negócio sem caixa quebra independentemente de qualquer outra métrica. O IPM recebe o segundo maior peso, por seu caráter potencialmente antecipador em relação ao IPR. O IPR vem em seguida, e o IBE, ainda em processo de formalização, ocupa o menor peso do conjunto.</w:t>
      </w:r>
    </w:p>
    <w:p>
      <w:pPr>
        <w:pStyle w:val="Heading2"/>
      </w:pPr>
      <w:r>
        <w:t xml:space="preserve">7.1 O Mecanismo de Override</w:t>
      </w:r>
    </w:p>
    <w:p>
      <w:pPr>
        <w:spacing w:after="200"/>
      </w:pPr>
      <w:r>
        <w:rPr>
          <w:rFonts w:ascii="Arial" w:cs="Arial" w:eastAsia="Arial" w:hAnsi="Arial"/>
          <w:sz w:val="22"/>
          <w:szCs w:val="22"/>
        </w:rPr>
        <w:t xml:space="preserve">Uma média ponderada pura pode mascarar situações extremas. Se o IFC estiver em nível crítico — indicando que o caixa cobre menos de dois ou três meses de operação —, o ISG não deve resultar em uma classificação intermediária apenas porque os outros indicadores estão em níveis moderados. O mecanismo de override garante que, quando a cobertura de caixa atinge o limiar crítico, o ISG é forçado para a zona de deterioração independentemente do valor calculado pela média ponderada.</w:t>
      </w:r>
    </w:p>
    <w:p>
      <w:pPr>
        <w:spacing w:after="200"/>
      </w:pPr>
      <w:r>
        <w:rPr>
          <w:rFonts w:ascii="Arial" w:cs="Arial" w:eastAsia="Arial" w:hAnsi="Arial"/>
          <w:sz w:val="22"/>
          <w:szCs w:val="22"/>
        </w:rPr>
        <w:t xml:space="preserve">Essa lógica de override é conceitualmente semelhante ao que a literatura de falência chama de condições necessárias versus condições suficientes: caixa suficiente não garante saúde financeira, mas caixa insuficiente garante risco imediato. Modelar essa assimetria é uma escolha de design correta.</w:t>
      </w:r>
    </w:p>
    <w:p>
      <w:pPr>
        <w:pStyle w:val="Heading2"/>
      </w:pPr>
      <w:r>
        <w:t xml:space="preserve">7.2 O ISG como Instrumento, não como Veredicto</w:t>
      </w:r>
    </w:p>
    <w:p>
      <w:pPr>
        <w:spacing w:after="200"/>
      </w:pPr>
      <w:r>
        <w:rPr>
          <w:rFonts w:ascii="Arial" w:cs="Arial" w:eastAsia="Arial" w:hAnsi="Arial"/>
          <w:sz w:val="22"/>
          <w:szCs w:val="22"/>
        </w:rPr>
        <w:t xml:space="preserve">A função do ISG não é substituir o julgamento analítico — é qualificá-lo. Em um portfólio de PMEs, o ISG permite que o analista ordene, filtre e priorize, dedicando atenção qualificada aos casos que realmente exigem intervenção. O diagnóstico final considera variáveis que nenhum motor quantitativo captura completamente: qualidade da gestão, contexto setorial, relacionamentos comerciais, momento macroeconômico.</w:t>
      </w:r>
    </w:p>
    <w:p>
      <w:pPr>
        <w:spacing w:after="200"/>
      </w:pPr>
      <w:r>
        <w:rPr>
          <w:rFonts w:ascii="Arial" w:cs="Arial" w:eastAsia="Arial" w:hAnsi="Arial"/>
          <w:sz w:val="22"/>
          <w:szCs w:val="22"/>
        </w:rPr>
        <w:t xml:space="preserve">Pesquisas recentes com modelos de múltiplos estágios para predição de insolvência demonstram que o mecanismo pelo qual uma empresa ativa cai em insolvência difere do mecanismo pelo qual uma empresa insolvente chega à falência — e que diferentes variáveis dominam em cada transição. Isso reforça que o monitoramento de deterioração é um processo contínuo, não um diagnóstico pontual, e que o valor do motor está precisamente em sua capacidade de acompanhar trajetórias ao longo do tempo.</w:t>
      </w:r>
    </w:p>
    <w:p>
      <w:pPr>
        <w:pStyle w:val="Heading1"/>
      </w:pPr>
      <w:r>
        <w:t xml:space="preserve">8. Limitações e Caminhos de Desenvolvimento</w:t>
      </w:r>
    </w:p>
    <w:p>
      <w:pPr>
        <w:spacing w:after="200"/>
      </w:pPr>
      <w:r>
        <w:rPr>
          <w:rFonts w:ascii="Arial" w:cs="Arial" w:eastAsia="Arial" w:hAnsi="Arial"/>
          <w:sz w:val="22"/>
          <w:szCs w:val="22"/>
        </w:rPr>
        <w:t xml:space="preserve">O motor apresentado é essencialmente retrospectivo: ele detecta deterioração que já se materializou nos dados históricos. A literatura de EWS para PMEs aponta que os indicadores com maior poder preditivo antecipado incluem padrões de uso de crédito rotativo, atrasos no pagamento de fornecedores e variações no ticket médio — dados que exigem integração com fontes externas além das demonstrações financeiras básicas.</w:t>
      </w:r>
    </w:p>
    <w:p>
      <w:pPr>
        <w:spacing w:after="200"/>
      </w:pPr>
      <w:r>
        <w:rPr>
          <w:rFonts w:ascii="Arial" w:cs="Arial" w:eastAsia="Arial" w:hAnsi="Arial"/>
          <w:sz w:val="22"/>
          <w:szCs w:val="22"/>
        </w:rPr>
        <w:t xml:space="preserve">A ausência de indicadores de passivo é outra limitação relevante. Um negócio pode apresentar caixa razoável enquanto acumula obrigações que tornam a posição insustentável no médio prazo. A incorporação de dados sobre endividamento, prazo médio de pagamento a fornecedores e uso de linhas de crédito aumentaria significativamente o poder preditivo do motor.</w:t>
      </w:r>
    </w:p>
    <w:p>
      <w:pPr>
        <w:spacing w:after="200"/>
      </w:pPr>
      <w:r>
        <w:rPr>
          <w:rFonts w:ascii="Arial" w:cs="Arial" w:eastAsia="Arial" w:hAnsi="Arial"/>
          <w:sz w:val="22"/>
          <w:szCs w:val="22"/>
        </w:rPr>
        <w:t xml:space="preserve">O tratamento explícito de sazonalidade é outro desenvolvimento necessário antes de escalar o motor. Negócios com sazonalidade marcada geram falsos positivos recorrentes quando seus indicadores de persistência são calculados sem ajuste sazonal. A comparação com o mesmo mês do ano anterior, em vez da mediana histórica geral, é uma abordagem que preserva a lógica do motor e corrige esse viés.</w:t>
      </w:r>
    </w:p>
    <w:p>
      <w:pPr>
        <w:spacing w:after="200"/>
      </w:pPr>
      <w:r>
        <w:rPr>
          <w:rFonts w:ascii="Arial" w:cs="Arial" w:eastAsia="Arial" w:hAnsi="Arial"/>
          <w:sz w:val="22"/>
          <w:szCs w:val="22"/>
        </w:rPr>
        <w:t xml:space="preserve">Por fim, a formalização do IBE permanece como o desenvolvimento mais urgente e com maior potencial de impacto — precisamente porque buffers se esgotam antes de qualquer outro indicador sinalizar crise. Um IBE bem especificado pode ser o indicador com maior capacidade de antecipar deterioração no conjunto atual.</w:t>
      </w:r>
    </w:p>
    <w:p>
      <w:pPr>
        <w:pStyle w:val="Heading1"/>
      </w:pPr>
      <w:r>
        <w:t xml:space="preserve">9. Referências</w:t>
      </w:r>
    </w:p>
    <w:p>
      <w:pPr>
        <w:spacing w:after="120"/>
      </w:pPr>
      <w:r>
        <w:rPr>
          <w:rFonts w:ascii="Arial" w:cs="Arial" w:eastAsia="Arial" w:hAnsi="Arial"/>
          <w:sz w:val="22"/>
          <w:szCs w:val="22"/>
        </w:rPr>
        <w:t xml:space="preserve">Altman, E. I. (1968). Financial ratios, discriminant analysis and the prediction of corporate bankruptcy. The Journal of Finance, 23(4), 589–609.</w:t>
      </w:r>
    </w:p>
    <w:p>
      <w:pPr>
        <w:spacing w:after="120"/>
      </w:pPr>
      <w:r>
        <w:rPr>
          <w:rFonts w:ascii="Arial" w:cs="Arial" w:eastAsia="Arial" w:hAnsi="Arial"/>
          <w:sz w:val="22"/>
          <w:szCs w:val="22"/>
        </w:rPr>
        <w:t xml:space="preserve">Beaver, W. H. (1966). Financial ratios as predictors of failure. Journal of Accounting Research, 4, 71–111.</w:t>
      </w:r>
    </w:p>
    <w:p>
      <w:pPr>
        <w:spacing w:after="120"/>
      </w:pPr>
      <w:r>
        <w:rPr>
          <w:rFonts w:ascii="Arial" w:cs="Arial" w:eastAsia="Arial" w:hAnsi="Arial"/>
          <w:sz w:val="22"/>
          <w:szCs w:val="22"/>
        </w:rPr>
        <w:t xml:space="preserve">Barboza, F., Kimura, H., &amp; Altman, E. (2017). Machine learning models and bankruptcy prediction. Expert Systems with Applications, 83, 405–417.</w:t>
      </w:r>
    </w:p>
    <w:p>
      <w:pPr>
        <w:spacing w:after="120"/>
      </w:pPr>
      <w:r>
        <w:rPr>
          <w:rFonts w:ascii="Arial" w:cs="Arial" w:eastAsia="Arial" w:hAnsi="Arial"/>
          <w:sz w:val="22"/>
          <w:szCs w:val="22"/>
        </w:rPr>
        <w:t xml:space="preserve">Ciampi, F., Giannozzi, A., Marzi, G., &amp; Altman, E. I. (2021). Rethinking SME default prediction: a systematic literature review and future perspectives. Springer Review of Managerial Science.</w:t>
      </w:r>
    </w:p>
    <w:p>
      <w:pPr>
        <w:spacing w:after="120"/>
      </w:pPr>
      <w:r>
        <w:rPr>
          <w:rFonts w:ascii="Arial" w:cs="Arial" w:eastAsia="Arial" w:hAnsi="Arial"/>
          <w:sz w:val="22"/>
          <w:szCs w:val="22"/>
        </w:rPr>
        <w:t xml:space="preserve">Toth, R. et al. (2025). A multi-stage financial distress early warning system: Analyzing corporate insolvency with random forest. Journal of Risk and Financial Management, 18(4), 195.</w:t>
      </w:r>
    </w:p>
    <w:p>
      <w:pPr>
        <w:spacing w:after="120"/>
      </w:pPr>
      <w:r>
        <w:rPr>
          <w:rFonts w:ascii="Arial" w:cs="Arial" w:eastAsia="Arial" w:hAnsi="Arial"/>
          <w:sz w:val="22"/>
          <w:szCs w:val="22"/>
        </w:rPr>
        <w:t xml:space="preserve">Wang, W. et al. (2022). Early warning and monitoring analysis of financial accounting indicators of listed companies based on big data. Scientific Programming.</w:t>
      </w:r>
    </w:p>
    <w:p>
      <w:pPr>
        <w:spacing w:after="120"/>
      </w:pPr>
      <w:r>
        <w:rPr>
          <w:rFonts w:ascii="Arial" w:cs="Arial" w:eastAsia="Arial" w:hAnsi="Arial"/>
          <w:sz w:val="22"/>
          <w:szCs w:val="22"/>
        </w:rPr>
        <w:t xml:space="preserve">Erdogan, B. E. (2013). Financial early warning system model and data mining application for risk detection. Expert Systems with Applications, 40(15).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B" w:sz="6" w:space="1"/>
      </w:pBdr>
    </w:pPr>
    <w:r>
      <w:rPr>
        <w:rFonts w:ascii="Arial" w:cs="Arial" w:eastAsia="Arial" w:hAnsi="Arial"/>
        <w:color w:val="2E5A9B"/>
        <w:sz w:val="18"/>
        <w:szCs w:val="18"/>
      </w:rPr>
      <w:t xml:space="preserve">Fundamentos Conceituais de Motores de Deterioração Financeira em PMEs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A9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5A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2026-02-24T21:29:47.686Z</dcterms:created>
  <dcterms:modified xsi:type="dcterms:W3CDTF">2026-02-24T21:29:47.686Z</dcterms:modified>
</cp:coreProperties>
</file>

<file path=docProps/custom.xml><?xml version="1.0" encoding="utf-8"?>
<Properties xmlns="http://schemas.openxmlformats.org/officeDocument/2006/custom-properties" xmlns:vt="http://schemas.openxmlformats.org/officeDocument/2006/docPropsVTypes"/>
</file>