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Matrix_effect_static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Sets keyboard to one color, no movement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razer_report razer_chroma_mouse_extended_matrix_effect_static(unsigned char variable_storage, unsigned char led_id, struct razer_rgb *rgb)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struct razer_report report = razer_chroma_mouse_extended_matrix_effect_base(0x06, variable_storage, led_id, 0x06);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report.arguments[3] = rgb-&gt;r;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report.arguments[4] = rgb-&gt;g;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report.arguments[5] = rgb-&gt;b;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return report;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Example command: echo -n -e "\xFF\x00\xFF" &gt; matrix_effect_static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"\x00\x00\x00"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None, turns led display 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"\xFF\x00\x00"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"\x00\xFF\x00"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"\x00\x00\xFF"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"\xFF\xFF\x00"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"\xFF\x00\xFF"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pink/purple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"\x00\xFF\xFF"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 blue/teal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"\xFF\xFF\xFF"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Max_brightness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Set brightness level from 0 -255. We could have options for 25, 50, 75, 100%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struct razer_report razer_chroma_extended_matrix_brightness(unsigned char variable_storage, unsigned char led_id, unsigned char brightness)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struct razer_report report = get_razer_report(0x0F, 0x04, 0x03);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report.transaction_id.id = 0x3F;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report.arguments[0] = variable_storage;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report.arguments[1] = led_id;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report.arguments[2] = brightness;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return report;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Example command: echo -n "0" &gt; matrix_brightness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 brightness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“64”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25% brightness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“128”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 brightness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“191”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75% brightness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“255”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 brightness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https://github.com/openrazer/openrazer/wiki/Using-the-keyboard-driver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Wave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Reactive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penrazer/openrazer/wiki/Using-the-keyboard-dri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