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18,</w:t>
      </w:r>
      <w:r>
        <w:t xml:space="preserve"> </w:t>
      </w:r>
      <w:r>
        <w:t xml:space="preserve">2024</w:t>
      </w:r>
      <w:r>
        <w:t xml:space="preserve"> </w:t>
      </w:r>
      <w:r>
        <w:t xml:space="preserve">at</w:t>
      </w:r>
      <w:r>
        <w:t xml:space="preserve"> </w:t>
      </w:r>
      <w:r>
        <w:t xml:space="preserve">02:58:34</w:t>
      </w:r>
      <w:r>
        <w:t xml:space="preserve"> </w:t>
      </w:r>
      <w:r>
        <w:t xml:space="preserve">PM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population</w:t>
      </w:r>
      <w:r>
        <w:t xml:space="preserve"> </w:t>
      </w:r>
      <w:r>
        <w:t xml:space="preserve">standard</w:t>
      </w:r>
      <w:r>
        <w:t xml:space="preserve"> </w:t>
      </w:r>
      <w:r>
        <w:t xml:space="preserve">deviation,</w:t>
      </w:r>
      <w:r>
        <w:t xml:space="preserve"> </w:t>
      </w:r>
      <w:r>
        <w:t xml:space="preserve">sample</w:t>
      </w:r>
      <w:r>
        <w:t xml:space="preserve"> </w:t>
      </w:r>
      <w:r>
        <w:t xml:space="preserve">sizes,</w:t>
      </w:r>
      <w:r>
        <w:t xml:space="preserve"> </w:t>
      </w:r>
      <w:r>
        <w:t xml:space="preserve">and</w:t>
      </w:r>
      <w:r>
        <w:t xml:space="preserve"> </w:t>
      </w:r>
      <w:r>
        <w:t xml:space="preserve">significance</w:t>
      </w:r>
      <w:r>
        <w:t xml:space="preserve"> </w:t>
      </w:r>
      <w:r>
        <w:t xml:space="preserve">levels.</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w:t>
      </w:r>
      <w:r>
        <w:t xml:space="preserve"> </w:t>
      </w:r>
      <m:oMath>
        <m:sSub>
          <m:e>
            <m:r>
              <m:t>τ</m:t>
            </m:r>
          </m:e>
          <m:sub>
            <m:r>
              <m:t>i</m:t>
            </m:r>
          </m:sub>
        </m:sSub>
      </m:oMath>
      <w:r>
        <w:t xml:space="preserve"> </w:t>
      </w:r>
      <w:r>
        <w:t xml:space="preserve">is a parameter unique to the</w:t>
      </w:r>
      <w:r>
        <w:t xml:space="preserve"> </w:t>
      </w:r>
      <m:oMath>
        <m:sSup>
          <m:e>
            <m:r>
              <m:t>i</m:t>
            </m:r>
          </m:e>
          <m:sup>
            <m:r>
              <m:rPr>
                <m:nor/>
                <m:sty m:val="p"/>
              </m:rPr>
              <m:t>th</m:t>
            </m:r>
          </m:sup>
        </m:sSup>
      </m:oMath>
      <w:r>
        <w:t xml:space="preserve"> </w:t>
      </w:r>
      <w:r>
        <w:t xml:space="preserve">treatment called the</w:t>
      </w:r>
      <w:r>
        <w:t xml:space="preserve"> </w:t>
      </w:r>
      <m:oMath>
        <m:sSup>
          <m:e>
            <m:r>
              <m:t>i</m:t>
            </m:r>
          </m:e>
          <m:sup>
            <m:r>
              <m:rPr>
                <m:nor/>
                <m:sty m:val="p"/>
              </m:rPr>
              <m:t>th</m:t>
            </m:r>
          </m:sup>
        </m:sSup>
      </m:oMath>
      <w:r>
        <w:t xml:space="preserve"> </w:t>
      </w:r>
      <w:r>
        <w:t xml:space="preserve">treatment effect, and</w:t>
      </w:r>
      <w:r>
        <w:t xml:space="preserve"> </w:t>
      </w:r>
      <m:oMath>
        <m:sSub>
          <m:e>
            <m:r>
              <m:t>ϵ</m:t>
            </m:r>
          </m:e>
          <m:sub>
            <m:r>
              <m:t>i</m:t>
            </m:r>
            <m:r>
              <m:t>j</m:t>
            </m:r>
          </m:sub>
        </m:sSub>
      </m:oMath>
      <w:r>
        <w:t xml:space="preserve"> </w:t>
      </w:r>
      <w:r>
        <w:t xml:space="preserve">is a random error component.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1</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The representation on the right side of the</w:t>
      </w:r>
      <w:r>
        <w:t xml:space="preserve"> </w:t>
      </w:r>
      <m:oMath>
        <m:r>
          <m:rPr>
            <m:sty m:val="p"/>
          </m:rPr>
          <m:t>≡</m:t>
        </m:r>
      </m:oMath>
      <w:r>
        <w:t xml:space="preserve"> </w:t>
      </w:r>
      <w:r>
        <w:t xml:space="preserve">in (3) is the standard test statistic used to test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r>
        <w:t xml:space="preserve"> </w:t>
      </w:r>
      <w:r>
        <w:t xml:space="preserve">Then, replacing the sample means in (3) with the population means 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bookmarkEnd w:id="21"/>
    <w:bookmarkStart w:id="37" w:name="example-1"/>
    <w:p>
      <w:pPr>
        <w:pStyle w:val="Heading1"/>
      </w:pPr>
      <w:r>
        <w:t xml:space="preserve">EXAMPLE 1</w:t>
      </w:r>
    </w:p>
    <w:p>
      <w:pPr>
        <w:pStyle w:val="FirstParagraph"/>
      </w:pPr>
      <w:r>
        <w:t xml:space="preserve">The following scenario can be given to students:</w:t>
      </w:r>
    </w:p>
    <w:p>
      <w:pPr>
        <w:pStyle w:val="BodyText"/>
      </w:pPr>
      <w:r>
        <w:t xml:space="preserve">Consider a ficticious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greater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w:t>
      </w:r>
      <w:r>
        <w:t xml:space="preserve"> </w:t>
      </w:r>
      <w:r>
        <w:t xml:space="preserve">(Chang et al., 2024)</w:t>
      </w:r>
      <w:r>
        <w:t xml:space="preserve"> </w:t>
      </w:r>
      <w:r>
        <w:t xml:space="preserve">found at</w:t>
      </w:r>
      <w:r>
        <w:t xml:space="preserve"> </w:t>
      </w:r>
      <w:hyperlink r:id="rId23">
        <w:r>
          <w:rPr>
            <w:rStyle w:val="Hyperlink"/>
          </w:rPr>
          <w:t xml:space="preserve">https://shinyapp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w:t>
      </w:r>
    </w:p>
    <w:p>
      <w:pPr>
        <w:pStyle w:val="CaptionedFigure"/>
      </w:pPr>
      <w:r>
        <w:drawing>
          <wp:inline>
            <wp:extent cx="5334000" cy="3365012"/>
            <wp:effectExtent b="0" l="0" r="0" t="0"/>
            <wp:docPr descr="Figure 1: Power to detect a specified difference in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a specified difference in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a specified difference in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a specified difference in means with given sample sizes and population standard deviation</w:t>
      </w:r>
    </w:p>
    <w:bookmarkEnd w:id="36"/>
    <w:bookmarkEnd w:id="37"/>
    <w:bookmarkStart w:id="43"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Figure</w:t>
      </w:r>
      <w:r>
        <w:t xml:space="preserve"> </w:t>
      </w:r>
      <w:r>
        <w:t xml:space="preserve">4</w:t>
      </w:r>
      <w:r>
        <w:t xml:space="preserve"> </w:t>
      </w:r>
      <w:r>
        <w:t xml:space="preserve">shows 70, 75, 80, and 85 entered for</w:t>
      </w:r>
      <w:r>
        <w:t xml:space="preserve"> </w:t>
      </w:r>
      <m:oMath>
        <m:sSub>
          <m:e>
            <m:r>
              <m:t>μ</m:t>
            </m:r>
          </m:e>
          <m:sub>
            <m:r>
              <m:t>1</m:t>
            </m:r>
          </m:sub>
        </m:sSub>
      </m:oMath>
      <w:r>
        <w:t xml:space="preserve">,</w:t>
      </w:r>
      <w:r>
        <w:t xml:space="preserve"> </w:t>
      </w:r>
      <m:oMath>
        <m:sSub>
          <m:e>
            <m:r>
              <m:t>μ</m:t>
            </m:r>
          </m:e>
          <m:sub>
            <m:r>
              <m:t>2</m:t>
            </m:r>
          </m:sub>
        </m:sSub>
      </m:oMath>
      <w:r>
        <w:t xml:space="preserve">,</w:t>
      </w:r>
      <w:r>
        <w:t xml:space="preserve"> </w:t>
      </w:r>
      <m:oMath>
        <m:sSub>
          <m:e>
            <m:r>
              <m:t>μ</m:t>
            </m:r>
          </m:e>
          <m:sub>
            <m:r>
              <m:t>3</m:t>
            </m:r>
          </m:sub>
        </m:sSub>
      </m:oMath>
      <w:r>
        <w:t xml:space="preserve">, and</w:t>
      </w:r>
      <w:r>
        <w:t xml:space="preserve"> </w:t>
      </w:r>
      <m:oMath>
        <m:sSub>
          <m:e>
            <m:r>
              <m:t>μ</m:t>
            </m:r>
          </m:e>
          <m:sub>
            <m:r>
              <m:t>4</m:t>
            </m:r>
          </m:sub>
        </m:sSub>
      </m:oMath>
      <w:r>
        <w:t xml:space="preserve"> </w:t>
      </w:r>
      <w:r>
        <w:t xml:space="preserve">in the</w:t>
      </w:r>
      <w:r>
        <w:t xml:space="preserve"> </w:t>
      </w:r>
      <m:oMath>
        <m:sSub>
          <m:e>
            <m:r>
              <m:t>H</m:t>
            </m:r>
          </m:e>
          <m:sub>
            <m:r>
              <m:t>A</m:t>
            </m:r>
          </m:sub>
        </m:sSub>
      </m:oMath>
      <w:r>
        <w:t xml:space="preserve"> </w:t>
      </w:r>
      <w:r>
        <w:t xml:space="preserve">box, the value of 15 in the</w:t>
      </w:r>
      <w:r>
        <w:t xml:space="preserve"> </w:t>
      </w:r>
      <m:oMath>
        <m:r>
          <m:t>σ</m:t>
        </m:r>
      </m:oMath>
      <w:r>
        <w:t xml:space="preserve"> </w:t>
      </w:r>
      <w:r>
        <w:t xml:space="preserve">box, and sliding the significance level to 0.05. Power is maximized when all treatment groups have the same number of experimental units. Consequently, if there are no restrictions on the allocation of resources, the experimenter should allocate an equal number of experimental units to each of the</w:t>
      </w:r>
      <w:r>
        <w:t xml:space="preserve"> </w:t>
      </w:r>
      <m:oMath>
        <m:r>
          <m:t>a</m:t>
        </m:r>
      </m:oMath>
      <w:r>
        <w:t xml:space="preserve"> </w:t>
      </w:r>
      <w:r>
        <w:t xml:space="preserve">treatments. Then, experiment with different values for the sample sizes for each treatment until the power is greater than or equal to 0.80. Our trial and error method started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yielded too small a power. As a guess, we doubled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noted we were just a little short of our desired power value. Next we tried</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observed this was over the target value of 0.80. We continued experimenting lowering the values until we arrived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returned a power of 0.8082.</w:t>
      </w:r>
    </w:p>
    <w:p>
      <w:pPr>
        <w:pStyle w:val="TableCaption"/>
      </w:pPr>
      <w:bookmarkStart w:id="38" w:name="tab:unnamed-chunk-6"/>
      <w:bookmarkEnd w:id="38"/>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a specified difference in means with given sample sizes and population standard deviation" title="" id="40" name="Picture"/>
            <a:graphic>
              <a:graphicData uri="http://schemas.openxmlformats.org/drawingml/2006/picture">
                <pic:pic>
                  <pic:nvPicPr>
                    <pic:cNvPr descr="./pics/fig-power4.png" id="41" name="Picture"/>
                    <pic:cNvPicPr>
                      <a:picLocks noChangeArrowheads="1" noChangeAspect="1"/>
                    </pic:cNvPicPr>
                  </pic:nvPicPr>
                  <pic:blipFill>
                    <a:blip r:embed="rId39"/>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2" w:name="fig:power4"/>
      <w:bookmarkEnd w:id="42"/>
      <w:r>
        <w:t xml:space="preserve">Figure 4: Power to detect a specified difference in means with given sample sizes and population standard deviation</w:t>
      </w:r>
    </w:p>
    <w:p>
      <w:pPr>
        <w:pStyle w:val="BodyText"/>
      </w:pPr>
      <w:r>
        <w:t xml:space="preserve">We note in passing that computing power for full-rank general linear models is also possible using the same paradign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3"/>
    <w:bookmarkStart w:id="53" w:name="references"/>
    <w:p>
      <w:pPr>
        <w:pStyle w:val="Heading1"/>
      </w:pPr>
      <w:r>
        <w:t xml:space="preserve">References</w:t>
      </w:r>
    </w:p>
    <w:bookmarkStart w:id="52" w:name="refs"/>
    <w:bookmarkStart w:id="45"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4">
        <w:r>
          <w:rPr>
            <w:rStyle w:val="Hyperlink"/>
          </w:rPr>
          <w:t xml:space="preserve">https://doi.org/10.1111/test.12186</w:t>
        </w:r>
      </w:hyperlink>
    </w:p>
    <w:bookmarkEnd w:id="45"/>
    <w:bookmarkStart w:id="46" w:name="ref-gaise2016"/>
    <w:p>
      <w:pPr>
        <w:pStyle w:val="Bibliography"/>
      </w:pPr>
      <w:r>
        <w:t xml:space="preserve">Carver, R., Everson, M., Gabrosek, J., Horton, N., Lock, R., Mocko, M., … Wood, B. (2016). Guidelines for assessment and instruction in statistics education (GAISE) college report 2016.</w:t>
      </w:r>
    </w:p>
    <w:bookmarkEnd w:id="46"/>
    <w:bookmarkStart w:id="48"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7">
        <w:r>
          <w:rPr>
            <w:rStyle w:val="Hyperlink"/>
          </w:rPr>
          <w:t xml:space="preserve">https://shiny.posit.co/</w:t>
        </w:r>
      </w:hyperlink>
    </w:p>
    <w:bookmarkEnd w:id="48"/>
    <w:bookmarkStart w:id="50"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9">
        <w:r>
          <w:rPr>
            <w:rStyle w:val="Hyperlink"/>
          </w:rPr>
          <w:t xml:space="preserve">https://www.R-project.org/</w:t>
        </w:r>
      </w:hyperlink>
    </w:p>
    <w:bookmarkEnd w:id="50"/>
    <w:bookmarkStart w:id="51"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power with a Shiny app</dc:title>
  <dc:creator/>
  <cp:keywords/>
  <dcterms:created xsi:type="dcterms:W3CDTF">2024-12-18T19:58:35Z</dcterms:created>
  <dcterms:modified xsi:type="dcterms:W3CDTF">2024-12-18T19:58:35Z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population standard deviation, sample sizes, and significance levels.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18, 2024 at 02:58:34 PM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