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2.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sample</w:t>
      </w:r>
      <w:r>
        <w:t xml:space="preserve"> </w:t>
      </w:r>
      <w:r>
        <w:t xml:space="preserve">size</w:t>
      </w:r>
      <w:r>
        <w:t xml:space="preserve"> </w:t>
      </w:r>
      <w:r>
        <w:t xml:space="preserve">for</w:t>
      </w:r>
      <w:r>
        <w:t xml:space="preserve"> </w:t>
      </w:r>
      <w:r>
        <w:t xml:space="preserve">a</w:t>
      </w:r>
      <w:r>
        <w:t xml:space="preserve"> </w:t>
      </w:r>
      <w:r>
        <w:t xml:space="preserve">completely</w:t>
      </w:r>
      <w:r>
        <w:t xml:space="preserve"> </w:t>
      </w:r>
      <w:r>
        <w:t xml:space="preserve">randomized</w:t>
      </w:r>
      <w:r>
        <w:t xml:space="preserve"> </w:t>
      </w:r>
      <w:r>
        <w:t xml:space="preserve">experiment</w:t>
      </w:r>
      <w:r>
        <w:t xml:space="preserve"> </w:t>
      </w:r>
      <w:r>
        <w:t xml:space="preserve">to</w:t>
      </w:r>
      <w:r>
        <w:t xml:space="preserve"> </w:t>
      </w:r>
      <w:r>
        <w:t xml:space="preserve">achieve</w:t>
      </w:r>
      <w:r>
        <w:t xml:space="preserve"> </w:t>
      </w:r>
      <w:r>
        <w:t xml:space="preserve">an</w:t>
      </w:r>
      <w:r>
        <w:t xml:space="preserve"> </w:t>
      </w:r>
      <w:r>
        <w:t xml:space="preserve">acceptable</w:t>
      </w:r>
      <w:r>
        <w:t xml:space="preserve"> </w:t>
      </w:r>
      <w:r>
        <w:t xml:space="preserve">power</w:t>
      </w:r>
      <w:r>
        <w:t xml:space="preserve"> </w:t>
      </w:r>
      <w:r>
        <w:t xml:space="preserve">with</w:t>
      </w:r>
      <w:r>
        <w:t xml:space="preserve"> </w:t>
      </w:r>
      <w:r>
        <w:t xml:space="preserve">a</w:t>
      </w:r>
      <w:r>
        <w:t xml:space="preserve"> </w:t>
      </w:r>
      <w:r>
        <w:t xml:space="preserve">Shiny</w:t>
      </w:r>
      <w:r>
        <w:t xml:space="preserve"> </w:t>
      </w:r>
      <w:r>
        <w:t xml:space="preserve">app</w:t>
      </w:r>
    </w:p>
    <w:p>
      <w:pPr>
        <w:pStyle w:val="Date"/>
      </w:pPr>
      <w:r>
        <w:t xml:space="preserve">Last</w:t>
      </w:r>
      <w:r>
        <w:t xml:space="preserve"> </w:t>
      </w:r>
      <w:r>
        <w:t xml:space="preserve">edit:</w:t>
      </w:r>
      <w:r>
        <w:t xml:space="preserve"> </w:t>
      </w:r>
      <w:r>
        <w:t xml:space="preserve">December</w:t>
      </w:r>
      <w:r>
        <w:t xml:space="preserve"> </w:t>
      </w:r>
      <w:r>
        <w:t xml:space="preserve">16,</w:t>
      </w:r>
      <w:r>
        <w:t xml:space="preserve"> </w:t>
      </w:r>
      <w:r>
        <w:t xml:space="preserve">2024</w:t>
      </w:r>
    </w:p>
    <w:p>
      <w:pPr>
        <w:pStyle w:val="Abstract"/>
      </w:pPr>
      <w:r>
        <w:rPr>
          <w:bCs/>
          <w:b/>
        </w:rPr>
        <w:t xml:space="preserve">Summary</w:t>
      </w:r>
      <w:r>
        <w:t xml:space="preserve"> </w:t>
      </w:r>
      <w:r>
        <w:t xml:space="preserve">Understanding</w:t>
      </w:r>
      <w:r>
        <w:t xml:space="preserve"> </w:t>
      </w:r>
      <w:r>
        <w:t xml:space="preserve">and</w:t>
      </w:r>
      <w:r>
        <w:t xml:space="preserve"> </w:t>
      </w:r>
      <w:r>
        <w:t xml:space="preserve">computing</w:t>
      </w:r>
      <w:r>
        <w:t xml:space="preserve"> </w:t>
      </w:r>
      <w:r>
        <w:t xml:space="preserve">power</w:t>
      </w:r>
      <w:r>
        <w:t xml:space="preserve"> </w:t>
      </w:r>
      <w:r>
        <w:t xml:space="preserve">and</w:t>
      </w:r>
      <w:r>
        <w:t xml:space="preserve"> </w:t>
      </w:r>
      <w:r>
        <w:t xml:space="preserve">the</w:t>
      </w:r>
      <w:r>
        <w:t xml:space="preserve"> </w:t>
      </w:r>
      <w:r>
        <w:t xml:space="preserve">relationship</w:t>
      </w:r>
      <w:r>
        <w:t xml:space="preserve"> </w:t>
      </w:r>
      <w:r>
        <w:t xml:space="preserve">between</w:t>
      </w:r>
      <w:r>
        <w:t xml:space="preserve"> </w:t>
      </w:r>
      <w:r>
        <w:t xml:space="preserve">sample</w:t>
      </w:r>
      <w:r>
        <w:t xml:space="preserve"> </w:t>
      </w:r>
      <w:r>
        <w:t xml:space="preserve">size</w:t>
      </w:r>
      <w:r>
        <w:t xml:space="preserve"> </w:t>
      </w:r>
      <w:r>
        <w:t xml:space="preserve">and</w:t>
      </w:r>
      <w:r>
        <w:t xml:space="preserve"> </w:t>
      </w:r>
      <w:r>
        <w:t xml:space="preserve">power</w:t>
      </w:r>
      <w:r>
        <w:t xml:space="preserve"> </w:t>
      </w:r>
      <w:r>
        <w:t xml:space="preserve">are</w:t>
      </w:r>
      <w:r>
        <w:t xml:space="preserve"> </w:t>
      </w:r>
      <w:r>
        <w:t xml:space="preserve">facilitated</w:t>
      </w:r>
      <w:r>
        <w:t xml:space="preserve"> </w:t>
      </w:r>
      <w:r>
        <w:t xml:space="preserve">via</w:t>
      </w:r>
      <w:r>
        <w:t xml:space="preserve"> </w:t>
      </w:r>
      <w:r>
        <w:t xml:space="preserve">a</w:t>
      </w:r>
      <w:r>
        <w:t xml:space="preserve"> </w:t>
      </w:r>
      <w:r>
        <w:t xml:space="preserve">Shiny</w:t>
      </w:r>
      <w:r>
        <w:t xml:space="preserve"> </w:t>
      </w:r>
      <w:r>
        <w:t xml:space="preserve">app.</w:t>
      </w:r>
      <w:r>
        <w:t xml:space="preserve"> </w:t>
      </w:r>
      <w:r>
        <w:t xml:space="preserve">The</w:t>
      </w:r>
      <w:r>
        <w:t xml:space="preserve"> </w:t>
      </w:r>
      <w:r>
        <w:t xml:space="preserve">Shiny</w:t>
      </w:r>
      <w:r>
        <w:t xml:space="preserve"> </w:t>
      </w:r>
      <w:r>
        <w:t xml:space="preserve">app</w:t>
      </w:r>
      <w:r>
        <w:t xml:space="preserve"> </w:t>
      </w:r>
      <w:r>
        <w:t xml:space="preserve">allows</w:t>
      </w:r>
      <w:r>
        <w:t xml:space="preserve"> </w:t>
      </w:r>
      <w:r>
        <w:t xml:space="preserve">students</w:t>
      </w:r>
      <w:r>
        <w:t xml:space="preserve"> </w:t>
      </w:r>
      <w:r>
        <w:t xml:space="preserve">to</w:t>
      </w:r>
      <w:r>
        <w:t xml:space="preserve"> </w:t>
      </w:r>
      <w:r>
        <w:t xml:space="preserve">solve</w:t>
      </w:r>
      <w:r>
        <w:t xml:space="preserve"> </w:t>
      </w:r>
      <w:r>
        <w:t xml:space="preserve">various</w:t>
      </w:r>
      <w:r>
        <w:t xml:space="preserve"> </w:t>
      </w:r>
      <w:r>
        <w:t xml:space="preserve">scenarios</w:t>
      </w:r>
      <w:r>
        <w:t xml:space="preserve"> </w:t>
      </w:r>
      <w:r>
        <w:t xml:space="preserve">by</w:t>
      </w:r>
      <w:r>
        <w:t xml:space="preserve"> </w:t>
      </w:r>
      <w:r>
        <w:t xml:space="preserve">entering</w:t>
      </w:r>
      <w:r>
        <w:t xml:space="preserve"> </w:t>
      </w:r>
      <w:r>
        <w:t xml:space="preserve">different</w:t>
      </w:r>
      <w:r>
        <w:t xml:space="preserve"> </w:t>
      </w:r>
      <w:r>
        <w:t xml:space="preserve">parameters</w:t>
      </w:r>
      <w:r>
        <w:t xml:space="preserve"> </w:t>
      </w:r>
      <w:r>
        <w:t xml:space="preserve">or</w:t>
      </w:r>
      <w:r>
        <w:t xml:space="preserve"> </w:t>
      </w:r>
      <w:r>
        <w:t xml:space="preserve">moving</w:t>
      </w:r>
      <w:r>
        <w:t xml:space="preserve"> </w:t>
      </w:r>
      <w:r>
        <w:t xml:space="preserve">sliders.</w:t>
      </w:r>
    </w:p>
    <w:p>
      <w:pPr>
        <w:pStyle w:val="Abstract"/>
      </w:pPr>
      <w:r>
        <w:rPr>
          <w:bCs/>
          <w:b/>
        </w:rPr>
        <w:t xml:space="preserve">Keywords:</w:t>
      </w:r>
      <w:r>
        <w:t xml:space="preserve"> </w:t>
      </w:r>
      <w:r>
        <w:t xml:space="preserve">Power,</w:t>
      </w:r>
      <w:r>
        <w:t xml:space="preserve"> </w:t>
      </w:r>
      <w:r>
        <w:t xml:space="preserve">Shiny</w:t>
      </w:r>
      <w:r>
        <w:t xml:space="preserve"> </w:t>
      </w:r>
      <w:r>
        <w:t xml:space="preserve">app,</w:t>
      </w:r>
      <w:r>
        <w:t xml:space="preserve"> </w:t>
      </w:r>
      <w:r>
        <w:t xml:space="preserve">significance</w:t>
      </w:r>
      <w:r>
        <w:t xml:space="preserve"> </w:t>
      </w:r>
      <w:r>
        <w:t xml:space="preserve">level,</w:t>
      </w:r>
      <w:r>
        <w:t xml:space="preserve"> </w:t>
      </w:r>
      <w:r>
        <w:t xml:space="preserve">type</w:t>
      </w:r>
      <w:r>
        <w:t xml:space="preserve"> </w:t>
      </w:r>
      <w:r>
        <w:t xml:space="preserve">I</w:t>
      </w:r>
      <w:r>
        <w:t xml:space="preserve"> </w:t>
      </w:r>
      <w:r>
        <w:t xml:space="preserve">error,</w:t>
      </w:r>
      <w:r>
        <w:t xml:space="preserve"> </w:t>
      </w:r>
      <w:r>
        <w:t xml:space="preserve">type</w:t>
      </w:r>
      <w:r>
        <w:t xml:space="preserve"> </w:t>
      </w:r>
      <w:r>
        <w:t xml:space="preserve">II</w:t>
      </w:r>
      <w:r>
        <w:t xml:space="preserve"> </w:t>
      </w:r>
      <w:r>
        <w:t xml:space="preserve">error</w:t>
      </w:r>
    </w:p>
    <w:bookmarkStart w:id="20" w:name="introduction"/>
    <w:p>
      <w:pPr>
        <w:pStyle w:val="Heading1"/>
      </w:pPr>
      <w:r>
        <w:t xml:space="preserve">INTRODUCTION</w:t>
      </w:r>
    </w:p>
    <w:p>
      <w:pPr>
        <w:pStyle w:val="FirstParagraph"/>
      </w:pPr>
      <w:r>
        <w:t xml:space="preserve">The concept of power and its relationship to sample size for a single sample via a Shiny app was discussed in</w:t>
      </w:r>
      <w:r>
        <w:t xml:space="preserve"> </w:t>
      </w:r>
      <w:r>
        <w:t xml:space="preserve">Arnholt (2019)</w:t>
      </w:r>
      <w:r>
        <w:t xml:space="preserve">. This work shows how the noncentrality parameter (</w:t>
      </w:r>
      <m:oMath>
        <m:r>
          <m:t>λ</m:t>
        </m:r>
      </m:oMath>
      <w:r>
        <w:t xml:space="preserve">) is a measure of statistical difference between</w:t>
      </w:r>
      <w:r>
        <w:t xml:space="preserve"> </w:t>
      </w:r>
      <w:r>
        <w:rPr>
          <w:bCs/>
          <w:b/>
        </w:rPr>
        <w:t xml:space="preserve">population</w:t>
      </w:r>
      <w:r>
        <w:t xml:space="preserve"> </w:t>
      </w:r>
      <w:r>
        <w:t xml:space="preserve">means and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 A Shiny app is presented where students can experiment with different design structures (i.e. different sample sizes for each of the</w:t>
      </w:r>
      <w:r>
        <w:t xml:space="preserve"> </w:t>
      </w:r>
      <m:oMath>
        <m:r>
          <m:t>a</m:t>
        </m:r>
      </m:oMath>
      <w:r>
        <w:t xml:space="preserve"> </w:t>
      </w:r>
      <w:r>
        <w:t xml:space="preserve">treatments) to ensure their experiments attain satisfactory power. The notation used for the one-way completely randomized design follows that presented in</w:t>
      </w:r>
      <w:r>
        <w:t xml:space="preserve"> </w:t>
      </w:r>
      <w:r>
        <w:t xml:space="preserve">Ugarte, Militino, &amp; Arnholt (2015)</w:t>
      </w:r>
      <w:r>
        <w:t xml:space="preserve">. To aid with the connection between noncentrality parameters and test statistics, it is shown how the pooled variance</w:t>
      </w:r>
      <w:r>
        <w:t xml:space="preserve"> </w:t>
      </w:r>
      <m:oMath>
        <m:r>
          <m:t>t</m:t>
        </m:r>
      </m:oMath>
      <w:r>
        <w:t xml:space="preserve">-test is a special case of the</w:t>
      </w:r>
      <w:r>
        <w:t xml:space="preserve"> </w:t>
      </w:r>
      <m:oMath>
        <m:r>
          <m:t>F</m:t>
        </m:r>
      </m:oMath>
      <w:r>
        <w:t xml:space="preserve">-test when there are (</w:t>
      </w:r>
      <m:oMath>
        <m:r>
          <m:t>a</m:t>
        </m:r>
        <m:r>
          <m:rPr>
            <m:sty m:val="p"/>
          </m:rPr>
          <m:t>=</m:t>
        </m:r>
        <m:r>
          <m:t>2</m:t>
        </m:r>
      </m:oMath>
      <w:r>
        <w:t xml:space="preserve">) treatments before generalizing to</w:t>
      </w:r>
      <w:r>
        <w:t xml:space="preserve"> </w:t>
      </w:r>
      <m:oMath>
        <m:r>
          <m:t>a</m:t>
        </m:r>
        <m:r>
          <m:rPr>
            <m:sty m:val="p"/>
          </m:rPr>
          <m:t>&gt;</m:t>
        </m:r>
        <m:r>
          <m:rPr>
            <m:sty m:val="p"/>
          </m:rPr>
          <m:t>=</m:t>
        </m:r>
        <m:r>
          <m:t>2</m:t>
        </m:r>
      </m:oMath>
      <w:r>
        <w:t xml:space="preserve"> </w:t>
      </w:r>
      <w:r>
        <w:t xml:space="preserve">treatments.</w:t>
      </w:r>
    </w:p>
    <w:bookmarkEnd w:id="20"/>
    <w:bookmarkStart w:id="21"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w:t>
      </w:r>
      <w:r>
        <w:t xml:space="preserve"> </w:t>
      </w:r>
      <w:r>
        <w:t xml:space="preserve">treatments called the overall mean,</w:t>
      </w:r>
      <w:r>
        <w:t xml:space="preserve"> </w:t>
      </w:r>
      <m:oMath>
        <m:sSub>
          <m:e>
            <m:r>
              <m:t>τ</m:t>
            </m:r>
          </m:e>
          <m:sub>
            <m:r>
              <m:t>i</m:t>
            </m:r>
          </m:sub>
        </m:sSub>
      </m:oMath>
      <w:r>
        <w:t xml:space="preserve"> </w:t>
      </w:r>
      <w:r>
        <w:t xml:space="preserve">is a parameter unique to the</w:t>
      </w:r>
      <w:r>
        <w:t xml:space="preserve"> </w:t>
      </w:r>
      <m:oMath>
        <m:sSup>
          <m:e>
            <m:r>
              <m:t>i</m:t>
            </m:r>
          </m:e>
          <m:sup>
            <m:r>
              <m:rPr>
                <m:nor/>
                <m:sty m:val="p"/>
              </m:rPr>
              <m:t>th</m:t>
            </m:r>
          </m:sup>
        </m:sSup>
      </m:oMath>
      <w:r>
        <w:t xml:space="preserve"> </w:t>
      </w:r>
      <w:r>
        <w:t xml:space="preserve">treatment called the</w:t>
      </w:r>
      <w:r>
        <w:t xml:space="preserve"> </w:t>
      </w:r>
      <m:oMath>
        <m:sSup>
          <m:e>
            <m:r>
              <m:t>i</m:t>
            </m:r>
          </m:e>
          <m:sup>
            <m:r>
              <m:rPr>
                <m:nor/>
                <m:sty m:val="p"/>
              </m:rPr>
              <m:t>th</m:t>
            </m:r>
          </m:sup>
        </m:sSup>
      </m:oMath>
      <w:r>
        <w:t xml:space="preserve"> </w:t>
      </w:r>
      <w:r>
        <w:t xml:space="preserve">treatment effect, and</w:t>
      </w:r>
      <w:r>
        <w:t xml:space="preserve"> </w:t>
      </w:r>
      <m:oMath>
        <m:sSub>
          <m:e>
            <m:r>
              <m:t>ϵ</m:t>
            </m:r>
          </m:e>
          <m:sub>
            <m:r>
              <m:t>i</m:t>
            </m:r>
            <m:r>
              <m:t>j</m:t>
            </m:r>
          </m:sub>
        </m:sSub>
      </m:oMath>
      <w:r>
        <w:t xml:space="preserve"> </w:t>
      </w:r>
      <w:r>
        <w:t xml:space="preserve">is a random error component. For hypothesis testing, the model</w:t>
      </w:r>
      <w:r>
        <w:t xml:space="preserve"> </w:t>
      </w:r>
      <w:r>
        <w:t xml:space="preserve">errors are assumed to be normally and independently distributed with mean zero</w:t>
      </w:r>
      <w:r>
        <w:t xml:space="preserve"> </w:t>
      </w:r>
      <w:r>
        <w:t xml:space="preserve">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1</m:t>
              </m:r>
            </m:sub>
          </m:sSub>
          <m:r>
            <m:rPr>
              <m:sty m:val="p"/>
            </m:rPr>
            <m:t>:</m:t>
          </m:r>
          <m:sSub>
            <m:e>
              <m:r>
                <m:t>μ</m:t>
              </m:r>
            </m:e>
            <m:sub>
              <m:r>
                <m:t>i</m:t>
              </m:r>
            </m:sub>
          </m:sSub>
          <m:r>
            <m:rPr>
              <m:sty m:val="p"/>
            </m:rPr>
            <m:t>≠</m:t>
          </m:r>
          <m:sSub>
            <m:e>
              <m:r>
                <m:t>μ</m:t>
              </m:r>
            </m:e>
            <m:sub>
              <m:r>
                <m:t>j</m:t>
              </m:r>
            </m:sub>
          </m:sSub>
          <m:r>
            <m:rPr>
              <m:nor/>
              <m:sty m:val="p"/>
            </m:rPr>
            <m:t> for some </m:t>
          </m:r>
          <m:d>
            <m:dPr>
              <m:begChr m:val="("/>
              <m:endChr m:val=")"/>
              <m:sepChr m:val=""/>
              <m:grow/>
            </m:dPr>
            <m:e>
              <m:r>
                <m:t>i</m:t>
              </m:r>
              <m:r>
                <m:rPr>
                  <m:sty m:val="p"/>
                </m:rPr>
                <m:t>,</m:t>
              </m:r>
              <m:r>
                <m:t>j</m:t>
              </m:r>
            </m:e>
          </m:d>
          <m:r>
            <m:rPr>
              <m:sty m:val="p"/>
            </m:rPr>
            <m:t>.</m:t>
          </m:r>
          <m:d>
            <m:dPr>
              <m:begChr m:val="("/>
              <m:endChr m:val=")"/>
              <m:sepChr m:val=""/>
              <m:grow/>
            </m:dPr>
            <m:e>
              <m:r>
                <m:rPr>
                  <m:sty m:val="p"/>
                </m:rPr>
                <m:t>#</m:t>
              </m:r>
              <m:r>
                <m:t>e</m:t>
              </m:r>
              <m:r>
                <m:t>q</m:t>
              </m:r>
              <m:r>
                <m:rPr>
                  <m:sty m:val="p"/>
                </m:rPr>
                <m:t>:</m:t>
              </m:r>
              <m:r>
                <m:t>H</m:t>
              </m:r>
              <m:r>
                <m:t>Y</m:t>
              </m:r>
              <m:r>
                <m:t>P</m:t>
              </m:r>
            </m:e>
          </m:d>
        </m:oMath>
      </m:oMathPara>
    </w:p>
    <w:p>
      <w:pPr>
        <w:pStyle w:val="FirstParagraph"/>
      </w:pPr>
      <w:r>
        <w:t xml:space="preserve">The notation that follows is adopted from</w:t>
      </w:r>
      <w:r>
        <w:t xml:space="preserve"> </w:t>
      </w:r>
      <w:r>
        <w:t xml:space="preserve">Ugarte et al.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w:t>
      </w:r>
      <w:r>
        <w:t xml:space="preserve"> </w:t>
      </w:r>
      <w:r>
        <w:t xml:space="preserve">The sum of all observations is</w:t>
      </w:r>
      <w:r>
        <w:t xml:space="preserve"> </w:t>
      </w:r>
      <m:oMath>
        <m:sSub>
          <m:e>
            <m:r>
              <m:t>Y</m:t>
            </m:r>
          </m:e>
          <m:sub>
            <m:r>
              <m:rPr>
                <m:sty m:val="p"/>
              </m:rPr>
              <m:t>•</m:t>
            </m:r>
            <m:r>
              <m:rPr>
                <m:sty m:val="p"/>
              </m:rPr>
              <m:t>•</m:t>
            </m:r>
          </m:sub>
        </m:sSub>
        <m:r>
          <m:rPr>
            <m:sty m:val="p"/>
          </m:rPr>
          <m:t>=</m:t>
        </m:r>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f>
          <m:fPr>
            <m:type m:val="bar"/>
          </m:fPr>
          <m:num>
            <m:sSub>
              <m:e>
                <m:r>
                  <m:t>Y</m:t>
                </m:r>
              </m:e>
              <m:sub>
                <m:r>
                  <m:rPr>
                    <m:sty m:val="p"/>
                  </m:rPr>
                  <m:t>•</m:t>
                </m:r>
                <m:r>
                  <m:rPr>
                    <m:sty m:val="p"/>
                  </m:rPr>
                  <m:t>•</m:t>
                </m:r>
              </m:sub>
            </m:sSub>
          </m:num>
          <m:den>
            <m:r>
              <m:t>N</m:t>
            </m:r>
          </m:den>
        </m:f>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(3). The representation on the right side of the</w:t>
      </w:r>
      <w:r>
        <w:t xml:space="preserve"> </w:t>
      </w:r>
      <m:oMath>
        <m:r>
          <m:rPr>
            <m:sty m:val="p"/>
          </m:rPr>
          <m:t>≡</m:t>
        </m:r>
      </m:oMath>
      <w:r>
        <w:t xml:space="preserve"> </w:t>
      </w:r>
      <w:r>
        <w:t xml:space="preserve">in (3) is the standard test statistic used to test two means when variances are assumed to be equal. To verify the equivalence keep in mind that</w:t>
      </w:r>
      <w:r>
        <w:t xml:space="preserve"> </w:t>
      </w:r>
      <m:oMath>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sSub>
          <m:e>
            <m:acc>
              <m:accPr>
                <m:chr m:val="‾"/>
              </m:accPr>
              <m:e>
                <m:r>
                  <m:t>Y</m:t>
                </m:r>
              </m:e>
            </m:acc>
          </m:e>
          <m:sub>
            <m:r>
              <m:t>i</m:t>
            </m:r>
            <m:r>
              <m:rPr>
                <m:sty m:val="p"/>
              </m:rPr>
              <m:t>•</m:t>
            </m:r>
          </m:sub>
        </m:sSub>
        <m:sSub>
          <m:e>
            <m:r>
              <m:t>n</m:t>
            </m:r>
          </m:e>
          <m:sub>
            <m:r>
              <m:t>i</m:t>
            </m:r>
          </m:sub>
        </m:sSub>
        <m:r>
          <m:rPr>
            <m:nor/>
            <m:sty m:val="p"/>
          </m:rPr>
          <m:t> for </m:t>
        </m:r>
        <m:r>
          <m:t>i</m:t>
        </m:r>
        <m:r>
          <m:rPr>
            <m:sty m:val="p"/>
          </m:rPr>
          <m:t>=</m:t>
        </m:r>
        <m:r>
          <m:t>1</m:t>
        </m:r>
        <m:r>
          <m:rPr>
            <m:sty m:val="p"/>
          </m:rPr>
          <m:t>,</m:t>
        </m:r>
        <m:r>
          <m:t>2</m:t>
        </m:r>
      </m:oMath>
      <w:r>
        <w:t xml:space="preserve"> </w:t>
      </w:r>
      <w:r>
        <w:t xml:space="preserve">and</w:t>
      </w:r>
      <w:r>
        <w:t xml:space="preserve"> </w:t>
      </w:r>
      <m:oMath>
        <m:d>
          <m:dPr>
            <m:begChr m:val="("/>
            <m:endChr m:val=")"/>
            <m:sepChr m:val=""/>
            <m:grow/>
          </m:dPr>
          <m:e>
            <m:sSub>
              <m:e>
                <m:r>
                  <m:t>n</m:t>
                </m:r>
              </m:e>
              <m:sub>
                <m:r>
                  <m:t>1</m:t>
                </m:r>
              </m:sub>
            </m:sSub>
            <m:r>
              <m:rPr>
                <m:sty m:val="p"/>
              </m:rPr>
              <m:t>+</m:t>
            </m:r>
            <m:sSub>
              <m:e>
                <m:r>
                  <m:t>n</m:t>
                </m:r>
              </m:e>
              <m:sub>
                <m:r>
                  <m:t>2</m:t>
                </m:r>
              </m:sub>
            </m:sSub>
          </m:e>
        </m:d>
        <m:sSub>
          <m:e>
            <m:acc>
              <m:accPr>
                <m:chr m:val="‾"/>
              </m:accPr>
              <m:e>
                <m:r>
                  <m:t>Y</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oMath>
      <w:r>
        <w:t xml:space="preserve">.</w:t>
      </w:r>
    </w:p>
    <w:p>
      <w:pPr>
        <w:pStyle w:val="BodyText"/>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3</m:t>
              </m:r>
            </m:e>
          </m:d>
        </m:oMath>
      </m:oMathPara>
    </w:p>
    <w:p>
      <w:pPr>
        <w:pStyle w:val="FirstParagraph"/>
      </w:pPr>
      <w:r>
        <w:t xml:space="preserve">Rewriting the right side of (3)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4</m:t>
              </m:r>
            </m:e>
          </m:d>
        </m:oMath>
      </m:oMathPara>
    </w:p>
    <w:p>
      <w:pPr>
        <w:pStyle w:val="FirstParagraph"/>
      </w:pPr>
      <w:r>
        <w:t xml:space="preserve">The quantity in (3) measures the statistical differences between</w:t>
      </w:r>
      <w:r>
        <w:t xml:space="preserve"> </w:t>
      </w:r>
      <w:r>
        <w:rPr>
          <w:bCs/>
          <w:b/>
        </w:rPr>
        <w:t xml:space="preserve">sample</w:t>
      </w:r>
      <w:r>
        <w:t xml:space="preserve"> </w:t>
      </w:r>
      <w:r>
        <w:t xml:space="preserve">means. Replacing the sample means in (3) with the population means yields</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m:oMathPara>
    </w:p>
    <w:p>
      <w:pPr>
        <w:pStyle w:val="FirstParagraph"/>
      </w:pPr>
      <w:r>
        <w:t xml:space="preserve">where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is the sum of squares for</w:t>
      </w:r>
      <w:r>
        <w:t xml:space="preserve"> </w:t>
      </w:r>
      <w:r>
        <w:t xml:space="preserve">treatments obtained by</w:t>
      </w:r>
      <w:r>
        <w:t xml:space="preserve"> </w:t>
      </w:r>
      <w:r>
        <w:t xml:space="preserve">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w:t>
      </w:r>
    </w:p>
    <w:bookmarkEnd w:id="21"/>
    <w:bookmarkStart w:id="37" w:name="example-1"/>
    <w:p>
      <w:pPr>
        <w:pStyle w:val="Heading1"/>
      </w:pPr>
      <w:r>
        <w:t xml:space="preserve">EXAMPLE 1</w:t>
      </w:r>
    </w:p>
    <w:p>
      <w:pPr>
        <w:pStyle w:val="FirstParagraph"/>
      </w:pPr>
      <w:r>
        <w:t xml:space="preserve">The following scenario can be given to students:</w:t>
      </w:r>
    </w:p>
    <w:p>
      <w:pPr>
        <w:pStyle w:val="BodyText"/>
      </w:pPr>
      <w:r>
        <w:t xml:space="preserve">Consider a ficticious experiment where one of two hormones (testosterone or isoandrostenolone) are given to day old male chicks for fifteen days. At the end of the fifteen days, the experimenter hypothesizes the average weight of chicks that receive testosterone will be 100 mg and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for the test of at least 0.80 using</w:t>
      </w:r>
      <w:r>
        <w:t xml:space="preserve"> </w:t>
      </w:r>
      <m:oMath>
        <m:r>
          <m:t>α</m:t>
        </m:r>
        <m:r>
          <m:rPr>
            <m:sty m:val="p"/>
          </m:rPr>
          <m:t>=</m:t>
        </m:r>
        <m:r>
          <m:t>0.05</m:t>
        </m:r>
      </m:oMath>
      <w:r>
        <w:t xml:space="preserve">?</w:t>
      </w:r>
    </w:p>
    <w:bookmarkStart w:id="22" w:name="solution-using-base-r-functions"/>
    <w:p>
      <w:pPr>
        <w:pStyle w:val="Heading2"/>
      </w:pPr>
      <w:r>
        <w:t xml:space="preserve">Solution using base R functions</w:t>
      </w:r>
    </w:p>
    <w:p>
      <w:pPr>
        <w:pStyle w:val="FirstParagraph"/>
      </w:pPr>
      <w:r>
        <w:t xml:space="preserve">Start by asking the students to specify the null and alternative hypotheses they will use to test the two hormones. The hypotheses are:</w:t>
      </w:r>
    </w:p>
    <w:p>
      <w:pPr>
        <w:pStyle w:val="BodyText"/>
      </w:pPr>
      <m:oMathPara>
        <m:oMathParaPr>
          <m:jc m:val="center"/>
        </m:oMathParaP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μ</m:t>
              </m:r>
            </m:e>
            <m:sub>
              <m:r>
                <m:rPr>
                  <m:nor/>
                  <m:sty m:val="p"/>
                </m:rPr>
                <m:t>testosterone</m:t>
              </m:r>
            </m:sub>
          </m:sSub>
          <m:r>
            <m:rPr>
              <m:sty m:val="p"/>
            </m:rPr>
            <m:t>≠</m:t>
          </m:r>
          <m:sSub>
            <m:e>
              <m:r>
                <m:t>μ</m:t>
              </m:r>
            </m:e>
            <m:sub>
              <m:r>
                <m:rPr>
                  <m:nor/>
                  <m:sty m:val="p"/>
                </m:rPr>
                <m:t>isoandrostenolone</m:t>
              </m:r>
            </m:sub>
          </m:sSub>
          <m:r>
            <m:rPr>
              <m:sty m:val="p"/>
            </m:rPr>
            <m:t>.</m:t>
          </m:r>
        </m:oMath>
      </m:oMathPara>
    </w:p>
    <w:p>
      <w:pPr>
        <w:pStyle w:val="FirstParagraph"/>
      </w:pPr>
      <w:r>
        <w:t xml:space="preserve">Since the researcher specified a range for</w:t>
      </w:r>
      <w:r>
        <w:t xml:space="preserve"> </w:t>
      </w:r>
      <m:oMath>
        <m:r>
          <m:t>σ</m:t>
        </m:r>
      </m:oMath>
      <w:r>
        <w:t xml:space="preserve">, two sets of values will be computed one for when the value of</w:t>
      </w:r>
      <w:r>
        <w:t xml:space="preserve"> </w:t>
      </w:r>
      <m:oMath>
        <m:r>
          <m:t>σ</m:t>
        </m:r>
      </m:oMath>
      <w:r>
        <w:t xml:space="preserve"> </w:t>
      </w:r>
      <w:r>
        <w:t xml:space="preserve">is 20 mg and one for when the value of</w:t>
      </w:r>
      <w:r>
        <w:t xml:space="preserve"> </w:t>
      </w:r>
      <m:oMath>
        <m:r>
          <m:t>σ</m:t>
        </m:r>
      </m:oMath>
      <w:r>
        <w:t xml:space="preserve"> </w:t>
      </w:r>
      <w:r>
        <w:t xml:space="preserve">is 30 mg. Start by finding a critical value for which the null hypothesis will be rejected at the</w:t>
      </w:r>
      <w:r>
        <w:t xml:space="preserve"> </w:t>
      </w:r>
      <m:oMath>
        <m:r>
          <m:t>α</m:t>
        </m:r>
        <m:r>
          <m:rPr>
            <m:sty m:val="p"/>
          </m:rPr>
          <m:t>=</m:t>
        </m:r>
        <m:r>
          <m:t>0.05</m:t>
        </m:r>
      </m:oMath>
      <w:r>
        <w:t xml:space="preserve"> </w:t>
      </w:r>
      <w:r>
        <w:t xml:space="preserve">level with a guess of</w:t>
      </w:r>
      <w:r>
        <w:t xml:space="preserve"> </w:t>
      </w:r>
      <m:oMath>
        <m:sSub>
          <m:e>
            <m:r>
              <m:t>n</m:t>
            </m:r>
          </m:e>
          <m:sub>
            <m:r>
              <m:t>1</m:t>
            </m:r>
          </m:sub>
        </m:sSub>
        <m:r>
          <m:rPr>
            <m:sty m:val="p"/>
          </m:rPr>
          <m:t>=</m:t>
        </m:r>
        <m:sSub>
          <m:e>
            <m:r>
              <m:t>n</m:t>
            </m:r>
          </m:e>
          <m:sub>
            <m:r>
              <m:t>2</m:t>
            </m:r>
          </m:sub>
        </m:sSub>
        <m:r>
          <m:rPr>
            <m:sty m:val="p"/>
          </m:rPr>
          <m:t>=</m:t>
        </m:r>
        <m:r>
          <m:t>10</m:t>
        </m:r>
      </m:oMath>
      <w:r>
        <w:t xml:space="preserve">. That is we are looking for</w:t>
      </w:r>
      <w:r>
        <w:t xml:space="preserve"> </w:t>
      </w:r>
      <m:oMath>
        <m:sSub>
          <m:e>
            <m:r>
              <m:t>F</m:t>
            </m:r>
          </m:e>
          <m:sub>
            <m:r>
              <m:t>0.95</m:t>
            </m:r>
            <m:r>
              <m:rPr>
                <m:sty m:val="p"/>
              </m:rPr>
              <m:t>,</m:t>
            </m:r>
            <m:r>
              <m:t>2</m:t>
            </m:r>
            <m:r>
              <m:rPr>
                <m:sty m:val="p"/>
              </m:rPr>
              <m:t>−</m:t>
            </m:r>
            <m:r>
              <m:t>1</m:t>
            </m:r>
            <m:r>
              <m:rPr>
                <m:sty m:val="p"/>
              </m:rPr>
              <m:t>,</m:t>
            </m:r>
            <m:r>
              <m:t>10</m:t>
            </m:r>
            <m:r>
              <m:rPr>
                <m:sty m:val="p"/>
              </m:rPr>
              <m:t>+</m:t>
            </m:r>
            <m:r>
              <m:t>10</m:t>
            </m:r>
            <m:r>
              <m:rPr>
                <m:sty m:val="p"/>
              </m:rPr>
              <m:t>−</m:t>
            </m:r>
            <m:r>
              <m:t>2</m:t>
            </m:r>
          </m:sub>
        </m:sSub>
        <m:r>
          <m:rPr>
            <m:sty m:val="p"/>
          </m:rPr>
          <m:t>=</m:t>
        </m:r>
        <m:sSub>
          <m:e>
            <m:r>
              <m:t>F</m:t>
            </m:r>
          </m:e>
          <m:sub>
            <m:r>
              <m:t>0.95</m:t>
            </m:r>
            <m:r>
              <m:rPr>
                <m:sty m:val="p"/>
              </m:rPr>
              <m:t>,</m:t>
            </m:r>
            <m:r>
              <m:t>1</m:t>
            </m:r>
            <m:r>
              <m:rPr>
                <m:sty m:val="p"/>
              </m:rPr>
              <m:t>,</m:t>
            </m:r>
            <m:r>
              <m:t>18</m:t>
            </m:r>
          </m:sub>
        </m:sSub>
        <m:r>
          <m:rPr>
            <m:sty m:val="p"/>
          </m:rPr>
          <m:t>=</m:t>
        </m:r>
        <m:r>
          <m:t>4.4138734</m:t>
        </m:r>
      </m:oMath>
      <w:r>
        <w:t xml:space="preserve">. Next compute the noncentrality parameter 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11.25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11.25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11.25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0.8869702</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0.8869702</w:t>
      </w:r>
    </w:p>
    <w:p>
      <w:pPr>
        <w:pStyle w:val="FirstParagraph"/>
      </w:pPr>
      <w:r>
        <w:t xml:space="preserve">Since we only need to achieve a power of 0.80, we can reduce the values for each sample. Next, we consider using</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9.5625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9.5625</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9.5625</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0.8236915</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4.543077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9.5625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0.8236915</w:t>
      </w:r>
    </w:p>
    <w:p>
      <w:pPr>
        <w:pStyle w:val="FirstParagraph"/>
      </w:pPr>
      <w:r>
        <w:t xml:space="preserve">The same calculations are performed next under the assumption that</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30</m:t>
                        </m:r>
                      </m:e>
                      <m:sup>
                        <m:r>
                          <m:t>2</m:t>
                        </m:r>
                      </m:sup>
                    </m:sSup>
                  </m:den>
                </m:f>
                <m:r>
                  <m:rPr>
                    <m:sty m:val="p"/>
                  </m:rPr>
                  <m:t>=</m:t>
                </m:r>
                <m:r>
                  <m:t>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0.5620066</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0.5620066</w:t>
      </w:r>
    </w:p>
    <w:p>
      <w:pPr>
        <w:pStyle w:val="FirstParagraph"/>
      </w:pPr>
      <w:r>
        <w:t xml:space="preserve">Since we need to achieve a power of 0.80, we need to increase the values for each sample. Next, we consider using</w:t>
      </w:r>
      <w:r>
        <w:t xml:space="preserve"> </w:t>
      </w:r>
      <m:oMath>
        <m:sSub>
          <m:e>
            <m:r>
              <m:t>n</m:t>
            </m:r>
          </m:e>
          <m:sub>
            <m:r>
              <m:t>1</m:t>
            </m:r>
          </m:sub>
        </m:sSub>
        <m:r>
          <m:rPr>
            <m:sty m:val="p"/>
          </m:rPr>
          <m:t>=</m:t>
        </m:r>
        <m:r>
          <m:t>17</m:t>
        </m:r>
      </m:oMath>
      <w:r>
        <w:t xml:space="preserve"> </w:t>
      </w:r>
      <w:r>
        <w:t xml:space="preserve">and</w:t>
      </w:r>
      <w:r>
        <w:t xml:space="preserve"> </w:t>
      </w:r>
      <m:oMath>
        <m:sSub>
          <m:e>
            <m:r>
              <m:t>n</m:t>
            </m:r>
          </m:e>
          <m:sub>
            <m:r>
              <m:t>2</m:t>
            </m:r>
          </m:sub>
        </m:sSub>
        <m:r>
          <m:rPr>
            <m:sty m:val="p"/>
          </m:rPr>
          <m:t>=</m:t>
        </m:r>
        <m:r>
          <m:t>17</m:t>
        </m:r>
      </m:oMath>
      <w:r>
        <w:t xml:space="preserve"> </w:t>
      </w:r>
      <w:r>
        <w:t xml:space="preserve">when</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r>
                  <m:t>8.5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p>
      <w:pPr>
        <w:pStyle w:val="FirstParagraph"/>
      </w:pPr>
      <w:r>
        <w:t xml:space="preserve">If the standard deviation for chick weight is</w:t>
      </w:r>
      <w:r>
        <w:t xml:space="preserve"> </w:t>
      </w:r>
      <m:oMath>
        <m:r>
          <m:t>σ</m:t>
        </m:r>
        <m:r>
          <m:rPr>
            <m:sty m:val="p"/>
          </m:rPr>
          <m:t>=</m:t>
        </m:r>
        <m:r>
          <m:t>30</m:t>
        </m:r>
      </m:oMath>
      <w:r>
        <w:t xml:space="preserve"> </w:t>
      </w:r>
      <w:r>
        <w:t xml:space="preserve">mg, the experimenter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experimenter can assign 9 chicks to the first group and 8 chicks to the second group and still detect mean differences greater than 80% of the time. To save space, we selected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that solved the problem for the different values of</w:t>
      </w:r>
      <w:r>
        <w:t xml:space="preserve"> </w:t>
      </w:r>
      <m:oMath>
        <m:r>
          <m:t>σ</m:t>
        </m:r>
      </m:oMath>
      <w:r>
        <w:t xml:space="preserve">. Next we show how to compute the non-centrality parameter</w:t>
      </w:r>
      <w:r>
        <w:t xml:space="preserve"> </w:t>
      </w:r>
      <m:oMath>
        <m:r>
          <m:t>λ</m:t>
        </m:r>
      </m:oMath>
      <w:r>
        <w:t xml:space="preserve"> </w:t>
      </w:r>
      <w:r>
        <w:t xml:space="preserve">using the notion of the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using R, but which will work with any statistical software that computes the sum of squares.</w:t>
      </w:r>
    </w:p>
    <w:p>
      <w:pPr>
        <w:pStyle w:val="SourceCode"/>
      </w:pPr>
      <w:r>
        <w:rPr>
          <w:rStyle w:val="CommentTok"/>
        </w:rPr>
        <w:t xml:space="preserve"># Hypothesized means</w:t>
      </w:r>
      <w:r>
        <w:br/>
      </w:r>
      <w:r>
        <w:rPr>
          <w:rStyle w:val="NormalTok"/>
        </w:rPr>
        <w:t xml:space="preserve">hypmeans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70</w:t>
      </w:r>
      <w:r>
        <w:rPr>
          <w:rStyle w:val="NormalTok"/>
        </w:rPr>
        <w:t xml:space="preserve">)</w:t>
      </w:r>
      <w:r>
        <w:br/>
      </w:r>
      <w:r>
        <w:rPr>
          <w:rStyle w:val="CommentTok"/>
        </w:rPr>
        <w:t xml:space="preserve"># Number of treatments</w:t>
      </w:r>
      <w:r>
        <w:br/>
      </w:r>
      <w:r>
        <w:rPr>
          <w:rStyle w:val="NormalTok"/>
        </w:rPr>
        <w:t xml:space="preserve">a </w:t>
      </w:r>
      <w:r>
        <w:rPr>
          <w:rStyle w:val="OtherTok"/>
        </w:rPr>
        <w:t xml:space="preserve">&lt;-</w:t>
      </w:r>
      <w:r>
        <w:rPr>
          <w:rStyle w:val="NormalTok"/>
        </w:rPr>
        <w:t xml:space="preserve"> </w:t>
      </w:r>
      <w:r>
        <w:rPr>
          <w:rStyle w:val="FunctionTok"/>
        </w:rPr>
        <w:t xml:space="preserve">length</w:t>
      </w:r>
      <w:r>
        <w:rPr>
          <w:rStyle w:val="NormalTok"/>
        </w:rPr>
        <w:t xml:space="preserve">(hypmeans) </w:t>
      </w:r>
      <w:r>
        <w:br/>
      </w:r>
      <w:r>
        <w:rPr>
          <w:rStyle w:val="NormalTok"/>
        </w:rPr>
        <w:t xml:space="preserve">n1 </w:t>
      </w:r>
      <w:r>
        <w:rPr>
          <w:rStyle w:val="OtherTok"/>
        </w:rPr>
        <w:t xml:space="preserve">=</w:t>
      </w:r>
      <w:r>
        <w:rPr>
          <w:rStyle w:val="NormalTok"/>
        </w:rPr>
        <w:t xml:space="preserve"> </w:t>
      </w:r>
      <w:r>
        <w:rPr>
          <w:rStyle w:val="DecValTok"/>
        </w:rPr>
        <w:t xml:space="preserve">17</w:t>
      </w:r>
      <w:r>
        <w:br/>
      </w:r>
      <w:r>
        <w:rPr>
          <w:rStyle w:val="NormalTok"/>
        </w:rPr>
        <w:t xml:space="preserve">n2 </w:t>
      </w:r>
      <w:r>
        <w:rPr>
          <w:rStyle w:val="OtherTok"/>
        </w:rPr>
        <w:t xml:space="preserve">=</w:t>
      </w:r>
      <w:r>
        <w:rPr>
          <w:rStyle w:val="NormalTok"/>
        </w:rPr>
        <w:t xml:space="preserve"> </w:t>
      </w:r>
      <w:r>
        <w:rPr>
          <w:rStyle w:val="DecValTok"/>
        </w:rPr>
        <w:t xml:space="preserve">17</w:t>
      </w:r>
      <w:r>
        <w:br/>
      </w:r>
      <w:r>
        <w:rPr>
          <w:rStyle w:val="CommentTok"/>
        </w:rPr>
        <w:t xml:space="preserve"># Total number of experimental units</w:t>
      </w:r>
      <w:r>
        <w:br/>
      </w:r>
      <w:r>
        <w:rPr>
          <w:rStyle w:val="NormalTok"/>
        </w:rPr>
        <w:t xml:space="preserve">N </w:t>
      </w:r>
      <w:r>
        <w:rPr>
          <w:rStyle w:val="OtherTok"/>
        </w:rPr>
        <w:t xml:space="preserve">&lt;-</w:t>
      </w:r>
      <w:r>
        <w:rPr>
          <w:rStyle w:val="NormalTok"/>
        </w:rPr>
        <w:t xml:space="preserve"> n1 </w:t>
      </w:r>
      <w:r>
        <w:rPr>
          <w:rStyle w:val="SpecialCharTok"/>
        </w:rPr>
        <w:t xml:space="preserve">+</w:t>
      </w:r>
      <w:r>
        <w:rPr>
          <w:rStyle w:val="NormalTok"/>
        </w:rPr>
        <w:t xml:space="preserve"> n2 </w:t>
      </w:r>
      <w:r>
        <w:br/>
      </w:r>
      <w:r>
        <w:rPr>
          <w:rStyle w:val="CommentTok"/>
        </w:rPr>
        <w:t xml:space="preserve"># Degrees of freedom for error</w:t>
      </w:r>
      <w:r>
        <w:br/>
      </w:r>
      <w:r>
        <w:rPr>
          <w:rStyle w:val="NormalTok"/>
        </w:rPr>
        <w:t xml:space="preserve">dferror </w:t>
      </w:r>
      <w:r>
        <w:rPr>
          <w:rStyle w:val="OtherTok"/>
        </w:rPr>
        <w:t xml:space="preserve">&lt;-</w:t>
      </w:r>
      <w:r>
        <w:rPr>
          <w:rStyle w:val="NormalTok"/>
        </w:rPr>
        <w:t xml:space="preserve"> N </w:t>
      </w:r>
      <w:r>
        <w:rPr>
          <w:rStyle w:val="SpecialCharTok"/>
        </w:rPr>
        <w:t xml:space="preserve">-</w:t>
      </w:r>
      <w:r>
        <w:rPr>
          <w:rStyle w:val="NormalTok"/>
        </w:rPr>
        <w:t xml:space="preserve"> a</w:t>
      </w:r>
      <w:r>
        <w:br/>
      </w:r>
      <w:r>
        <w:rPr>
          <w:rStyle w:val="CommentTok"/>
        </w:rPr>
        <w:t xml:space="preserve"># Sigma value</w:t>
      </w:r>
      <w:r>
        <w:br/>
      </w:r>
      <w:r>
        <w:rPr>
          <w:rStyle w:val="NormalTok"/>
        </w:rPr>
        <w:t xml:space="preserve">sigma </w:t>
      </w:r>
      <w:r>
        <w:rPr>
          <w:rStyle w:val="OtherTok"/>
        </w:rPr>
        <w:t xml:space="preserve">&lt;-</w:t>
      </w:r>
      <w:r>
        <w:rPr>
          <w:rStyle w:val="NormalTok"/>
        </w:rPr>
        <w:t xml:space="preserve"> </w:t>
      </w:r>
      <w:r>
        <w:rPr>
          <w:rStyle w:val="DecValTok"/>
        </w:rPr>
        <w:t xml:space="preserve">30</w:t>
      </w:r>
      <w:r>
        <w:br/>
      </w:r>
      <w:r>
        <w:rPr>
          <w:rStyle w:val="CommentTok"/>
        </w:rPr>
        <w:t xml:space="preserve"># Create n1 values of 100 and n2 values of 70 and store in Y</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(hypmeans,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Create a treatment factor with n1 values of testosterone and n2 values of isoandrostenolone</w:t>
      </w:r>
      <w:r>
        <w:br/>
      </w:r>
      <w:r>
        <w:rPr>
          <w:rStyle w:val="NormalTok"/>
        </w:rPr>
        <w:t xml:space="preserve">Treat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"testosterone"</w:t>
      </w:r>
      <w:r>
        <w:rPr>
          <w:rStyle w:val="NormalTok"/>
        </w:rPr>
        <w:t xml:space="preserve">, </w:t>
      </w:r>
      <w:r>
        <w:rPr>
          <w:rStyle w:val="StringTok"/>
        </w:rPr>
        <w:t xml:space="preserve">"isoandrostenolone"</w:t>
      </w:r>
      <w:r>
        <w:rPr>
          <w:rStyle w:val="NormalTok"/>
        </w:rPr>
        <w:t xml:space="preserve">),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Compute SS for ANOVA</w:t>
      </w:r>
      <w:r>
        <w:br/>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p>
    <w:p>
      <w:pPr>
        <w:pStyle w:val="SourceCode"/>
      </w:pPr>
      <w:r>
        <w:rPr>
          <w:rStyle w:val="VerbatimChar"/>
        </w:rPr>
        <w:t xml:space="preserve">            Df Sum Sq Mean Sq   F value Pr(&gt;F)    </w:t>
      </w:r>
      <w:r>
        <w:br/>
      </w:r>
      <w:r>
        <w:rPr>
          <w:rStyle w:val="VerbatimChar"/>
        </w:rPr>
        <w:t xml:space="preserve">Treat        1   7650    7650 3.673e+31 &lt;2e-16 ***</w:t>
      </w:r>
      <w:r>
        <w:br/>
      </w:r>
      <w:r>
        <w:rPr>
          <w:rStyle w:val="VerbatimChar"/>
        </w:rPr>
        <w:t xml:space="preserve">Residuals   32      0       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Pull out the SS Treat value and assign to SShyp</w:t>
      </w:r>
      <w:r>
        <w:br/>
      </w:r>
      <w:r>
        <w:rPr>
          <w:rStyle w:val="NormalTok"/>
        </w:rPr>
        <w:t xml:space="preserve">(</w:t>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OtherTok"/>
        </w:rPr>
        <w:t xml:space="preserve">-&gt;</w:t>
      </w:r>
      <w:r>
        <w:rPr>
          <w:rStyle w:val="NormalTok"/>
        </w:rPr>
        <w:t xml:space="preserve"> SShyp) </w:t>
      </w:r>
    </w:p>
    <w:p>
      <w:pPr>
        <w:pStyle w:val="SourceCode"/>
      </w:pPr>
      <w:r>
        <w:rPr>
          <w:rStyle w:val="VerbatimChar"/>
        </w:rPr>
        <w:t xml:space="preserve">[1] 7650</w:t>
      </w:r>
    </w:p>
    <w:p>
      <w:pPr>
        <w:pStyle w:val="SourceCode"/>
      </w:pPr>
      <w:r>
        <w:rPr>
          <w:rStyle w:val="CommentTok"/>
        </w:rPr>
        <w:t xml:space="preserve"># Noncentrality parameter</w:t>
      </w:r>
      <w:r>
        <w:br/>
      </w:r>
      <w:r>
        <w:rPr>
          <w:rStyle w:val="NormalTok"/>
        </w:rPr>
        <w:t xml:space="preserve">(lambda </w:t>
      </w:r>
      <w:r>
        <w:rPr>
          <w:rStyle w:val="OtherTok"/>
        </w:rPr>
        <w:t xml:space="preserve">&lt;-</w:t>
      </w:r>
      <w:r>
        <w:rPr>
          <w:rStyle w:val="NormalTok"/>
        </w:rPr>
        <w:t xml:space="preserve"> SShyp</w:t>
      </w:r>
      <w:r>
        <w:rPr>
          <w:rStyle w:val="SpecialCharTok"/>
        </w:rPr>
        <w:t xml:space="preserve">/</w:t>
      </w:r>
      <w:r>
        <w:rPr>
          <w:rStyle w:val="NormalTok"/>
        </w:rPr>
        <w:t xml:space="preserve">sigma</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[1] 8.5</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a </w:t>
      </w:r>
      <w:r>
        <w:rPr>
          <w:rStyle w:val="SpecialCharTok"/>
        </w:rPr>
        <w:t xml:space="preserve">-</w:t>
      </w:r>
      <w:r>
        <w:rPr>
          <w:rStyle w:val="NormalTok"/>
        </w:rPr>
        <w:t xml:space="preserve"> </w:t>
      </w:r>
      <w:r>
        <w:rPr>
          <w:rStyle w:val="DecValTok"/>
        </w:rPr>
        <w:t xml:space="preserve">1</w:t>
      </w:r>
      <w:r>
        <w:rPr>
          <w:rStyle w:val="NormalTok"/>
        </w:rPr>
        <w:t xml:space="preserve">, N </w:t>
      </w:r>
      <w:r>
        <w:rPr>
          <w:rStyle w:val="SpecialCharTok"/>
        </w:rPr>
        <w:t xml:space="preserve">-</w:t>
      </w:r>
      <w:r>
        <w:rPr>
          <w:rStyle w:val="NormalTok"/>
        </w:rPr>
        <w:t xml:space="preserve"> a))</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a</w:t>
      </w:r>
      <w:r>
        <w:rPr>
          <w:rStyle w:val="DecValTok"/>
        </w:rPr>
        <w:t xml:space="preserve">-1</w:t>
      </w:r>
      <w:r>
        <w:rPr>
          <w:rStyle w:val="NormalTok"/>
        </w:rPr>
        <w:t xml:space="preserve">, dferror, lambda,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bookmarkEnd w:id="22"/>
    <w:bookmarkStart w:id="36" w:name="solution-using-the-shiny-app"/>
    <w:p>
      <w:pPr>
        <w:pStyle w:val="Heading2"/>
      </w:pPr>
      <w:r>
        <w:t xml:space="preserve">Solution using the Shiny app</w:t>
      </w:r>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when</w:t>
      </w:r>
      <w:r>
        <w:t xml:space="preserve"> </w:t>
      </w:r>
      <m:oMath>
        <m:r>
          <m:t>σ</m:t>
        </m:r>
        <m:r>
          <m:rPr>
            <m:sty m:val="p"/>
          </m:rPr>
          <m:t>=</m:t>
        </m:r>
        <m:r>
          <m:t>30</m:t>
        </m:r>
      </m:oMath>
      <w:r>
        <w:t xml:space="preserve"> </w:t>
      </w:r>
      <w:r>
        <w:t xml:space="preserve">mg, launch the Shiny app found at</w:t>
      </w:r>
      <w:r>
        <w:t xml:space="preserve"> </w:t>
      </w:r>
      <w:hyperlink r:id="rId23">
        <w:r>
          <w:rPr>
            <w:rStyle w:val="Hyperlink"/>
          </w:rPr>
          <w:t xml:space="preserve">https://shinyapp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10 and 10 separated with a comma in the</w:t>
      </w:r>
      <w:r>
        <w:t xml:space="preserve"> </w:t>
      </w:r>
      <m:oMath>
        <m:sSub>
          <m:e>
            <m:r>
              <m:t>n</m:t>
            </m:r>
          </m:e>
          <m:sub>
            <m:r>
              <m:t>1</m:t>
            </m:r>
          </m:sub>
        </m:sSub>
        <m:r>
          <m:rPr>
            <m:sty m:val="p"/>
          </m:rPr>
          <m:t>,</m:t>
        </m:r>
        <m:sSub>
          <m:e>
            <m:r>
              <m:t>n</m:t>
            </m:r>
          </m:e>
          <m:sub>
            <m:r>
              <m:t>2</m:t>
            </m:r>
          </m:sub>
        </m:sSub>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Change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be as small as possible with a power value of at least 0.80.</w:t>
      </w:r>
    </w:p>
    <w:p>
      <w:pPr>
        <w:pStyle w:val="CaptionedFigure"/>
      </w:pPr>
      <w:r>
        <w:drawing>
          <wp:inline>
            <wp:extent cx="5334000" cy="4249300"/>
            <wp:effectExtent b="0" l="0" r="0" t="0"/>
            <wp:docPr descr="Figure 1: Power to detect specified means with given sample sizes and population standard deviation" title="" id="25" name="Picture"/>
            <a:graphic>
              <a:graphicData uri="http://schemas.openxmlformats.org/drawingml/2006/picture">
                <pic:pic>
                  <pic:nvPicPr>
                    <pic:cNvPr descr="./pics/fig-power1.png" id="26" name="Picture"/>
                    <pic:cNvPicPr>
                      <a:picLocks noChangeArrowheads="1" noChangeAspect="1"/>
                    </pic:cNvPicPr>
                  </pic:nvPicPr>
                  <pic:blipFill>
                    <a:blip r:embed="rId24"/>
                    <a:stretch>
                      <a:fillRect/>
                    </a:stretch>
                  </pic:blipFill>
                  <pic:spPr bwMode="auto">
                    <a:xfrm>
                      <a:off x="0" y="0"/>
                      <a:ext cx="5334000" cy="4249300"/>
                    </a:xfrm>
                    <a:prstGeom prst="rect">
                      <a:avLst/>
                    </a:prstGeom>
                    <a:noFill/>
                    <a:ln w="9525">
                      <a:noFill/>
                      <a:headEnd/>
                      <a:tailEnd/>
                    </a:ln>
                  </pic:spPr>
                </pic:pic>
              </a:graphicData>
            </a:graphic>
          </wp:inline>
        </w:drawing>
      </w:r>
    </w:p>
    <w:p>
      <w:pPr>
        <w:pStyle w:val="ImageCaption"/>
      </w:pPr>
      <w:bookmarkStart w:id="27" w:name="fig:power1"/>
      <w:bookmarkEnd w:id="27"/>
      <w:r>
        <w:t xml:space="preserve">Figure 1: Power to detect specified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Cs/>
          <w:i/>
        </w:rPr>
        <w:t xml:space="preserve">F</w:t>
      </w:r>
      <w:r>
        <w:t xml:space="preserve">-distribution with</w:t>
      </w:r>
      <w:r>
        <w:t xml:space="preserve"> </w:t>
      </w:r>
      <m:oMath>
        <m:r>
          <m:t>2</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Cs/>
          <w:i/>
        </w:rPr>
        <w:t xml:space="preserve">F</w:t>
      </w:r>
      <w:r>
        <w:t xml:space="preserve">-distribution with</w:t>
      </w:r>
      <w:r>
        <w:t xml:space="preserve"> </w:t>
      </w:r>
      <m:oMath>
        <m:r>
          <m:t>2</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and non-centrality parameter (</w:t>
      </w:r>
      <m:oMath>
        <m:r>
          <m:t>λ</m:t>
        </m:r>
        <m:r>
          <m:rPr>
            <m:sty m:val="p"/>
          </m:rPr>
          <m:t>=</m:t>
        </m:r>
        <m:r>
          <m:t>11.25</m:t>
        </m:r>
        <m:r>
          <m:rPr>
            <m:sty m:val="p"/>
          </m:rPr>
          <m:t>)</m:t>
        </m:r>
      </m:oMath>
      <w:r>
        <w:t xml:space="preserve">. The purple shaded area in Figure</w:t>
      </w:r>
      <w:r>
        <w:t xml:space="preserve"> </w:t>
      </w:r>
      <w:r>
        <w:t xml:space="preserve">1</w:t>
      </w:r>
      <w:r>
        <w:t xml:space="preserve"> </w:t>
      </w:r>
      <w:r>
        <w:t xml:space="preserve">is the significance level and the sum of all blue and purple shaded areas is the power (0.887).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4686017"/>
            <wp:effectExtent b="0" l="0" r="0" t="0"/>
            <wp:docPr descr="Figure 2: Power to detect specified means with given sample sizes and population standard deviation" title="" id="29" name="Picture"/>
            <a:graphic>
              <a:graphicData uri="http://schemas.openxmlformats.org/drawingml/2006/picture">
                <pic:pic>
                  <pic:nvPicPr>
                    <pic:cNvPr descr="./pics/fig-power2.png" id="30" name="Picture"/>
                    <pic:cNvPicPr>
                      <a:picLocks noChangeArrowheads="1" noChangeAspect="1"/>
                    </pic:cNvPicPr>
                  </pic:nvPicPr>
                  <pic:blipFill>
                    <a:blip r:embed="rId28"/>
                    <a:stretch>
                      <a:fillRect/>
                    </a:stretch>
                  </pic:blipFill>
                  <pic:spPr bwMode="auto">
                    <a:xfrm>
                      <a:off x="0" y="0"/>
                      <a:ext cx="5334000" cy="4686017"/>
                    </a:xfrm>
                    <a:prstGeom prst="rect">
                      <a:avLst/>
                    </a:prstGeom>
                    <a:noFill/>
                    <a:ln w="9525">
                      <a:noFill/>
                      <a:headEnd/>
                      <a:tailEnd/>
                    </a:ln>
                  </pic:spPr>
                </pic:pic>
              </a:graphicData>
            </a:graphic>
          </wp:inline>
        </w:drawing>
      </w:r>
    </w:p>
    <w:p>
      <w:pPr>
        <w:pStyle w:val="ImageCaption"/>
      </w:pPr>
      <w:bookmarkStart w:id="31" w:name="fig:power2"/>
      <w:bookmarkEnd w:id="31"/>
      <w:r>
        <w:t xml:space="preserve">Figure 2: Power to detect specified means with given sample sizes and population standard deviation</w:t>
      </w:r>
    </w:p>
    <w:p>
      <w:pPr>
        <w:pStyle w:val="BodyText"/>
      </w:pPr>
      <w:r>
        <w:t xml:space="preserve">Finally, 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4699943"/>
            <wp:effectExtent b="0" l="0" r="0" t="0"/>
            <wp:docPr descr="Figure 3: Power to detect specified means with given sample sizes and population standard deviation" title="" id="33" name="Picture"/>
            <a:graphic>
              <a:graphicData uri="http://schemas.openxmlformats.org/drawingml/2006/picture">
                <pic:pic>
                  <pic:nvPicPr>
                    <pic:cNvPr descr="./pics/fig-power3.png" id="34" name="Picture"/>
                    <pic:cNvPicPr>
                      <a:picLocks noChangeArrowheads="1" noChangeAspect="1"/>
                    </pic:cNvPicPr>
                  </pic:nvPicPr>
                  <pic:blipFill>
                    <a:blip r:embed="rId32"/>
                    <a:stretch>
                      <a:fillRect/>
                    </a:stretch>
                  </pic:blipFill>
                  <pic:spPr bwMode="auto">
                    <a:xfrm>
                      <a:off x="0" y="0"/>
                      <a:ext cx="5334000" cy="4699943"/>
                    </a:xfrm>
                    <a:prstGeom prst="rect">
                      <a:avLst/>
                    </a:prstGeom>
                    <a:noFill/>
                    <a:ln w="9525">
                      <a:noFill/>
                      <a:headEnd/>
                      <a:tailEnd/>
                    </a:ln>
                  </pic:spPr>
                </pic:pic>
              </a:graphicData>
            </a:graphic>
          </wp:inline>
        </w:drawing>
      </w:r>
    </w:p>
    <w:p>
      <w:pPr>
        <w:pStyle w:val="ImageCaption"/>
      </w:pPr>
      <w:bookmarkStart w:id="35" w:name="fig:power3"/>
      <w:bookmarkEnd w:id="35"/>
      <w:r>
        <w:t xml:space="preserve">Figure 3: Power to detect specified means with given sample sizes and population standard deviation</w:t>
      </w:r>
    </w:p>
    <w:bookmarkEnd w:id="36"/>
    <w:bookmarkEnd w:id="37"/>
    <w:bookmarkStart w:id="42" w:name="example-2"/>
    <w:p>
      <w:pPr>
        <w:pStyle w:val="Heading1"/>
      </w:pPr>
      <w:r>
        <w:t xml:space="preserve">EXAMPLE 2</w:t>
      </w:r>
    </w:p>
    <w:p>
      <w:pPr>
        <w:pStyle w:val="FirstParagraph"/>
      </w:pPr>
      <w:r>
        <w:t xml:space="preserve">An educational researcher is interested in testing different tools to help his students master statistical concepts. The researcher hypothesizes there will be an increasing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rPr>
          <w:bCs/>
          <w:b/>
        </w:rPr>
        <w:t xml:space="preserve">Answer:</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w:t>
      </w:r>
    </w:p>
    <w:p>
      <w:pPr>
        <w:pStyle w:val="CaptionedFigure"/>
      </w:pPr>
      <w:r>
        <w:drawing>
          <wp:inline>
            <wp:extent cx="5334000" cy="4492973"/>
            <wp:effectExtent b="0" l="0" r="0" t="0"/>
            <wp:docPr descr="Figure 4: Power to detect specified means with given sample sizes and population standard deviation" title="" id="39" name="Picture"/>
            <a:graphic>
              <a:graphicData uri="http://schemas.openxmlformats.org/drawingml/2006/picture">
                <pic:pic>
                  <pic:nvPicPr>
                    <pic:cNvPr descr="./pics/fig-power4.png" id="40" name="Picture"/>
                    <pic:cNvPicPr>
                      <a:picLocks noChangeArrowheads="1" noChangeAspect="1"/>
                    </pic:cNvPicPr>
                  </pic:nvPicPr>
                  <pic:blipFill>
                    <a:blip r:embed="rId38"/>
                    <a:stretch>
                      <a:fillRect/>
                    </a:stretch>
                  </pic:blipFill>
                  <pic:spPr bwMode="auto">
                    <a:xfrm>
                      <a:off x="0" y="0"/>
                      <a:ext cx="5334000" cy="4492973"/>
                    </a:xfrm>
                    <a:prstGeom prst="rect">
                      <a:avLst/>
                    </a:prstGeom>
                    <a:noFill/>
                    <a:ln w="9525">
                      <a:noFill/>
                      <a:headEnd/>
                      <a:tailEnd/>
                    </a:ln>
                  </pic:spPr>
                </pic:pic>
              </a:graphicData>
            </a:graphic>
          </wp:inline>
        </w:drawing>
      </w:r>
    </w:p>
    <w:p>
      <w:pPr>
        <w:pStyle w:val="ImageCaption"/>
      </w:pPr>
      <w:bookmarkStart w:id="41" w:name="fig:power4"/>
      <w:bookmarkEnd w:id="41"/>
      <w:r>
        <w:t xml:space="preserve">Figure 4: Power to detect specified means with given sample sizes and population standard deviation</w:t>
      </w:r>
    </w:p>
    <w:p>
      <w:pPr>
        <w:pStyle w:val="BodyText"/>
      </w:pPr>
      <w:r>
        <w:t xml:space="preserve">We note in passing that computing power for full-rank general linear models is also possible using the same paradign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2"/>
    <w:bookmarkStart w:id="47" w:name="references"/>
    <w:p>
      <w:pPr>
        <w:pStyle w:val="Heading1"/>
      </w:pPr>
      <w:r>
        <w:t xml:space="preserve">References</w:t>
      </w:r>
    </w:p>
    <w:bookmarkStart w:id="46" w:name="refs"/>
    <w:bookmarkStart w:id="44" w:name="ref-https://doi.org/10.1111/test.12186"/>
    <w:p>
      <w:pPr>
        <w:pStyle w:val="Bibliography"/>
      </w:pPr>
      <w:r>
        <w:t xml:space="preserve">Arnholt, A. T. (2019). Using a shiny app to teach the concept of power.</w:t>
      </w:r>
      <w:r>
        <w:t xml:space="preserve"> </w:t>
      </w:r>
      <w:r>
        <w:rPr>
          <w:iCs/>
          <w:i/>
        </w:rPr>
        <w:t xml:space="preserve">Teaching Statistics</w:t>
      </w:r>
      <w:r>
        <w:t xml:space="preserve">,</w:t>
      </w:r>
      <w:r>
        <w:t xml:space="preserve"> </w:t>
      </w:r>
      <w:r>
        <w:rPr>
          <w:iCs/>
          <w:i/>
        </w:rPr>
        <w:t xml:space="preserve">41</w:t>
      </w:r>
      <w:r>
        <w:t xml:space="preserve">(3), 79–84. https://doi.org/</w:t>
      </w:r>
      <w:hyperlink r:id="rId43">
        <w:r>
          <w:rPr>
            <w:rStyle w:val="Hyperlink"/>
          </w:rPr>
          <w:t xml:space="preserve">https://doi.org/10.1111/test.12186</w:t>
        </w:r>
      </w:hyperlink>
    </w:p>
    <w:bookmarkEnd w:id="44"/>
    <w:bookmarkStart w:id="45" w:name="ref-ugarte_probability_2015"/>
    <w:p>
      <w:pPr>
        <w:pStyle w:val="Bibliography"/>
      </w:pPr>
      <w:r>
        <w:t xml:space="preserve">Ugarte, M. D., Militino, A. F., &amp; Arnholt, A. T. (2015).</w:t>
      </w:r>
      <w:r>
        <w:t xml:space="preserve"> </w:t>
      </w:r>
      <w:r>
        <w:rPr>
          <w:iCs/>
          <w:i/>
        </w:rPr>
        <w:t xml:space="preserve">Probability and</w:t>
      </w:r>
      <w:r>
        <w:rPr>
          <w:iCs/>
          <w:i/>
        </w:rPr>
        <w:t xml:space="preserve"> </w:t>
      </w:r>
      <w:r>
        <w:rPr>
          <w:iCs/>
          <w:i/>
        </w:rPr>
        <w:t xml:space="preserve">Statistics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Second</w:t>
      </w:r>
      <w:r>
        <w:rPr>
          <w:iCs/>
          <w:i/>
        </w:rPr>
        <w:t xml:space="preserve"> </w:t>
      </w:r>
      <w:r>
        <w:rPr>
          <w:iCs/>
          <w:i/>
        </w:rPr>
        <w:t xml:space="preserve">Edition</w:t>
      </w:r>
      <w:r>
        <w:t xml:space="preserve"> </w:t>
      </w:r>
      <w:r>
        <w:t xml:space="preserve">(2 edition). Boca Raton: Chapman; Hall/CRC.</w:t>
      </w:r>
    </w:p>
    <w:bookmarkEnd w:id="45"/>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hyperlink" Id="rId43" Target="https://doi.org/10.1111/test.12186" TargetMode="External" /><Relationship Type="http://schemas.openxmlformats.org/officeDocument/2006/relationships/hyperlink" Id="rId23" Target="https://shinyapp" TargetMode="External" /></Relationships>
</file>

<file path=word/_rels/footnotes.xml.rels><?xml version="1.0" encoding="UTF-8"?><Relationships xmlns="http://schemas.openxmlformats.org/package/2006/relationships"><Relationship Type="http://schemas.openxmlformats.org/officeDocument/2006/relationships/hyperlink" Id="rId43" Target="https://doi.org/10.1111/test.12186" TargetMode="External" /><Relationship Type="http://schemas.openxmlformats.org/officeDocument/2006/relationships/hyperlink" Id="rId23" Target="https://shiny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power with a Shiny app</dc:title>
  <dc:creator/>
  <cp:keywords/>
  <dcterms:created xsi:type="dcterms:W3CDTF">2024-12-16T17:28:34Z</dcterms:created>
  <dcterms:modified xsi:type="dcterms:W3CDTF">2024-12-16T17:28:34Z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Understanding and computing power and the relationship between sample size and power are facilitated via a Shiny app. The Shiny app allows students to solve various scenarios by entering different parameters or moving sliders.Keywords: Power, Shiny app, significance level, type I error, type II error</vt:lpwstr>
  </property>
  <property fmtid="{D5CDD505-2E9C-101B-9397-08002B2CF9AE}" pid="3" name="bibliography">
    <vt:lpwstr/>
  </property>
  <property fmtid="{D5CDD505-2E9C-101B-9397-08002B2CF9AE}" pid="4" name="csl">
    <vt:lpwstr>apa.csl</vt:lpwstr>
  </property>
  <property fmtid="{D5CDD505-2E9C-101B-9397-08002B2CF9AE}" pid="5" name="date">
    <vt:lpwstr>Last edit: December 16, 2024</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