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17,</w:t>
      </w:r>
      <w:r>
        <w:t xml:space="preserve"> </w:t>
      </w:r>
      <w:r>
        <w:t xml:space="preserve">2024</w:t>
      </w:r>
    </w:p>
    <w:p>
      <w:pPr>
        <w:pStyle w:val="Abstract"/>
      </w:pPr>
      <w:r>
        <w:rPr>
          <w:bCs/>
          <w:b/>
        </w:rPr>
        <w:t xml:space="preserve">Summary</w:t>
      </w:r>
      <w:r>
        <w:t xml:space="preserve"> </w:t>
      </w:r>
      <w:r>
        <w:t xml:space="preserve">Understanding</w:t>
      </w:r>
      <w:r>
        <w:t xml:space="preserve"> </w:t>
      </w:r>
      <w:r>
        <w:t xml:space="preserve">and</w:t>
      </w:r>
      <w:r>
        <w:t xml:space="preserve"> </w:t>
      </w:r>
      <w:r>
        <w:t xml:space="preserve">computing</w:t>
      </w:r>
      <w:r>
        <w:t xml:space="preserve"> </w:t>
      </w:r>
      <w:r>
        <w:t xml:space="preserve">power</w:t>
      </w:r>
      <w:r>
        <w:t xml:space="preserve"> </w:t>
      </w:r>
      <w:r>
        <w:t xml:space="preserve">and</w:t>
      </w:r>
      <w:r>
        <w:t xml:space="preserve"> </w:t>
      </w:r>
      <w:r>
        <w:t xml:space="preserve">the</w:t>
      </w:r>
      <w:r>
        <w:t xml:space="preserve"> </w:t>
      </w:r>
      <w:r>
        <w:t xml:space="preserve">relationship</w:t>
      </w:r>
      <w:r>
        <w:t xml:space="preserve"> </w:t>
      </w:r>
      <w:r>
        <w:t xml:space="preserve">between</w:t>
      </w:r>
      <w:r>
        <w:t xml:space="preserve"> </w:t>
      </w:r>
      <w:r>
        <w:t xml:space="preserve">sample</w:t>
      </w:r>
      <w:r>
        <w:t xml:space="preserve"> </w:t>
      </w:r>
      <w:r>
        <w:t xml:space="preserve">size</w:t>
      </w:r>
      <w:r>
        <w:t xml:space="preserve"> </w:t>
      </w:r>
      <w:r>
        <w:t xml:space="preserve">and</w:t>
      </w:r>
      <w:r>
        <w:t xml:space="preserve"> </w:t>
      </w:r>
      <w:r>
        <w:t xml:space="preserve">power</w:t>
      </w:r>
      <w:r>
        <w:t xml:space="preserve"> </w:t>
      </w:r>
      <w:r>
        <w:t xml:space="preserve">are</w:t>
      </w:r>
      <w:r>
        <w:t xml:space="preserve"> </w:t>
      </w:r>
      <w:r>
        <w:t xml:space="preserve">facilitated</w:t>
      </w:r>
      <w:r>
        <w:t xml:space="preserve"> </w:t>
      </w:r>
      <w:r>
        <w:t xml:space="preserve">via</w:t>
      </w:r>
      <w:r>
        <w:t xml:space="preserve"> </w:t>
      </w:r>
      <w:r>
        <w:t xml:space="preserve">a</w:t>
      </w:r>
      <w:r>
        <w:t xml:space="preserve"> </w:t>
      </w:r>
      <w:r>
        <w:t xml:space="preserve">Shiny</w:t>
      </w:r>
      <w:r>
        <w:t xml:space="preserve"> </w:t>
      </w:r>
      <w:r>
        <w:t xml:space="preserve">app</w:t>
      </w:r>
      <w:r>
        <w:t xml:space="preserve"> </w:t>
      </w:r>
      <w:r>
        <w:t xml:space="preserve">which</w:t>
      </w:r>
      <w:r>
        <w:t xml:space="preserve"> </w:t>
      </w:r>
      <w:r>
        <w:t xml:space="preserve">allows</w:t>
      </w:r>
      <w:r>
        <w:t xml:space="preserve"> </w:t>
      </w:r>
      <w:r>
        <w:t xml:space="preserve">for</w:t>
      </w:r>
      <w:r>
        <w:t xml:space="preserve"> </w:t>
      </w:r>
      <w:r>
        <w:t xml:space="preserve">a</w:t>
      </w:r>
      <w:r>
        <w:t xml:space="preserve"> </w:t>
      </w:r>
      <w:r>
        <w:t xml:space="preserve">greater</w:t>
      </w:r>
      <w:r>
        <w:t xml:space="preserve"> </w:t>
      </w:r>
      <w:r>
        <w:t xml:space="preserve">emphasis</w:t>
      </w:r>
      <w:r>
        <w:t xml:space="preserve"> </w:t>
      </w:r>
      <w:r>
        <w:t xml:space="preserve">on</w:t>
      </w:r>
      <w:r>
        <w:t xml:space="preserve"> </w:t>
      </w:r>
      <w:r>
        <w:t xml:space="preserve">interpretation</w:t>
      </w:r>
      <w:r>
        <w:t xml:space="preserve"> </w:t>
      </w:r>
      <w:r>
        <w:t xml:space="preserve">of</w:t>
      </w:r>
      <w:r>
        <w:t xml:space="preserve"> </w:t>
      </w:r>
      <w:r>
        <w:t xml:space="preserve">results.</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different</w:t>
      </w:r>
      <w:r>
        <w:t xml:space="preserve"> </w:t>
      </w:r>
      <w:r>
        <w:t xml:space="preserve">parameters</w:t>
      </w:r>
      <w:r>
        <w:t xml:space="preserve"> </w:t>
      </w:r>
      <w:r>
        <w:t xml:space="preserve">or</w:t>
      </w:r>
      <w:r>
        <w:t xml:space="preserve"> </w:t>
      </w:r>
      <w:r>
        <w:t xml:space="preserve">moving</w:t>
      </w:r>
      <w:r>
        <w:t xml:space="preserve"> </w:t>
      </w:r>
      <w:r>
        <w:t xml:space="preserve">sliders.</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r>
        <w:t xml:space="preserve"> </w:t>
      </w:r>
      <w:r>
        <w:t xml:space="preserve">type</w:t>
      </w:r>
      <w:r>
        <w:t xml:space="preserve"> </w:t>
      </w:r>
      <w:r>
        <w:t xml:space="preserve">I</w:t>
      </w:r>
      <w:r>
        <w:t xml:space="preserve"> </w:t>
      </w:r>
      <w:r>
        <w:t xml:space="preserve">error,</w:t>
      </w:r>
      <w:r>
        <w:t xml:space="preserve"> </w:t>
      </w:r>
      <w:r>
        <w:t xml:space="preserve">type</w:t>
      </w:r>
      <w:r>
        <w:t xml:space="preserve"> </w:t>
      </w:r>
      <w:r>
        <w:t xml:space="preserve">II</w:t>
      </w:r>
      <w:r>
        <w:t xml:space="preserve"> </w:t>
      </w:r>
      <w:r>
        <w:t xml:space="preserve">error</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porject such as comparing many means when given the opportunity. When comparing many means, it is important the study allocate sufficient subjects/experimental units to each treatment to be able to detect differences in treatment means when those differences exist (power).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1</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The representation on the right side of the</w:t>
      </w:r>
      <w:r>
        <w:t xml:space="preserve"> </w:t>
      </w:r>
      <m:oMath>
        <m:r>
          <m:rPr>
            <m:sty m:val="p"/>
          </m:rPr>
          <m:t>≡</m:t>
        </m:r>
      </m:oMath>
      <w:r>
        <w:t xml:space="preserve"> </w:t>
      </w:r>
      <w:r>
        <w:t xml:space="preserve">in (3)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acc>
              <m:accPr>
                <m:chr m:val="‾"/>
              </m:accPr>
              <m:e>
                <m:r>
                  <m:t>Y</m:t>
                </m:r>
              </m:e>
            </m:acc>
          </m:e>
          <m:sub>
            <m:r>
              <m:t>i</m:t>
            </m:r>
            <m:r>
              <m:rPr>
                <m:sty m:val="p"/>
              </m:rPr>
              <m:t>•</m:t>
            </m:r>
          </m:sub>
        </m:sSub>
        <m:sSub>
          <m:e>
            <m:r>
              <m:t>n</m:t>
            </m:r>
          </m:e>
          <m:sub>
            <m:r>
              <m:t>i</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Cs/>
          <w:b/>
        </w:rPr>
        <w:t xml:space="preserve">sample</w:t>
      </w:r>
      <w:r>
        <w:t xml:space="preserve"> </w:t>
      </w:r>
      <w:r>
        <w:t xml:space="preserve">means. Replacing the sample means in (3) with the population means 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m:oMathPara>
    </w:p>
    <w:p>
      <w:pPr>
        <w:pStyle w:val="FirstParagraph"/>
      </w:pPr>
      <w:r>
        <w:t xml:space="preserve">where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is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ficticious experiment where one of two hormones (testosterone or isoandrostenolone) are given to day old male chicks for fifteen days. At the end of the fifteen days, the experimenter hypothesizes the average weight of chicks that receive testosterone will be 100 mg and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w:t>
      </w:r>
      <w:r>
        <w:t xml:space="preserve"> </w:t>
      </w:r>
      <w:r>
        <w:t xml:space="preserve">(Chang et al., 2024)</w:t>
      </w:r>
      <w:r>
        <w:t xml:space="preserve"> </w:t>
      </w:r>
      <w:r>
        <w:t xml:space="preserve">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w:t>
      </w:r>
    </w:p>
    <w:p>
      <w:pPr>
        <w:pStyle w:val="CaptionedFigure"/>
      </w:pPr>
      <w:r>
        <w:drawing>
          <wp:inline>
            <wp:extent cx="5334000" cy="3365012"/>
            <wp:effectExtent b="0" l="0" r="0" t="0"/>
            <wp:docPr descr="Figure 1: Power to detect specified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specified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specified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specified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specified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specified means with given sample sizes and population standard deviation</w:t>
      </w:r>
    </w:p>
    <w:bookmarkEnd w:id="36"/>
    <w:bookmarkEnd w:id="37"/>
    <w:bookmarkStart w:id="42"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an increasing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specified means with given sample sizes and population standard deviation" title="" id="39" name="Picture"/>
            <a:graphic>
              <a:graphicData uri="http://schemas.openxmlformats.org/drawingml/2006/picture">
                <pic:pic>
                  <pic:nvPicPr>
                    <pic:cNvPr descr="./pics/fig-power4.png" id="40" name="Picture"/>
                    <pic:cNvPicPr>
                      <a:picLocks noChangeArrowheads="1" noChangeAspect="1"/>
                    </pic:cNvPicPr>
                  </pic:nvPicPr>
                  <pic:blipFill>
                    <a:blip r:embed="rId38"/>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1" w:name="fig:power4"/>
      <w:bookmarkEnd w:id="41"/>
      <w:r>
        <w:t xml:space="preserve">Figure 4: Power to detect specified means with given sample sizes and population standard deviation</w:t>
      </w:r>
    </w:p>
    <w:p>
      <w:pPr>
        <w:pStyle w:val="BodyText"/>
      </w:pPr>
      <w:r>
        <w:t xml:space="preserve">We note in passing that computing power for full-rank general linear models is also possible using the same paradign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2"/>
    <w:bookmarkStart w:id="52" w:name="references"/>
    <w:p>
      <w:pPr>
        <w:pStyle w:val="Heading1"/>
      </w:pPr>
      <w:r>
        <w:t xml:space="preserve">References</w:t>
      </w:r>
    </w:p>
    <w:bookmarkStart w:id="51" w:name="refs"/>
    <w:bookmarkStart w:id="44"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3">
        <w:r>
          <w:rPr>
            <w:rStyle w:val="Hyperlink"/>
          </w:rPr>
          <w:t xml:space="preserve">https://doi.org/10.1111/test.12186</w:t>
        </w:r>
      </w:hyperlink>
    </w:p>
    <w:bookmarkEnd w:id="44"/>
    <w:bookmarkStart w:id="45" w:name="ref-gaise2016"/>
    <w:p>
      <w:pPr>
        <w:pStyle w:val="Bibliography"/>
      </w:pPr>
      <w:r>
        <w:t xml:space="preserve">Carver, R., Everson, M., Gabrosek, J., Horton, N., Lock, R., Mocko, M., … Wood, B. (2016). Guidelines for assessment and instruction in statistics education (GAISE) college report 2016.</w:t>
      </w:r>
    </w:p>
    <w:bookmarkEnd w:id="45"/>
    <w:bookmarkStart w:id="47"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6">
        <w:r>
          <w:rPr>
            <w:rStyle w:val="Hyperlink"/>
          </w:rPr>
          <w:t xml:space="preserve">https://shiny.posit.co/</w:t>
        </w:r>
      </w:hyperlink>
    </w:p>
    <w:bookmarkEnd w:id="47"/>
    <w:bookmarkStart w:id="49"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8">
        <w:r>
          <w:rPr>
            <w:rStyle w:val="Hyperlink"/>
          </w:rPr>
          <w:t xml:space="preserve">https://www.R-project.org/</w:t>
        </w:r>
      </w:hyperlink>
    </w:p>
    <w:bookmarkEnd w:id="49"/>
    <w:bookmarkStart w:id="50"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43" Target="https://doi.org/10.1111/test.12186" TargetMode="External" /><Relationship Type="http://schemas.openxmlformats.org/officeDocument/2006/relationships/hyperlink" Id="rId46" Target="https://shiny.posit.co/" TargetMode="External" /><Relationship Type="http://schemas.openxmlformats.org/officeDocument/2006/relationships/hyperlink" Id="rId23" Target="https://shinyapp" TargetMode="External" /><Relationship Type="http://schemas.openxmlformats.org/officeDocument/2006/relationships/hyperlink" Id="rId4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111/test.12186" TargetMode="External" /><Relationship Type="http://schemas.openxmlformats.org/officeDocument/2006/relationships/hyperlink" Id="rId46" Target="https://shiny.posit.co/" TargetMode="External" /><Relationship Type="http://schemas.openxmlformats.org/officeDocument/2006/relationships/hyperlink" Id="rId23" Target="https://shinyapp" TargetMode="External" /><Relationship Type="http://schemas.openxmlformats.org/officeDocument/2006/relationships/hyperlink" Id="rId4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2024-12-17T15:26:50Z</dcterms:created>
  <dcterms:modified xsi:type="dcterms:W3CDTF">2024-12-17T15:26:50Z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Understanding and computing power and the relationship between sample size and power are facilitated via a Shiny app which allows for a greater emphasis on interpretation of results. The Shiny app allows students to solve various scenarios by entering different parameters or moving sliders.Keywords: Power, Shiny app, significance level, type I error, type II error</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17, 2024</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