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17,</w:t>
      </w:r>
      <w:r>
        <w:t xml:space="preserve"> </w:t>
      </w:r>
      <w:r>
        <w:t xml:space="preserve">2024</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visualizing</w:t>
      </w:r>
      <w:r>
        <w:t xml:space="preserve"> </w:t>
      </w:r>
      <w:r>
        <w:t xml:space="preserve">the</w:t>
      </w:r>
      <w:r>
        <w:t xml:space="preserve"> </w:t>
      </w:r>
      <w:r>
        <w:t xml:space="preserve">relationship</w:t>
      </w:r>
      <w:r>
        <w:t xml:space="preserve"> </w:t>
      </w:r>
      <w:r>
        <w:t xml:space="preserve">among</w:t>
      </w:r>
      <w:r>
        <w:t xml:space="preserve"> </w:t>
      </w:r>
      <w:r>
        <w:t xml:space="preserve">means,</w:t>
      </w:r>
      <w:r>
        <w:t xml:space="preserve"> </w:t>
      </w:r>
      <w:r>
        <w:t xml:space="preserve">population</w:t>
      </w:r>
      <w:r>
        <w:t xml:space="preserve"> </w:t>
      </w:r>
      <w:r>
        <w:t xml:space="preserve">standard</w:t>
      </w:r>
      <w:r>
        <w:t xml:space="preserve"> </w:t>
      </w:r>
      <w:r>
        <w:t xml:space="preserve">deviation,</w:t>
      </w:r>
      <w:r>
        <w:t xml:space="preserve"> </w:t>
      </w:r>
      <w:r>
        <w:t xml:space="preserve">sample</w:t>
      </w:r>
      <w:r>
        <w:t xml:space="preserve"> </w:t>
      </w:r>
      <w:r>
        <w:t xml:space="preserve">sizes,</w:t>
      </w:r>
      <w:r>
        <w:t xml:space="preserve"> </w:t>
      </w:r>
      <w:r>
        <w:t xml:space="preserve">and</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and</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w:t>
      </w:r>
      <w:r>
        <w:t xml:space="preserve"> </w:t>
      </w:r>
      <m:oMath>
        <m:sSub>
          <m:e>
            <m:r>
              <m:t>τ</m:t>
            </m:r>
          </m:e>
          <m:sub>
            <m:r>
              <m:t>i</m:t>
            </m:r>
          </m:sub>
        </m:sSub>
      </m:oMath>
      <w:r>
        <w:t xml:space="preserve"> </w:t>
      </w:r>
      <w:r>
        <w:t xml:space="preserve">is a parameter unique to the</w:t>
      </w:r>
      <w:r>
        <w:t xml:space="preserve"> </w:t>
      </w:r>
      <m:oMath>
        <m:sSup>
          <m:e>
            <m:r>
              <m:t>i</m:t>
            </m:r>
          </m:e>
          <m:sup>
            <m:r>
              <m:rPr>
                <m:nor/>
                <m:sty m:val="p"/>
              </m:rPr>
              <m:t>th</m:t>
            </m:r>
          </m:sup>
        </m:sSup>
      </m:oMath>
      <w:r>
        <w:t xml:space="preserve"> </w:t>
      </w:r>
      <w:r>
        <w:t xml:space="preserve">treatment called the</w:t>
      </w:r>
      <w:r>
        <w:t xml:space="preserve"> </w:t>
      </w:r>
      <m:oMath>
        <m:sSup>
          <m:e>
            <m:r>
              <m:t>i</m:t>
            </m:r>
          </m:e>
          <m:sup>
            <m:r>
              <m:rPr>
                <m:nor/>
                <m:sty m:val="p"/>
              </m:rPr>
              <m:t>th</m:t>
            </m:r>
          </m:sup>
        </m:sSup>
      </m:oMath>
      <w:r>
        <w:t xml:space="preserve"> </w:t>
      </w:r>
      <w:r>
        <w:t xml:space="preserve">treatment effect, and</w:t>
      </w:r>
      <w:r>
        <w:t xml:space="preserve"> </w:t>
      </w:r>
      <m:oMath>
        <m:sSub>
          <m:e>
            <m:r>
              <m:t>ϵ</m:t>
            </m:r>
          </m:e>
          <m:sub>
            <m:r>
              <m:t>i</m:t>
            </m:r>
            <m:r>
              <m:t>j</m:t>
            </m:r>
          </m:sub>
        </m:sSub>
      </m:oMath>
      <w:r>
        <w:t xml:space="preserve"> </w:t>
      </w:r>
      <w:r>
        <w:t xml:space="preserve">is a random error component.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1</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The representation on the right side of the</w:t>
      </w:r>
      <w:r>
        <w:t xml:space="preserve"> </w:t>
      </w:r>
      <m:oMath>
        <m:r>
          <m:rPr>
            <m:sty m:val="p"/>
          </m:rPr>
          <m:t>≡</m:t>
        </m:r>
      </m:oMath>
      <w:r>
        <w:t xml:space="preserve"> </w:t>
      </w:r>
      <w:r>
        <w:t xml:space="preserve">in (3) is the standard test statistic used to test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(3) with the population means 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can be given to students:</w:t>
      </w:r>
    </w:p>
    <w:p>
      <w:pPr>
        <w:pStyle w:val="BodyText"/>
      </w:pPr>
      <w:r>
        <w:t xml:space="preserve">Consider a ficticious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greater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w:t>
      </w:r>
      <w:r>
        <w:t xml:space="preserve"> </w:t>
      </w:r>
      <w:r>
        <w:t xml:space="preserve">(Chang et al., 2024)</w:t>
      </w:r>
      <w:r>
        <w:t xml:space="preserve"> </w:t>
      </w:r>
      <w:r>
        <w:t xml:space="preserve">found at</w:t>
      </w:r>
      <w:r>
        <w:t xml:space="preserve"> </w:t>
      </w:r>
      <w:hyperlink r:id="rId23">
        <w:r>
          <w:rPr>
            <w:rStyle w:val="Hyperlink"/>
          </w:rPr>
          <w:t xml:space="preserve">https://shinyapp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w:t>
      </w:r>
    </w:p>
    <w:p>
      <w:pPr>
        <w:pStyle w:val="CaptionedFigure"/>
      </w:pPr>
      <w:r>
        <w:drawing>
          <wp:inline>
            <wp:extent cx="5334000" cy="3365012"/>
            <wp:effectExtent b="0" l="0" r="0" t="0"/>
            <wp:docPr descr="Figure 1: Power to detect a specified difference i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an increasing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means with given sample sizes and population standard deviation</w:t>
      </w:r>
    </w:p>
    <w:p>
      <w:pPr>
        <w:pStyle w:val="BodyText"/>
      </w:pPr>
      <w:r>
        <w:t xml:space="preserve">We note in passing that computing power for full-rank general linear models is also possible using the same paradign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power with a Shiny app</dc:title>
  <dc:creator/>
  <cp:keywords/>
  <dcterms:created xsi:type="dcterms:W3CDTF">2024-12-17T19:09:17Z</dcterms:created>
  <dcterms:modified xsi:type="dcterms:W3CDTF">2024-12-17T19:09:17Z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visualizing the relationship among means, population standard deviation, sample sizes, and significance level. The Shiny app allows students to solve various scenarios by entering these parameters’ and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17, 2024</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