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April</w:t>
      </w:r>
      <w:r>
        <w:t xml:space="preserve"> </w:t>
      </w:r>
      <w:r>
        <w:t xml:space="preserve">09,</w:t>
      </w:r>
      <w:r>
        <w:t xml:space="preserve"> </w:t>
      </w:r>
      <w:r>
        <w:t xml:space="preserve">2025</w:t>
      </w:r>
      <w:r>
        <w:t xml:space="preserve"> </w:t>
      </w:r>
      <w:r>
        <w:t xml:space="preserve">at</w:t>
      </w:r>
      <w:r>
        <w:t xml:space="preserve"> </w:t>
      </w:r>
      <w:r>
        <w:t xml:space="preserve">11:08:23</w:t>
      </w:r>
      <w:r>
        <w:t xml:space="preserve"> </w:t>
      </w:r>
      <w:r>
        <w:t xml:space="preserve">AM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of introductory statistics courses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r>
            <m:t>i</m:t>
          </m:r>
          <m:r>
            <m:rPr>
              <m:sty m:val="p"/>
            </m:rPr>
            <m:t>≠</m:t>
          </m:r>
          <m:r>
            <m:t>j</m:t>
          </m:r>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0"/>
            <m:supHide m:val="0"/>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0"/>
            <m:supHide m:val="0"/>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i</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0"/>
                  <m:supHide m:val="0"/>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2025)</w:t>
      </w:r>
      <w:r>
        <w:t xml:space="preserve"> </w:t>
      </w:r>
      <w:r>
        <w:t xml:space="preserve">is used as the computational engine in what follows, most modern statistical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1"/>
    <w:bookmarkStart w:id="41" w:name="project-1"/>
    <w:p>
      <w:pPr>
        <w:pStyle w:val="Heading1"/>
      </w:pPr>
      <w:r>
        <w:t xml:space="preserve">PROJECT 1</w:t>
      </w:r>
    </w:p>
    <w:p>
      <w:pPr>
        <w:pStyle w:val="FirstParagraph"/>
      </w:pPr>
      <w:r>
        <w:t xml:space="preserve">Consider an experiment where one of two hormones (testosterone or isoandrostenolone) is administered for fifteen days to male chicks starting when the chicks are one day old</w:t>
      </w:r>
      <w:r>
        <w:t xml:space="preserve"> </w:t>
      </w:r>
      <w:r>
        <w:t xml:space="preserve">(Snedecor &amp; Cochran, 1967, p. 102)</w:t>
      </w:r>
      <w:r>
        <w:t xml:space="preserve">.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2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numPr>
          <w:ilvl w:val="0"/>
          <w:numId w:val="1003"/>
        </w:numPr>
        <w:pStyle w:val="Compact"/>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bookmarkEnd w:id="22"/>
    <w:bookmarkStart w:id="23" w:name="r-code"/>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0.9886555</w:t>
      </w:r>
    </w:p>
    <w:p>
      <w:pPr>
        <w:numPr>
          <w:ilvl w:val="0"/>
          <w:numId w:val="1004"/>
        </w:numPr>
        <w:pStyle w:val="Compact"/>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bookmarkEnd w:id="23"/>
    <w:bookmarkStart w:id="24" w:name="r-code-1"/>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4.493998</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10.125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0.8476101</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4.60011</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0.796545</w:t>
      </w:r>
    </w:p>
    <w:p>
      <w:pPr>
        <w:pStyle w:val="FirstParagraph"/>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bookmarkEnd w:id="24"/>
    <w:bookmarkStart w:id="25" w:name="r-code-2"/>
    <w:p>
      <w:pPr>
        <w:pStyle w:val="Heading2"/>
      </w:pPr>
      <w:r>
        <w:t xml:space="preserve">R code</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9.529412</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0.8223981</w:t>
      </w:r>
    </w:p>
    <w:p>
      <w:pPr>
        <w:numPr>
          <w:ilvl w:val="0"/>
          <w:numId w:val="1005"/>
        </w:numPr>
        <w:pStyle w:val="Compact"/>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bookmarkEnd w:id="25"/>
    <w:bookmarkStart w:id="26" w:name="r-code-3"/>
    <w:p>
      <w:pPr>
        <w:pStyle w:val="Heading2"/>
      </w:pPr>
      <w:r>
        <w:t xml:space="preserve">R code</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6"/>
    <w:bookmarkStart w:id="40"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Cs/>
          <w:i/>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636178"/>
            <wp:effectExtent b="0" l="0" r="0" t="0"/>
            <wp:docPr descr="Figure 1: Power to detect a specified difference in population means with given sample sizes and population standard deviation" title="" id="29" name="Picture"/>
            <a:graphic>
              <a:graphicData uri="http://schemas.openxmlformats.org/drawingml/2006/picture">
                <pic:pic>
                  <pic:nvPicPr>
                    <pic:cNvPr descr="./pics/fig-power1b.png" id="30" name="Picture"/>
                    <pic:cNvPicPr>
                      <a:picLocks noChangeArrowheads="1" noChangeAspect="1"/>
                    </pic:cNvPicPr>
                  </pic:nvPicPr>
                  <pic:blipFill>
                    <a:blip r:embed="rId28"/>
                    <a:stretch>
                      <a:fillRect/>
                    </a:stretch>
                  </pic:blipFill>
                  <pic:spPr bwMode="auto">
                    <a:xfrm>
                      <a:off x="0" y="0"/>
                      <a:ext cx="5334000" cy="2636178"/>
                    </a:xfrm>
                    <a:prstGeom prst="rect">
                      <a:avLst/>
                    </a:prstGeom>
                    <a:noFill/>
                    <a:ln w="9525">
                      <a:noFill/>
                      <a:headEnd/>
                      <a:tailEnd/>
                    </a:ln>
                  </pic:spPr>
                </pic:pic>
              </a:graphicData>
            </a:graphic>
          </wp:inline>
        </w:drawing>
      </w:r>
    </w:p>
    <w:p>
      <w:pPr>
        <w:pStyle w:val="ImageCaption"/>
      </w:pPr>
      <w:bookmarkStart w:id="31" w:name="fig:power1"/>
      <w:bookmarkEnd w:id="31"/>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Cs/>
          <w:i/>
        </w:rPr>
        <w:t xml:space="preserve">F</w:t>
      </w:r>
      <w:r>
        <w:t xml:space="preserve">-distribution) and the sum of all blue and purple shaded areas (all of the area to the right of the critical value 4.1490974 underneath the non-central</w:t>
      </w:r>
      <w:r>
        <w:t xml:space="preserve"> </w:t>
      </w:r>
      <w:r>
        <w:rPr>
          <w:iCs/>
          <w:i/>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643398"/>
            <wp:effectExtent b="0" l="0" r="0" t="0"/>
            <wp:docPr descr="Figure 2: Power to detect a specified difference in population means with given sample sizes and population standard deviation" title="" id="33" name="Picture"/>
            <a:graphic>
              <a:graphicData uri="http://schemas.openxmlformats.org/drawingml/2006/picture">
                <pic:pic>
                  <pic:nvPicPr>
                    <pic:cNvPr descr="./pics/fig-power2b.png" id="34" name="Picture"/>
                    <pic:cNvPicPr>
                      <a:picLocks noChangeArrowheads="1" noChangeAspect="1"/>
                    </pic:cNvPicPr>
                  </pic:nvPicPr>
                  <pic:blipFill>
                    <a:blip r:embed="rId32"/>
                    <a:stretch>
                      <a:fillRect/>
                    </a:stretch>
                  </pic:blipFill>
                  <pic:spPr bwMode="auto">
                    <a:xfrm>
                      <a:off x="0" y="0"/>
                      <a:ext cx="5334000" cy="2643398"/>
                    </a:xfrm>
                    <a:prstGeom prst="rect">
                      <a:avLst/>
                    </a:prstGeom>
                    <a:noFill/>
                    <a:ln w="9525">
                      <a:noFill/>
                      <a:headEnd/>
                      <a:tailEnd/>
                    </a:ln>
                  </pic:spPr>
                </pic:pic>
              </a:graphicData>
            </a:graphic>
          </wp:inline>
        </w:drawing>
      </w:r>
    </w:p>
    <w:p>
      <w:pPr>
        <w:pStyle w:val="ImageCaption"/>
      </w:pPr>
      <w:bookmarkStart w:id="35" w:name="fig:power2"/>
      <w:bookmarkEnd w:id="35"/>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645228"/>
            <wp:effectExtent b="0" l="0" r="0" t="0"/>
            <wp:docPr descr="Figure 3: Power to detect a specified difference in population means with given sample sizes and population standard deviation" title="" id="37" name="Picture"/>
            <a:graphic>
              <a:graphicData uri="http://schemas.openxmlformats.org/drawingml/2006/picture">
                <pic:pic>
                  <pic:nvPicPr>
                    <pic:cNvPr descr="./pics/fig-power3b.png" id="38" name="Picture"/>
                    <pic:cNvPicPr>
                      <a:picLocks noChangeArrowheads="1" noChangeAspect="1"/>
                    </pic:cNvPicPr>
                  </pic:nvPicPr>
                  <pic:blipFill>
                    <a:blip r:embed="rId36"/>
                    <a:stretch>
                      <a:fillRect/>
                    </a:stretch>
                  </pic:blipFill>
                  <pic:spPr bwMode="auto">
                    <a:xfrm>
                      <a:off x="0" y="0"/>
                      <a:ext cx="5334000" cy="2645228"/>
                    </a:xfrm>
                    <a:prstGeom prst="rect">
                      <a:avLst/>
                    </a:prstGeom>
                    <a:noFill/>
                    <a:ln w="9525">
                      <a:noFill/>
                      <a:headEnd/>
                      <a:tailEnd/>
                    </a:ln>
                  </pic:spPr>
                </pic:pic>
              </a:graphicData>
            </a:graphic>
          </wp:inline>
        </w:drawing>
      </w:r>
    </w:p>
    <w:p>
      <w:pPr>
        <w:pStyle w:val="ImageCaption"/>
      </w:pPr>
      <w:bookmarkStart w:id="39" w:name="fig:power3"/>
      <w:bookmarkEnd w:id="39"/>
      <w:r>
        <w:t xml:space="preserve">Figure 3: Power to detect a specified difference in population means with given sample sizes and population standard deviation</w:t>
      </w:r>
    </w:p>
    <w:bookmarkEnd w:id="40"/>
    <w:bookmarkEnd w:id="41"/>
    <w:bookmarkStart w:id="47"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w:t>
      </w:r>
      <w:r>
        <w:t xml:space="preserve"> </w:t>
      </w:r>
      <m:oMath>
        <m:r>
          <m:t>i</m:t>
        </m:r>
        <m:r>
          <m:rPr>
            <m:sty m:val="p"/>
          </m:rPr>
          <m:t>≠</m:t>
        </m:r>
        <m:r>
          <m:t>j</m:t>
        </m:r>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42" w:name="tab:unnamed-chunk-6"/>
      <w:bookmarkEnd w:id="42"/>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2648857"/>
            <wp:effectExtent b="0" l="0" r="0" t="0"/>
            <wp:docPr descr="Figure 4: Power to detect a specified difference in population means with given sample sizes and population standard deviation" title="" id="44" name="Picture"/>
            <a:graphic>
              <a:graphicData uri="http://schemas.openxmlformats.org/drawingml/2006/picture">
                <pic:pic>
                  <pic:nvPicPr>
                    <pic:cNvPr descr="./pics/fig-power4b.png" id="45" name="Picture"/>
                    <pic:cNvPicPr>
                      <a:picLocks noChangeArrowheads="1" noChangeAspect="1"/>
                    </pic:cNvPicPr>
                  </pic:nvPicPr>
                  <pic:blipFill>
                    <a:blip r:embed="rId43"/>
                    <a:stretch>
                      <a:fillRect/>
                    </a:stretch>
                  </pic:blipFill>
                  <pic:spPr bwMode="auto">
                    <a:xfrm>
                      <a:off x="0" y="0"/>
                      <a:ext cx="5334000" cy="2648857"/>
                    </a:xfrm>
                    <a:prstGeom prst="rect">
                      <a:avLst/>
                    </a:prstGeom>
                    <a:noFill/>
                    <a:ln w="9525">
                      <a:noFill/>
                      <a:headEnd/>
                      <a:tailEnd/>
                    </a:ln>
                  </pic:spPr>
                </pic:pic>
              </a:graphicData>
            </a:graphic>
          </wp:inline>
        </w:drawing>
      </w:r>
    </w:p>
    <w:p>
      <w:pPr>
        <w:pStyle w:val="ImageCaption"/>
      </w:pPr>
      <w:bookmarkStart w:id="46" w:name="fig:power4"/>
      <w:bookmarkEnd w:id="46"/>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7"/>
    <w:bookmarkStart w:id="58" w:name="references"/>
    <w:p>
      <w:pPr>
        <w:pStyle w:val="Heading1"/>
      </w:pPr>
      <w:r>
        <w:t xml:space="preserve">References</w:t>
      </w:r>
    </w:p>
    <w:bookmarkStart w:id="57" w:name="refs"/>
    <w:bookmarkStart w:id="49"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8">
        <w:r>
          <w:rPr>
            <w:rStyle w:val="Hyperlink"/>
          </w:rPr>
          <w:t xml:space="preserve">https://doi.org/10.1111/test.12186</w:t>
        </w:r>
      </w:hyperlink>
    </w:p>
    <w:bookmarkEnd w:id="49"/>
    <w:bookmarkStart w:id="50" w:name="ref-gaise2016"/>
    <w:p>
      <w:pPr>
        <w:pStyle w:val="Bibliography"/>
      </w:pPr>
      <w:r>
        <w:t xml:space="preserve">Carver, R., Everson, M., Gabrosek, J., Horton, N., Lock, R., Mocko, M., … Wood, B. (2016). Guidelines for assessment and instruction in statistics education (GAISE) college report 2016.</w:t>
      </w:r>
    </w:p>
    <w:bookmarkEnd w:id="50"/>
    <w:bookmarkStart w:id="52"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51">
        <w:r>
          <w:rPr>
            <w:rStyle w:val="Hyperlink"/>
          </w:rPr>
          <w:t xml:space="preserve">https://shiny.posit.co/</w:t>
        </w:r>
      </w:hyperlink>
    </w:p>
    <w:bookmarkEnd w:id="52"/>
    <w:bookmarkStart w:id="54" w:name="ref-R-base"/>
    <w:p>
      <w:pPr>
        <w:pStyle w:val="Bibliography"/>
      </w:pPr>
      <w:r>
        <w:t xml:space="preserve">R Core Team. (2025).</w:t>
      </w:r>
      <w:r>
        <w:t xml:space="preserve"> </w:t>
      </w:r>
      <w:r>
        <w:rPr>
          <w:iCs/>
          <w:i/>
        </w:rPr>
        <w:t xml:space="preserve">R: A language and environment for statistical computing</w:t>
      </w:r>
      <w:r>
        <w:t xml:space="preserve">. Vienna, Austria: R Foundation for Statistical Computing. Retrieved from</w:t>
      </w:r>
      <w:r>
        <w:t xml:space="preserve"> </w:t>
      </w:r>
      <w:hyperlink r:id="rId53">
        <w:r>
          <w:rPr>
            <w:rStyle w:val="Hyperlink"/>
          </w:rPr>
          <w:t xml:space="preserve">https://www.R-project.org/</w:t>
        </w:r>
      </w:hyperlink>
    </w:p>
    <w:bookmarkEnd w:id="54"/>
    <w:bookmarkStart w:id="55" w:name="ref-snedecor_cochran"/>
    <w:p>
      <w:pPr>
        <w:pStyle w:val="Bibliography"/>
      </w:pPr>
      <w:r>
        <w:t xml:space="preserve">Snedecor, G. W., &amp; Cochran, W. G. (1967).</w:t>
      </w:r>
      <w:r>
        <w:t xml:space="preserve"> </w:t>
      </w:r>
      <w:r>
        <w:rPr>
          <w:iCs/>
          <w:i/>
        </w:rPr>
        <w:t xml:space="preserve">Statistical methods,</w:t>
      </w:r>
      <w:r>
        <w:rPr>
          <w:iCs/>
          <w:i/>
        </w:rPr>
        <w:t xml:space="preserve"> </w:t>
      </w:r>
      <w:r>
        <w:rPr>
          <w:iCs/>
          <w:i/>
        </w:rPr>
        <w:t xml:space="preserve">Sixth</w:t>
      </w:r>
      <w:r>
        <w:rPr>
          <w:iCs/>
          <w:i/>
        </w:rPr>
        <w:t xml:space="preserve"> </w:t>
      </w:r>
      <w:r>
        <w:rPr>
          <w:iCs/>
          <w:i/>
        </w:rPr>
        <w:t xml:space="preserve">Edition</w:t>
      </w:r>
      <w:r>
        <w:t xml:space="preserve">. IOWA State University Press.</w:t>
      </w:r>
    </w:p>
    <w:bookmarkEnd w:id="55"/>
    <w:bookmarkStart w:id="56"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26">
    <w:nsid w:val="A9972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2025-04-09T15:08:24Z</dcterms:created>
  <dcterms:modified xsi:type="dcterms:W3CDTF">2025-04-09T15:08:24Z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April 09, 2025 at 11:08:23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